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CF" w:rsidRDefault="00DE26CF" w:rsidP="00DE26CF">
      <w:pPr>
        <w:pStyle w:val="Rubrik4"/>
        <w:spacing w:line="480" w:lineRule="auto"/>
      </w:pPr>
      <w:r>
        <w:t>Supplement</w:t>
      </w:r>
    </w:p>
    <w:p w:rsidR="00DE26CF" w:rsidRDefault="00DE26CF" w:rsidP="00DE26CF">
      <w:pPr>
        <w:pStyle w:val="Rubrik4"/>
        <w:spacing w:line="480" w:lineRule="auto"/>
        <w:rPr>
          <w:i w:val="0"/>
          <w:lang w:val="en-US"/>
        </w:rPr>
      </w:pPr>
      <w:r w:rsidRPr="00027CC3">
        <w:rPr>
          <w:i w:val="0"/>
        </w:rPr>
        <w:t>T</w:t>
      </w:r>
      <w:r w:rsidRPr="00296A98">
        <w:rPr>
          <w:i w:val="0"/>
        </w:rPr>
        <w:t>able</w:t>
      </w:r>
      <w:r>
        <w:rPr>
          <w:i w:val="0"/>
        </w:rPr>
        <w:t xml:space="preserve"> S1</w:t>
      </w:r>
      <w:r w:rsidRPr="005F5D39">
        <w:rPr>
          <w:i w:val="0"/>
        </w:rPr>
        <w:t xml:space="preserve">. </w:t>
      </w:r>
      <w:r w:rsidRPr="005F5D39">
        <w:rPr>
          <w:i w:val="0"/>
          <w:lang w:val="en-US"/>
        </w:rPr>
        <w:t xml:space="preserve">Odds ratios for </w:t>
      </w:r>
      <w:r>
        <w:rPr>
          <w:i w:val="0"/>
          <w:lang w:val="en-US"/>
        </w:rPr>
        <w:t xml:space="preserve">differences in prevalence of </w:t>
      </w:r>
      <w:r w:rsidRPr="005F5D39">
        <w:rPr>
          <w:i w:val="0"/>
          <w:lang w:val="en-US"/>
        </w:rPr>
        <w:t xml:space="preserve">upper gastrointestinal symptoms </w:t>
      </w:r>
      <w:r>
        <w:rPr>
          <w:i w:val="0"/>
          <w:lang w:val="en-US"/>
        </w:rPr>
        <w:t>between birth cohorts adjusted for age</w:t>
      </w:r>
      <w:r w:rsidRPr="005F5D39">
        <w:rPr>
          <w:i w:val="0"/>
          <w:lang w:val="en-US"/>
        </w:rPr>
        <w:t xml:space="preserve">. </w:t>
      </w:r>
    </w:p>
    <w:p w:rsidR="00DE26CF" w:rsidRPr="004A76E7" w:rsidRDefault="00DE26CF" w:rsidP="00DE26CF">
      <w:pPr>
        <w:spacing w:line="480" w:lineRule="auto"/>
        <w:rPr>
          <w:lang w:val="en-US"/>
        </w:rPr>
      </w:pPr>
    </w:p>
    <w:tbl>
      <w:tblPr>
        <w:tblW w:w="866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757"/>
        <w:gridCol w:w="906"/>
        <w:gridCol w:w="1661"/>
        <w:gridCol w:w="1361"/>
      </w:tblGrid>
      <w:tr w:rsidR="00DE26CF" w:rsidRPr="004B35D6" w:rsidTr="003C753B">
        <w:trPr>
          <w:trHeight w:val="25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Birth</w:t>
            </w:r>
            <w:proofErr w:type="spellEnd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cohort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OR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 xml:space="preserve">95% 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CI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p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Functional</w:t>
            </w:r>
            <w:proofErr w:type="spellEnd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dyspepsia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1909-1930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 (ref)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1931-1950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1.19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.87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-1.63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0.26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1951-1970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1.53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1.0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5-2.24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0.028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1971-1991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2.5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1.58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-4.24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&lt;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0.00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Postprandial</w:t>
            </w:r>
            <w:proofErr w:type="spellEnd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 xml:space="preserve"> distress </w:t>
            </w: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syndrome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1909-1930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 (ref)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1931-1950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30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.91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-1.85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0.1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5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1951-1970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2.24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1.48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-3.39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&lt;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0.00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1971-1991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4.81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2.8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1-8.25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&lt;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0.00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Epigastric</w:t>
            </w:r>
            <w:proofErr w:type="spellEnd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 xml:space="preserve"> pain </w:t>
            </w: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syndrome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1909-1930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 (ref)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1931-1950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1.0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.6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5-1.79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0.77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1951-1970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70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.34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-1.42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0.32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1971-1991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.3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8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.1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4-1.02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0.055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GERD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1909-1930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 (ref)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1931-1950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1.2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.8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9-1.64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0.2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3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1951-1970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1.5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1.09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-2.30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0.015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1971-1991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1.82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1.11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-2.99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0.018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Acid</w:t>
            </w:r>
            <w:proofErr w:type="spellEnd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 xml:space="preserve"> </w:t>
            </w: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regurgitation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1909-1930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 (ref)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1931-1950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1.87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1.2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5-2.81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0.002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1951-1970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3.09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1.88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-5.07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&lt;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0.00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1971-1991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6.7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3.57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-12.6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&lt;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0.00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proofErr w:type="spellStart"/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Heartburn</w:t>
            </w:r>
            <w:proofErr w:type="spellEnd"/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1909-1930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 (ref)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1931-1950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1.29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.9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4-1.78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0.12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1951-1970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1.6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1.12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-2.44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0.011</w:t>
            </w:r>
          </w:p>
        </w:tc>
      </w:tr>
      <w:tr w:rsidR="00DE26CF" w:rsidRPr="004B35D6" w:rsidTr="003C753B">
        <w:trPr>
          <w:trHeight w:val="252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1971-1991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1.34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</w:t>
            </w: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.7</w:t>
            </w:r>
            <w:r w:rsidRPr="004B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8-2.32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DE26CF" w:rsidRPr="004A76E7" w:rsidRDefault="00DE26CF" w:rsidP="003C753B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</w:pPr>
            <w:r w:rsidRPr="004A76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0.29</w:t>
            </w:r>
          </w:p>
        </w:tc>
      </w:tr>
    </w:tbl>
    <w:p w:rsidR="00DE26CF" w:rsidRDefault="00DE26CF" w:rsidP="00DE26CF">
      <w:pPr>
        <w:spacing w:line="480" w:lineRule="auto"/>
      </w:pPr>
    </w:p>
    <w:p w:rsidR="00DE26CF" w:rsidRPr="00466EDE" w:rsidRDefault="00DE26CF" w:rsidP="00DE26CF">
      <w:pPr>
        <w:spacing w:line="480" w:lineRule="auto"/>
      </w:pPr>
      <w:r w:rsidRPr="00466EDE">
        <w:t>Abbreviations: GER</w:t>
      </w:r>
      <w:r>
        <w:t>D</w:t>
      </w:r>
      <w:r w:rsidRPr="00466EDE">
        <w:t xml:space="preserve">=gastroesophageal reflux </w:t>
      </w:r>
      <w:r>
        <w:t>disease symptoms</w:t>
      </w:r>
      <w:r w:rsidRPr="00466EDE">
        <w:t xml:space="preserve">, </w:t>
      </w:r>
      <w:r>
        <w:t>CI=confidence interval</w:t>
      </w:r>
      <w:r w:rsidRPr="00466EDE">
        <w:t xml:space="preserve"> </w:t>
      </w:r>
    </w:p>
    <w:p w:rsidR="00DE26CF" w:rsidRPr="00084171" w:rsidRDefault="00DE26CF" w:rsidP="00DE26CF">
      <w:pPr>
        <w:spacing w:line="480" w:lineRule="auto"/>
      </w:pPr>
    </w:p>
    <w:p w:rsidR="00277783" w:rsidRDefault="00277783">
      <w:bookmarkStart w:id="0" w:name="_GoBack"/>
      <w:bookmarkEnd w:id="0"/>
    </w:p>
    <w:sectPr w:rsidR="0027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CF"/>
    <w:rsid w:val="00277783"/>
    <w:rsid w:val="00D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D52D8-B949-4231-9B68-AD0CFC34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CF"/>
    <w:rPr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E26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E26C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2020-08-18T13:00:00Z</dcterms:created>
  <dcterms:modified xsi:type="dcterms:W3CDTF">2020-08-18T13:01:00Z</dcterms:modified>
</cp:coreProperties>
</file>