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DA9A3" w14:textId="77777777" w:rsidR="00870A31" w:rsidRPr="00870A31" w:rsidRDefault="00870A31" w:rsidP="00870A31">
      <w:pPr>
        <w:spacing w:line="480" w:lineRule="auto"/>
        <w:rPr>
          <w:rFonts w:ascii="Cambria" w:hAnsi="Cambria"/>
          <w:b/>
          <w:bCs/>
        </w:rPr>
      </w:pPr>
      <w:r w:rsidRPr="00870A31">
        <w:rPr>
          <w:rFonts w:ascii="Cambria" w:hAnsi="Cambria"/>
          <w:b/>
          <w:bCs/>
        </w:rPr>
        <w:t>Methods:</w:t>
      </w:r>
    </w:p>
    <w:p w14:paraId="7391C141" w14:textId="77777777" w:rsidR="00870A31" w:rsidRPr="00F629A8" w:rsidRDefault="00870A31" w:rsidP="00870A31">
      <w:pPr>
        <w:spacing w:line="480" w:lineRule="auto"/>
        <w:rPr>
          <w:rFonts w:ascii="Cambria" w:eastAsia="MS ??" w:hAnsi="Cambria" w:cs="Arial"/>
          <w:i/>
          <w:color w:val="000000" w:themeColor="text1"/>
        </w:rPr>
      </w:pPr>
      <w:r w:rsidRPr="00F629A8">
        <w:rPr>
          <w:rFonts w:ascii="Cambria" w:eastAsia="MS ??" w:hAnsi="Cambria" w:cs="Arial"/>
          <w:i/>
          <w:color w:val="000000" w:themeColor="text1"/>
        </w:rPr>
        <w:t>S</w:t>
      </w:r>
      <w:r>
        <w:rPr>
          <w:rFonts w:ascii="Cambria" w:eastAsia="MS ??" w:hAnsi="Cambria" w:cs="Arial"/>
          <w:i/>
          <w:color w:val="000000" w:themeColor="text1"/>
        </w:rPr>
        <w:t>t</w:t>
      </w:r>
      <w:r w:rsidRPr="00F629A8">
        <w:rPr>
          <w:rFonts w:ascii="Cambria" w:eastAsia="MS ??" w:hAnsi="Cambria" w:cs="Arial"/>
          <w:i/>
          <w:color w:val="000000" w:themeColor="text1"/>
        </w:rPr>
        <w:t>udy population:</w:t>
      </w:r>
    </w:p>
    <w:p w14:paraId="39AFE24F" w14:textId="77777777" w:rsidR="00870A31" w:rsidRPr="00F629A8" w:rsidRDefault="00870A31" w:rsidP="00870A31">
      <w:pPr>
        <w:spacing w:line="480" w:lineRule="auto"/>
        <w:rPr>
          <w:rFonts w:ascii="Cambria" w:eastAsia="MS ??" w:hAnsi="Cambria" w:cs="Arial"/>
          <w:color w:val="000000" w:themeColor="text1"/>
        </w:rPr>
      </w:pPr>
      <w:r w:rsidRPr="00F629A8">
        <w:rPr>
          <w:rFonts w:ascii="Cambria" w:eastAsia="MS ??" w:hAnsi="Cambria" w:cs="Arial"/>
          <w:color w:val="000000" w:themeColor="text1"/>
        </w:rPr>
        <w:t>We performed a case- control study approved by the</w:t>
      </w:r>
      <w:r>
        <w:rPr>
          <w:rFonts w:ascii="Cambria" w:eastAsia="MS ??" w:hAnsi="Cambria" w:cs="Arial"/>
          <w:color w:val="000000" w:themeColor="text1"/>
        </w:rPr>
        <w:t xml:space="preserve"> Mayo</w:t>
      </w:r>
      <w:r w:rsidRPr="00F629A8">
        <w:rPr>
          <w:rFonts w:ascii="Cambria" w:eastAsia="MS ??" w:hAnsi="Cambria" w:cs="Arial"/>
          <w:color w:val="000000" w:themeColor="text1"/>
        </w:rPr>
        <w:t xml:space="preserve"> Institutional Board Review (IRB: 17-003675 includ</w:t>
      </w:r>
      <w:r>
        <w:rPr>
          <w:rFonts w:ascii="Cambria" w:eastAsia="MS ??" w:hAnsi="Cambria" w:cs="Arial"/>
          <w:color w:val="000000" w:themeColor="text1"/>
        </w:rPr>
        <w:t>ing</w:t>
      </w:r>
      <w:r w:rsidRPr="00F629A8">
        <w:rPr>
          <w:rFonts w:ascii="Cambria" w:eastAsia="MS ??" w:hAnsi="Cambria" w:cs="Arial"/>
          <w:color w:val="000000" w:themeColor="text1"/>
        </w:rPr>
        <w:t xml:space="preserve"> consecutive patients with prevalent EAC from 2009 -2012. We excluded incident (history of BE </w:t>
      </w:r>
      <w:r>
        <w:rPr>
          <w:rFonts w:ascii="Cambria" w:eastAsia="MS ??" w:hAnsi="Cambria" w:cs="Arial"/>
          <w:color w:val="000000" w:themeColor="text1"/>
        </w:rPr>
        <w:t>&gt;1</w:t>
      </w:r>
      <w:r w:rsidRPr="00F629A8">
        <w:rPr>
          <w:rFonts w:ascii="Cambria" w:eastAsia="MS ??" w:hAnsi="Cambria" w:cs="Arial"/>
          <w:color w:val="000000" w:themeColor="text1"/>
        </w:rPr>
        <w:t xml:space="preserve"> year before EAC diagnosis) and </w:t>
      </w:r>
      <w:r w:rsidRPr="00F629A8">
        <w:rPr>
          <w:rFonts w:ascii="Cambria" w:hAnsi="Cambria" w:cs="Arial"/>
          <w:color w:val="000000" w:themeColor="text1"/>
        </w:rPr>
        <w:t>Siewert III EAC</w:t>
      </w:r>
      <w:r w:rsidRPr="00F629A8">
        <w:rPr>
          <w:rFonts w:ascii="Cambria" w:eastAsia="MS ??" w:hAnsi="Cambria" w:cs="Arial"/>
          <w:color w:val="000000" w:themeColor="text1"/>
        </w:rPr>
        <w:t xml:space="preserve">. The BE group was composed of </w:t>
      </w:r>
      <w:r>
        <w:rPr>
          <w:rFonts w:ascii="Cambria" w:eastAsia="MS ??" w:hAnsi="Cambria" w:cs="Arial"/>
          <w:color w:val="000000" w:themeColor="text1"/>
        </w:rPr>
        <w:t xml:space="preserve">surveillance </w:t>
      </w:r>
      <w:r w:rsidRPr="00F629A8">
        <w:rPr>
          <w:rFonts w:ascii="Cambria" w:eastAsia="MS ??" w:hAnsi="Cambria" w:cs="Arial"/>
          <w:color w:val="000000" w:themeColor="text1"/>
        </w:rPr>
        <w:t xml:space="preserve">patients who did not progress to EAC, from the Rochester Epidemiology Project (REP) database years 1991 to 2018 </w:t>
      </w:r>
      <w:r w:rsidRPr="00F629A8">
        <w:rPr>
          <w:rFonts w:ascii="Cambria" w:eastAsia="MS ??" w:hAnsi="Cambria" w:cs="Arial"/>
          <w:color w:val="000000" w:themeColor="text1"/>
        </w:rPr>
        <w:fldChar w:fldCharType="begin">
          <w:fldData xml:space="preserve">PEVuZE5vdGU+PENpdGU+PEF1dGhvcj5WaXNyb2RpYTwvQXV0aG9yPjxZZWFyPjIwMTY8L1llYXI+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</w:fldData>
        </w:fldChar>
      </w:r>
      <w:r>
        <w:rPr>
          <w:rFonts w:ascii="Cambria" w:eastAsia="MS ??" w:hAnsi="Cambria" w:cs="Arial"/>
          <w:color w:val="000000" w:themeColor="text1"/>
        </w:rPr>
        <w:instrText xml:space="preserve"> ADDIN EN.CITE </w:instrText>
      </w:r>
      <w:r>
        <w:rPr>
          <w:rFonts w:ascii="Cambria" w:eastAsia="MS ??" w:hAnsi="Cambria" w:cs="Arial"/>
          <w:color w:val="000000" w:themeColor="text1"/>
        </w:rPr>
        <w:fldChar w:fldCharType="begin">
          <w:fldData xml:space="preserve">PEVuZE5vdGU+PENpdGU+PEF1dGhvcj5WaXNyb2RpYTwvQXV0aG9yPjxZZWFyPjIwMTY8L1llYXI+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</w:fldData>
        </w:fldChar>
      </w:r>
      <w:r>
        <w:rPr>
          <w:rFonts w:ascii="Cambria" w:eastAsia="MS ??" w:hAnsi="Cambria" w:cs="Arial"/>
          <w:color w:val="000000" w:themeColor="text1"/>
        </w:rPr>
        <w:instrText xml:space="preserve"> ADDIN EN.CITE.DATA </w:instrText>
      </w:r>
      <w:r>
        <w:rPr>
          <w:rFonts w:ascii="Cambria" w:eastAsia="MS ??" w:hAnsi="Cambria" w:cs="Arial"/>
          <w:color w:val="000000" w:themeColor="text1"/>
        </w:rPr>
      </w:r>
      <w:r>
        <w:rPr>
          <w:rFonts w:ascii="Cambria" w:eastAsia="MS ??" w:hAnsi="Cambria" w:cs="Arial"/>
          <w:color w:val="000000" w:themeColor="text1"/>
        </w:rPr>
        <w:fldChar w:fldCharType="end"/>
      </w:r>
      <w:r w:rsidRPr="00F629A8">
        <w:rPr>
          <w:rFonts w:ascii="Cambria" w:eastAsia="MS ??" w:hAnsi="Cambria" w:cs="Arial"/>
          <w:color w:val="000000" w:themeColor="text1"/>
        </w:rPr>
      </w:r>
      <w:r w:rsidRPr="00F629A8">
        <w:rPr>
          <w:rFonts w:ascii="Cambria" w:eastAsia="MS ??" w:hAnsi="Cambria" w:cs="Arial"/>
          <w:color w:val="000000" w:themeColor="text1"/>
        </w:rPr>
        <w:fldChar w:fldCharType="separate"/>
      </w:r>
      <w:r w:rsidRPr="005B342B">
        <w:rPr>
          <w:rFonts w:ascii="Cambria" w:eastAsia="MS ??" w:hAnsi="Cambria" w:cs="Arial"/>
          <w:noProof/>
          <w:color w:val="000000" w:themeColor="text1"/>
          <w:vertAlign w:val="superscript"/>
        </w:rPr>
        <w:t>12, 13</w:t>
      </w:r>
      <w:r w:rsidRPr="00F629A8">
        <w:rPr>
          <w:rFonts w:ascii="Cambria" w:eastAsia="MS ??" w:hAnsi="Cambria" w:cs="Arial"/>
          <w:color w:val="000000" w:themeColor="text1"/>
        </w:rPr>
        <w:fldChar w:fldCharType="end"/>
      </w:r>
      <w:r w:rsidRPr="00F629A8">
        <w:rPr>
          <w:rFonts w:ascii="Cambria" w:eastAsia="MS ??" w:hAnsi="Cambria" w:cs="Arial"/>
          <w:color w:val="000000" w:themeColor="text1"/>
        </w:rPr>
        <w:t xml:space="preserve">. </w:t>
      </w:r>
      <w:r>
        <w:rPr>
          <w:rFonts w:ascii="Cambria" w:eastAsia="MS ??" w:hAnsi="Cambria" w:cs="Arial"/>
          <w:color w:val="000000" w:themeColor="text1"/>
        </w:rPr>
        <w:t>U</w:t>
      </w:r>
      <w:r w:rsidRPr="00F629A8">
        <w:rPr>
          <w:rFonts w:ascii="Cambria" w:eastAsia="MS ??" w:hAnsi="Cambria" w:cs="Arial"/>
          <w:color w:val="000000" w:themeColor="text1"/>
        </w:rPr>
        <w:t>sing the International Classification of Disease codes, 9</w:t>
      </w:r>
      <w:r w:rsidRPr="00742B0F">
        <w:rPr>
          <w:rFonts w:ascii="Cambria" w:eastAsia="MS ??" w:hAnsi="Cambria" w:cs="Arial"/>
          <w:color w:val="000000" w:themeColor="text1"/>
          <w:vertAlign w:val="superscript"/>
        </w:rPr>
        <w:t>th</w:t>
      </w:r>
      <w:r w:rsidRPr="00F629A8">
        <w:rPr>
          <w:rFonts w:ascii="Cambria" w:eastAsia="MS ??" w:hAnsi="Cambria" w:cs="Arial"/>
          <w:color w:val="000000" w:themeColor="text1"/>
        </w:rPr>
        <w:t xml:space="preserve"> (ICD-9-CM 530.85) and 10</w:t>
      </w:r>
      <w:r w:rsidRPr="00742B0F">
        <w:rPr>
          <w:rFonts w:ascii="Cambria" w:eastAsia="MS ??" w:hAnsi="Cambria" w:cs="Arial"/>
          <w:color w:val="000000" w:themeColor="text1"/>
          <w:vertAlign w:val="superscript"/>
        </w:rPr>
        <w:t>th</w:t>
      </w:r>
      <w:r w:rsidRPr="00F629A8">
        <w:rPr>
          <w:rFonts w:ascii="Cambria" w:eastAsia="MS ??" w:hAnsi="Cambria" w:cs="Arial"/>
          <w:color w:val="000000" w:themeColor="text1"/>
        </w:rPr>
        <w:t xml:space="preserve"> (ICD-10-CM K22.7).  </w:t>
      </w:r>
      <w:r>
        <w:rPr>
          <w:rFonts w:ascii="Cambria" w:eastAsia="MS ??" w:hAnsi="Cambria" w:cs="Arial"/>
          <w:color w:val="000000" w:themeColor="text1"/>
        </w:rPr>
        <w:t>and</w:t>
      </w:r>
      <w:r w:rsidRPr="00F629A8">
        <w:rPr>
          <w:rFonts w:ascii="Cambria" w:eastAsia="MS ??" w:hAnsi="Cambria" w:cs="Arial"/>
          <w:color w:val="000000" w:themeColor="text1"/>
        </w:rPr>
        <w:t xml:space="preserve"> confirmed by reviewing the endoscopic and histologic reports. BE was defined as endoscopic evidence of at least 1 cm of visible columnar mucosa in the esophagus and histologic evidence of intestinal metaplasia.     </w:t>
      </w:r>
    </w:p>
    <w:p w14:paraId="2B89C8BE" w14:textId="77777777" w:rsidR="00870A31" w:rsidRPr="00F629A8" w:rsidRDefault="00870A31" w:rsidP="00870A31">
      <w:pPr>
        <w:spacing w:line="480" w:lineRule="auto"/>
        <w:rPr>
          <w:rFonts w:ascii="Cambria" w:eastAsia="MS ??" w:hAnsi="Cambria" w:cs="Arial"/>
          <w:color w:val="000000" w:themeColor="text1"/>
        </w:rPr>
      </w:pPr>
    </w:p>
    <w:p w14:paraId="5FE6E4E8" w14:textId="77777777" w:rsidR="00870A31" w:rsidRPr="00F629A8" w:rsidRDefault="00870A31" w:rsidP="00870A31">
      <w:pPr>
        <w:spacing w:line="480" w:lineRule="auto"/>
        <w:rPr>
          <w:rFonts w:ascii="Cambria" w:eastAsia="MS ??" w:hAnsi="Cambria" w:cs="Arial"/>
          <w:i/>
          <w:color w:val="000000" w:themeColor="text1"/>
        </w:rPr>
      </w:pPr>
      <w:r w:rsidRPr="00F629A8">
        <w:rPr>
          <w:rFonts w:ascii="Cambria" w:eastAsia="MS ??" w:hAnsi="Cambria" w:cs="Arial"/>
          <w:i/>
          <w:color w:val="000000" w:themeColor="text1"/>
        </w:rPr>
        <w:t>Data abstraction</w:t>
      </w:r>
    </w:p>
    <w:p w14:paraId="37E887DA" w14:textId="77777777" w:rsidR="00870A31" w:rsidRPr="00F629A8" w:rsidRDefault="00870A31" w:rsidP="00870A31">
      <w:pPr>
        <w:spacing w:line="480" w:lineRule="auto"/>
        <w:rPr>
          <w:rFonts w:ascii="Cambria" w:hAnsi="Cambria" w:cs="Arial"/>
          <w:color w:val="000000" w:themeColor="text1"/>
        </w:rPr>
      </w:pPr>
      <w:r w:rsidRPr="00F629A8">
        <w:rPr>
          <w:rFonts w:ascii="Cambria" w:hAnsi="Cambria" w:cs="Arial"/>
          <w:color w:val="000000" w:themeColor="text1"/>
        </w:rPr>
        <w:t xml:space="preserve">Baseline characteristics, EAC stage, metabolic labs and risk factors were manually extracted from medical records. Metabolic diseases using ICD-9 and ICD-10 codes </w:t>
      </w:r>
      <w:r>
        <w:rPr>
          <w:rFonts w:ascii="Cambria" w:hAnsi="Cambria" w:cs="Arial"/>
          <w:color w:val="000000" w:themeColor="text1"/>
        </w:rPr>
        <w:t>were</w:t>
      </w:r>
      <w:r w:rsidRPr="00F629A8">
        <w:rPr>
          <w:rFonts w:ascii="Cambria" w:hAnsi="Cambria" w:cs="Arial"/>
          <w:color w:val="000000" w:themeColor="text1"/>
        </w:rPr>
        <w:t xml:space="preserve"> confirmed using manual </w:t>
      </w:r>
      <w:r>
        <w:rPr>
          <w:rFonts w:ascii="Cambria" w:hAnsi="Cambria" w:cs="Arial"/>
          <w:color w:val="000000" w:themeColor="text1"/>
        </w:rPr>
        <w:t xml:space="preserve">record </w:t>
      </w:r>
      <w:r w:rsidRPr="00F629A8">
        <w:rPr>
          <w:rFonts w:ascii="Cambria" w:hAnsi="Cambria" w:cs="Arial"/>
          <w:color w:val="000000" w:themeColor="text1"/>
        </w:rPr>
        <w:t xml:space="preserve">review.  Chronic reflux was defined as the presence of heartburn for more than 6 months as reported by the patient during their clinical visit. Metabolic labs were extracted from the time period closer to the BE and EAC diagnosis without a time limitation. </w:t>
      </w:r>
      <w:r>
        <w:rPr>
          <w:rFonts w:ascii="Cambria" w:hAnsi="Cambria" w:cs="Arial"/>
          <w:color w:val="000000" w:themeColor="text1"/>
        </w:rPr>
        <w:t xml:space="preserve">A mean of </w:t>
      </w:r>
      <w:r w:rsidRPr="00F629A8">
        <w:rPr>
          <w:rFonts w:ascii="Cambria" w:hAnsi="Cambria" w:cs="Arial"/>
          <w:color w:val="000000" w:themeColor="text1"/>
        </w:rPr>
        <w:t>multiple values was recorded. If ALT</w:t>
      </w:r>
      <w:r>
        <w:rPr>
          <w:rFonts w:ascii="Cambria" w:hAnsi="Cambria" w:cs="Arial"/>
          <w:color w:val="000000" w:themeColor="text1"/>
        </w:rPr>
        <w:t xml:space="preserve"> elevation </w:t>
      </w:r>
      <w:r w:rsidRPr="00F629A8">
        <w:rPr>
          <w:rFonts w:ascii="Cambria" w:hAnsi="Cambria" w:cs="Arial"/>
          <w:color w:val="000000" w:themeColor="text1"/>
        </w:rPr>
        <w:t>due to liver metastases or chemotherapy, this was not used</w:t>
      </w:r>
      <w:r>
        <w:rPr>
          <w:rFonts w:ascii="Cambria" w:hAnsi="Cambria" w:cs="Arial"/>
          <w:color w:val="000000" w:themeColor="text1"/>
        </w:rPr>
        <w:t xml:space="preserve">. </w:t>
      </w:r>
      <w:r w:rsidRPr="00F629A8">
        <w:rPr>
          <w:rFonts w:ascii="Cambria" w:hAnsi="Cambria" w:cs="Arial"/>
          <w:color w:val="000000" w:themeColor="text1"/>
        </w:rPr>
        <w:t xml:space="preserve">Nonalcoholic steatohepatitis (NASH) was defined </w:t>
      </w:r>
      <w:r>
        <w:rPr>
          <w:rFonts w:ascii="Cambria" w:hAnsi="Cambria" w:cs="Arial"/>
          <w:color w:val="000000" w:themeColor="text1"/>
        </w:rPr>
        <w:t>by</w:t>
      </w:r>
      <w:r w:rsidRPr="00742B0F">
        <w:rPr>
          <w:rFonts w:ascii="Cambria" w:hAnsi="Cambria" w:cs="Arial"/>
          <w:color w:val="000000" w:themeColor="text1"/>
        </w:rPr>
        <w:t xml:space="preserve"> high BMI (BMI&gt;25)</w:t>
      </w:r>
      <w:r>
        <w:rPr>
          <w:rFonts w:ascii="Cambria" w:hAnsi="Cambria" w:cs="Arial"/>
          <w:color w:val="000000" w:themeColor="text1"/>
        </w:rPr>
        <w:t xml:space="preserve"> or</w:t>
      </w:r>
      <w:r w:rsidRPr="00781777">
        <w:rPr>
          <w:rFonts w:ascii="Cambria" w:hAnsi="Cambria" w:cs="Arial"/>
          <w:i/>
          <w:iCs/>
          <w:color w:val="000000" w:themeColor="text1"/>
        </w:rPr>
        <w:t xml:space="preserve"> </w:t>
      </w:r>
      <w:r w:rsidRPr="00F629A8">
        <w:rPr>
          <w:rFonts w:ascii="Cambria" w:hAnsi="Cambria" w:cs="Arial"/>
          <w:color w:val="000000" w:themeColor="text1"/>
        </w:rPr>
        <w:t xml:space="preserve">fatty appearing liver on cross sectional imaging </w:t>
      </w:r>
      <w:r>
        <w:rPr>
          <w:rFonts w:ascii="Cambria" w:hAnsi="Cambria" w:cs="Arial"/>
          <w:color w:val="000000" w:themeColor="text1"/>
        </w:rPr>
        <w:t>and</w:t>
      </w:r>
      <w:r w:rsidRPr="00F629A8">
        <w:rPr>
          <w:rFonts w:ascii="Cambria" w:hAnsi="Cambria" w:cs="Arial"/>
          <w:color w:val="000000" w:themeColor="text1"/>
        </w:rPr>
        <w:t xml:space="preserve"> elevated ALT&gt;40 IU/L with ALT&gt;AST, </w:t>
      </w:r>
      <w:r>
        <w:rPr>
          <w:rFonts w:ascii="Cambria" w:hAnsi="Cambria" w:cs="Arial"/>
          <w:color w:val="000000" w:themeColor="text1"/>
        </w:rPr>
        <w:t>without alternative</w:t>
      </w:r>
      <w:r w:rsidRPr="00F629A8">
        <w:rPr>
          <w:rFonts w:ascii="Cambria" w:hAnsi="Cambria" w:cs="Arial"/>
          <w:color w:val="000000" w:themeColor="text1"/>
        </w:rPr>
        <w:t xml:space="preserve"> explanation. Metabolic syndrome was defined as the presence of three or more of the following risk factors:  central obesity, </w:t>
      </w:r>
      <w:r w:rsidRPr="00F629A8">
        <w:rPr>
          <w:rFonts w:ascii="Cambria" w:hAnsi="Cambria" w:cs="Arial"/>
          <w:color w:val="000000" w:themeColor="text1"/>
        </w:rPr>
        <w:lastRenderedPageBreak/>
        <w:t xml:space="preserve">hypertension, elevated LDL, and elevated HgA1c or diabetes </w:t>
      </w:r>
      <w:r w:rsidRPr="00F629A8">
        <w:rPr>
          <w:rFonts w:ascii="Cambria" w:hAnsi="Cambria" w:cs="Arial"/>
          <w:color w:val="000000" w:themeColor="text1"/>
        </w:rPr>
        <w:fldChar w:fldCharType="begin">
          <w:fldData xml:space="preserve">PEVuZE5vdGU+PENpdGU+PEF1dGhvcj5OYXRpb25hbCBDaG9sZXN0ZXJvbCBFZHVjYXRpb24gUHJv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</w:fldData>
        </w:fldChar>
      </w:r>
      <w:r>
        <w:rPr>
          <w:rFonts w:ascii="Cambria" w:hAnsi="Cambria" w:cs="Arial"/>
          <w:color w:val="000000" w:themeColor="text1"/>
        </w:rPr>
        <w:instrText xml:space="preserve"> ADDIN EN.CITE </w:instrText>
      </w:r>
      <w:r>
        <w:rPr>
          <w:rFonts w:ascii="Cambria" w:hAnsi="Cambria" w:cs="Arial"/>
          <w:color w:val="000000" w:themeColor="text1"/>
        </w:rPr>
        <w:fldChar w:fldCharType="begin">
          <w:fldData xml:space="preserve">PEVuZE5vdGU+PENpdGU+PEF1dGhvcj5OYXRpb25hbCBDaG9sZXN0ZXJvbCBFZHVjYXRpb24gUHJv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</w:fldData>
        </w:fldChar>
      </w:r>
      <w:r>
        <w:rPr>
          <w:rFonts w:ascii="Cambria" w:hAnsi="Cambria" w:cs="Arial"/>
          <w:color w:val="000000" w:themeColor="text1"/>
        </w:rPr>
        <w:instrText xml:space="preserve"> ADDIN EN.CITE.DATA </w:instrText>
      </w:r>
      <w:r>
        <w:rPr>
          <w:rFonts w:ascii="Cambria" w:hAnsi="Cambria" w:cs="Arial"/>
          <w:color w:val="000000" w:themeColor="text1"/>
        </w:rPr>
      </w:r>
      <w:r>
        <w:rPr>
          <w:rFonts w:ascii="Cambria" w:hAnsi="Cambria" w:cs="Arial"/>
          <w:color w:val="000000" w:themeColor="text1"/>
        </w:rPr>
        <w:fldChar w:fldCharType="end"/>
      </w:r>
      <w:r w:rsidRPr="00F629A8">
        <w:rPr>
          <w:rFonts w:ascii="Cambria" w:hAnsi="Cambria" w:cs="Arial"/>
          <w:color w:val="000000" w:themeColor="text1"/>
        </w:rPr>
      </w:r>
      <w:r w:rsidRPr="00F629A8">
        <w:rPr>
          <w:rFonts w:ascii="Cambria" w:hAnsi="Cambria" w:cs="Arial"/>
          <w:color w:val="000000" w:themeColor="text1"/>
        </w:rPr>
        <w:fldChar w:fldCharType="separate"/>
      </w:r>
      <w:r w:rsidRPr="00122935">
        <w:rPr>
          <w:rFonts w:ascii="Cambria" w:hAnsi="Cambria" w:cs="Arial"/>
          <w:noProof/>
          <w:color w:val="000000" w:themeColor="text1"/>
          <w:vertAlign w:val="superscript"/>
        </w:rPr>
        <w:t>14</w:t>
      </w:r>
      <w:r w:rsidRPr="00F629A8">
        <w:rPr>
          <w:rFonts w:ascii="Cambria" w:hAnsi="Cambria" w:cs="Arial"/>
          <w:color w:val="000000" w:themeColor="text1"/>
        </w:rPr>
        <w:fldChar w:fldCharType="end"/>
      </w:r>
      <w:r w:rsidRPr="00F629A8">
        <w:rPr>
          <w:rFonts w:ascii="Cambria" w:hAnsi="Cambria" w:cs="Arial"/>
          <w:color w:val="000000" w:themeColor="text1"/>
        </w:rPr>
        <w:t xml:space="preserve">. BMI ≥30 kg/m2 was considered a surrogate for central obesity </w:t>
      </w:r>
      <w:r w:rsidRPr="00F629A8">
        <w:rPr>
          <w:rFonts w:ascii="Cambria" w:hAnsi="Cambria" w:cs="Arial"/>
          <w:color w:val="000000" w:themeColor="text1"/>
        </w:rPr>
        <w:fldChar w:fldCharType="begin"/>
      </w:r>
      <w:r>
        <w:rPr>
          <w:rFonts w:ascii="Cambria" w:hAnsi="Cambria" w:cs="Arial"/>
          <w:color w:val="000000" w:themeColor="text1"/>
        </w:rPr>
        <w:instrText xml:space="preserve"> ADDIN EN.CITE &lt;EndNote&gt;&lt;Cite&gt;&lt;Author&gt;Alberti&lt;/Author&gt;&lt;Year&gt;2005&lt;/Year&gt;&lt;RecNum&gt;2458&lt;/RecNum&gt;&lt;DisplayText&gt;&lt;style face="superscript"&gt;15&lt;/style&gt;&lt;/DisplayText&gt;&lt;record&gt;&lt;rec-number&gt;2458&lt;/rec-number&gt;&lt;foreign-keys&gt;&lt;key app="EN" db-id="szweaxd0prfvtwe59rd5w02wtpvdwtz2s2sr" timestamp="1591329276"&gt;2458&lt;/key&gt;&lt;/foreign-keys&gt;&lt;ref-type name="Journal Article"&gt;17&lt;/ref-type&gt;&lt;contributors&gt;&lt;authors&gt;&lt;author&gt;Alberti, K. G.&lt;/author&gt;&lt;author&gt;Zimmet, P.&lt;/author&gt;&lt;author&gt;Shaw, J.&lt;/author&gt;&lt;author&gt;I. D. F. Epidemiology Task Force Consensus Group&lt;/author&gt;&lt;/authors&gt;&lt;/contributors&gt;&lt;auth-address&gt;Department of Endocrinology and Metabolism, St Marys Hospital, London W2 1NY, UK. George.Alberti@newcastle.ac.uk&lt;/auth-address&gt;&lt;titles&gt;&lt;title&gt;The metabolic syndrome--a new worldwide definition&lt;/title&gt;&lt;secondary-title&gt;Lancet&lt;/secondary-title&gt;&lt;/titles&gt;&lt;periodical&gt;&lt;full-title&gt;Lancet&lt;/full-title&gt;&lt;/periodical&gt;&lt;pages&gt;1059-62&lt;/pages&gt;&lt;volume&gt;366&lt;/volume&gt;&lt;number&gt;9491&lt;/number&gt;&lt;edition&gt;2005/09/27&lt;/edition&gt;&lt;keywords&gt;&lt;keyword&gt;Asia, Southeastern/ethnology&lt;/keyword&gt;&lt;keyword&gt;Cardiovascular Diseases/complications&lt;/keyword&gt;&lt;keyword&gt;China/ethnology&lt;/keyword&gt;&lt;keyword&gt;Diabetes Mellitus, Type 2/complications&lt;/keyword&gt;&lt;keyword&gt;Ethnic Groups&lt;/keyword&gt;&lt;keyword&gt;Female&lt;/keyword&gt;&lt;keyword&gt;Humans&lt;/keyword&gt;&lt;keyword&gt;Japan/ethnology&lt;/keyword&gt;&lt;keyword&gt;Male&lt;/keyword&gt;&lt;keyword&gt;Metabolic Syndrome/classification/complications/*diagnosis/ethnology&lt;/keyword&gt;&lt;keyword&gt;Risk Factors&lt;/keyword&gt;&lt;/keywords&gt;&lt;dates&gt;&lt;year&gt;2005&lt;/year&gt;&lt;pub-dates&gt;&lt;date&gt;Sep 24-30&lt;/date&gt;&lt;/pub-dates&gt;&lt;/dates&gt;&lt;isbn&gt;1474-547X (Electronic)&amp;#xD;0140-6736 (Linking)&lt;/isbn&gt;&lt;accession-num&gt;16182882&lt;/accession-num&gt;&lt;urls&gt;&lt;related-urls&gt;&lt;url&gt;https://www.ncbi.nlm.nih.gov/pubmed/16182882&lt;/url&gt;&lt;/related-urls&gt;&lt;/urls&gt;&lt;electronic-resource-num&gt;10.1016/S0140-6736(05)67402-8&lt;/electronic-resource-num&gt;&lt;/record&gt;&lt;/Cite&gt;&lt;/EndNote&gt;</w:instrText>
      </w:r>
      <w:r w:rsidRPr="00F629A8">
        <w:rPr>
          <w:rFonts w:ascii="Cambria" w:hAnsi="Cambria" w:cs="Arial"/>
          <w:color w:val="000000" w:themeColor="text1"/>
        </w:rPr>
        <w:fldChar w:fldCharType="separate"/>
      </w:r>
      <w:r w:rsidRPr="00122935">
        <w:rPr>
          <w:rFonts w:ascii="Cambria" w:hAnsi="Cambria" w:cs="Arial"/>
          <w:noProof/>
          <w:color w:val="000000" w:themeColor="text1"/>
          <w:vertAlign w:val="superscript"/>
        </w:rPr>
        <w:t>15</w:t>
      </w:r>
      <w:r w:rsidRPr="00F629A8">
        <w:rPr>
          <w:rFonts w:ascii="Cambria" w:hAnsi="Cambria" w:cs="Arial"/>
          <w:color w:val="000000" w:themeColor="text1"/>
        </w:rPr>
        <w:fldChar w:fldCharType="end"/>
      </w:r>
      <w:r w:rsidRPr="00F629A8">
        <w:rPr>
          <w:rFonts w:ascii="Cambria" w:hAnsi="Cambria" w:cs="Arial"/>
          <w:color w:val="000000" w:themeColor="text1"/>
        </w:rPr>
        <w:t xml:space="preserve">. </w:t>
      </w:r>
    </w:p>
    <w:p w14:paraId="6EB07B6D" w14:textId="77777777" w:rsidR="00870A31" w:rsidRPr="00F629A8" w:rsidRDefault="00870A31" w:rsidP="00870A31">
      <w:pPr>
        <w:spacing w:line="480" w:lineRule="auto"/>
        <w:rPr>
          <w:rFonts w:ascii="Cambria" w:hAnsi="Cambria" w:cs="Arial"/>
          <w:color w:val="000000" w:themeColor="text1"/>
        </w:rPr>
      </w:pPr>
    </w:p>
    <w:p w14:paraId="037BFE83" w14:textId="77777777" w:rsidR="00870A31" w:rsidRPr="00F629A8" w:rsidRDefault="00870A31" w:rsidP="00870A31">
      <w:pPr>
        <w:spacing w:line="480" w:lineRule="auto"/>
        <w:rPr>
          <w:rFonts w:ascii="Cambria" w:hAnsi="Cambria"/>
          <w:i/>
        </w:rPr>
      </w:pPr>
      <w:r w:rsidRPr="00F629A8">
        <w:rPr>
          <w:rFonts w:ascii="Cambria" w:hAnsi="Cambria"/>
          <w:i/>
        </w:rPr>
        <w:t>Statistical analysis:</w:t>
      </w:r>
    </w:p>
    <w:p w14:paraId="46DF8915" w14:textId="77777777" w:rsidR="00870A31" w:rsidRPr="00F629A8" w:rsidRDefault="00870A31" w:rsidP="00870A31">
      <w:pPr>
        <w:spacing w:line="480" w:lineRule="auto"/>
        <w:rPr>
          <w:rFonts w:ascii="Cambria" w:hAnsi="Cambria"/>
        </w:rPr>
      </w:pPr>
      <w:r w:rsidRPr="00F629A8">
        <w:rPr>
          <w:rFonts w:ascii="Cambria" w:eastAsia="MS ??" w:hAnsi="Cambria" w:cs="Arial"/>
          <w:color w:val="000000" w:themeColor="text1"/>
        </w:rPr>
        <w:t xml:space="preserve">The study outcomes were to compare risk factors between BE and </w:t>
      </w:r>
      <w:r>
        <w:rPr>
          <w:rFonts w:ascii="Cambria" w:eastAsia="MS ??" w:hAnsi="Cambria" w:cs="Arial"/>
          <w:color w:val="000000" w:themeColor="text1"/>
        </w:rPr>
        <w:t xml:space="preserve">all </w:t>
      </w:r>
      <w:r w:rsidRPr="00F629A8">
        <w:rPr>
          <w:rFonts w:ascii="Cambria" w:eastAsia="MS ??" w:hAnsi="Cambria" w:cs="Arial"/>
          <w:color w:val="000000" w:themeColor="text1"/>
        </w:rPr>
        <w:t xml:space="preserve">EAC and early EAC (stage I or II) </w:t>
      </w:r>
      <w:r w:rsidRPr="00F629A8">
        <w:rPr>
          <w:rFonts w:ascii="Cambria" w:hAnsi="Cambria" w:cs="Arial"/>
          <w:color w:val="000000" w:themeColor="text1"/>
        </w:rPr>
        <w:t xml:space="preserve">  </w:t>
      </w:r>
      <w:r w:rsidRPr="00F629A8">
        <w:rPr>
          <w:rFonts w:ascii="Cambria" w:hAnsi="Cambria"/>
        </w:rPr>
        <w:t xml:space="preserve">We performed one-to-one matching between EAC and BE based on age and sex </w:t>
      </w:r>
      <w:r w:rsidRPr="00F629A8">
        <w:rPr>
          <w:rFonts w:ascii="Cambria" w:eastAsia="MS ??" w:hAnsi="Cambria" w:cs="Arial"/>
          <w:color w:val="000000" w:themeColor="text1"/>
        </w:rPr>
        <w:t xml:space="preserve">to assure comparability between the two groups. </w:t>
      </w:r>
      <w:r w:rsidRPr="00F629A8">
        <w:rPr>
          <w:rFonts w:ascii="Cambria" w:hAnsi="Cambria"/>
        </w:rPr>
        <w:t xml:space="preserve">using the nearest neighbor method, within a caliper width of 0.1 of the standard deviation of the logit of the propensity score. Baseline characteristics were compared using chi-square χ2 analysis for categorical variables and Student’s t-test for continuous variables. If missing data were more than 5%, we used inverse probability weight to account for missing data. All statistical analyses were performed using STATA 14.2 (College Station, TX: </w:t>
      </w:r>
      <w:proofErr w:type="spellStart"/>
      <w:r w:rsidRPr="00F629A8">
        <w:rPr>
          <w:rFonts w:ascii="Cambria" w:hAnsi="Cambria"/>
        </w:rPr>
        <w:t>StataCorp</w:t>
      </w:r>
      <w:proofErr w:type="spellEnd"/>
      <w:r w:rsidRPr="00F629A8">
        <w:rPr>
          <w:rFonts w:ascii="Cambria" w:hAnsi="Cambria"/>
        </w:rPr>
        <w:t xml:space="preserve"> LP.)</w:t>
      </w:r>
    </w:p>
    <w:p w14:paraId="089ACBE4" w14:textId="77777777" w:rsidR="00870A31" w:rsidRPr="00F629A8" w:rsidRDefault="00870A31" w:rsidP="00870A31">
      <w:pPr>
        <w:spacing w:line="480" w:lineRule="auto"/>
        <w:rPr>
          <w:rFonts w:ascii="Cambria" w:hAnsi="Cambria"/>
        </w:rPr>
      </w:pPr>
    </w:p>
    <w:p w14:paraId="358C9477" w14:textId="77777777" w:rsidR="00870A31" w:rsidRPr="00F629A8" w:rsidRDefault="00870A31" w:rsidP="00870A31">
      <w:pPr>
        <w:spacing w:line="480" w:lineRule="auto"/>
        <w:rPr>
          <w:rFonts w:ascii="Cambria" w:hAnsi="Cambria"/>
        </w:rPr>
      </w:pPr>
    </w:p>
    <w:p w14:paraId="2B156457" w14:textId="77777777" w:rsidR="00072ED5" w:rsidRDefault="00870A31"/>
    <w:sectPr w:rsidR="00072ED5" w:rsidSect="00C74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31"/>
    <w:rsid w:val="000F2524"/>
    <w:rsid w:val="00511802"/>
    <w:rsid w:val="00870A31"/>
    <w:rsid w:val="00B7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21F5BF"/>
  <w15:chartTrackingRefBased/>
  <w15:docId w15:val="{695A57F1-8A00-A841-9F64-41743513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A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Sawas</dc:creator>
  <cp:keywords/>
  <dc:description/>
  <cp:lastModifiedBy>Tarek Sawas</cp:lastModifiedBy>
  <cp:revision>1</cp:revision>
  <dcterms:created xsi:type="dcterms:W3CDTF">2020-08-25T01:51:00Z</dcterms:created>
  <dcterms:modified xsi:type="dcterms:W3CDTF">2020-08-25T01:52:00Z</dcterms:modified>
</cp:coreProperties>
</file>