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F" w:rsidRPr="001C0204" w:rsidRDefault="00C11A3F" w:rsidP="00C11A3F">
      <w:pPr>
        <w:spacing w:line="480" w:lineRule="auto"/>
      </w:pPr>
      <w:r>
        <w:rPr>
          <w:b/>
        </w:rPr>
        <w:t xml:space="preserve">Supplementary </w:t>
      </w:r>
      <w:r w:rsidRPr="001C0204">
        <w:rPr>
          <w:b/>
        </w:rPr>
        <w:t xml:space="preserve">Table </w:t>
      </w:r>
      <w:r>
        <w:rPr>
          <w:b/>
        </w:rPr>
        <w:t>1.</w:t>
      </w:r>
      <w:r w:rsidRPr="001C0204">
        <w:t xml:space="preserve"> Secondary efficacy endpoints over the 12</w:t>
      </w:r>
      <w:r>
        <w:t>-</w:t>
      </w:r>
      <w:r w:rsidRPr="001C0204">
        <w:t xml:space="preserve">week double-blind treatment period </w:t>
      </w:r>
    </w:p>
    <w:tbl>
      <w:tblPr>
        <w:tblW w:w="12015" w:type="dxa"/>
        <w:tblLayout w:type="fixed"/>
        <w:tblLook w:val="00A0" w:firstRow="1" w:lastRow="0" w:firstColumn="1" w:lastColumn="0" w:noHBand="0" w:noVBand="0"/>
      </w:tblPr>
      <w:tblGrid>
        <w:gridCol w:w="4361"/>
        <w:gridCol w:w="2268"/>
        <w:gridCol w:w="992"/>
        <w:gridCol w:w="2268"/>
        <w:gridCol w:w="851"/>
        <w:gridCol w:w="1275"/>
      </w:tblGrid>
      <w:tr w:rsidR="00C11A3F" w:rsidRPr="00A25ECE" w:rsidTr="00FA1739">
        <w:trPr>
          <w:trHeight w:val="42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Placebo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i/>
                <w:sz w:val="20"/>
                <w:szCs w:val="20"/>
              </w:rPr>
            </w:pPr>
            <w:r w:rsidRPr="00A25ECE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A25ECE">
              <w:rPr>
                <w:sz w:val="20"/>
                <w:szCs w:val="20"/>
              </w:rPr>
              <w:t>Prucalopride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i/>
                <w:sz w:val="20"/>
                <w:szCs w:val="20"/>
              </w:rPr>
            </w:pPr>
            <w:r w:rsidRPr="00A25ECE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i/>
                <w:sz w:val="20"/>
                <w:szCs w:val="20"/>
              </w:rPr>
              <w:t xml:space="preserve">P </w:t>
            </w:r>
            <w:r w:rsidRPr="00A25ECE">
              <w:rPr>
                <w:sz w:val="20"/>
                <w:szCs w:val="20"/>
              </w:rPr>
              <w:t>value</w:t>
            </w:r>
          </w:p>
        </w:tc>
      </w:tr>
      <w:tr w:rsidR="00C11A3F" w:rsidRPr="00A25ECE" w:rsidTr="00FA1739">
        <w:trPr>
          <w:trHeight w:val="40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 xml:space="preserve">Proportion of patients, </w:t>
            </w:r>
            <w:r w:rsidRPr="00AA6D28">
              <w:rPr>
                <w:i/>
                <w:sz w:val="20"/>
                <w:szCs w:val="20"/>
              </w:rPr>
              <w:t>n</w:t>
            </w:r>
            <w:r w:rsidRPr="00AA6D28">
              <w:rPr>
                <w:sz w:val="20"/>
                <w:szCs w:val="20"/>
              </w:rPr>
              <w:t xml:space="preserve"> (%), with: ≥3 SCBMs/week and an increase of ≥1 SCBM per week for ≥75% of 12-week treatment period and ≥75% of last third of treatment period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22 (12.2)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E007E7">
              <w:rPr>
                <w:sz w:val="20"/>
                <w:szCs w:val="20"/>
              </w:rPr>
              <w:t>181</w:t>
            </w:r>
          </w:p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E007E7">
              <w:rPr>
                <w:sz w:val="20"/>
                <w:szCs w:val="20"/>
              </w:rPr>
              <w:t>49 (27.7)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0.0002</w:t>
            </w:r>
            <w:r w:rsidRPr="00A25ECE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C11A3F" w:rsidRPr="00A25ECE" w:rsidTr="00FA1739">
        <w:trPr>
          <w:trHeight w:val="293"/>
        </w:trPr>
        <w:tc>
          <w:tcPr>
            <w:tcW w:w="4361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 xml:space="preserve">Proportion of patients, </w:t>
            </w:r>
            <w:r w:rsidRPr="00AA6D28">
              <w:rPr>
                <w:i/>
                <w:sz w:val="20"/>
                <w:szCs w:val="20"/>
              </w:rPr>
              <w:t>n</w:t>
            </w:r>
            <w:r w:rsidRPr="00AA6D28">
              <w:rPr>
                <w:sz w:val="20"/>
                <w:szCs w:val="20"/>
              </w:rPr>
              <w:t xml:space="preserve"> (%), with: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C11A3F" w:rsidRPr="00A25ECE" w:rsidTr="00FA1739">
        <w:trPr>
          <w:trHeight w:val="389"/>
        </w:trPr>
        <w:tc>
          <w:tcPr>
            <w:tcW w:w="4361" w:type="dxa"/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≥3 SBMs/week</w:t>
            </w:r>
          </w:p>
        </w:tc>
        <w:tc>
          <w:tcPr>
            <w:tcW w:w="2268" w:type="dxa"/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110 (60.8)</w:t>
            </w:r>
          </w:p>
        </w:tc>
        <w:tc>
          <w:tcPr>
            <w:tcW w:w="992" w:type="dxa"/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E007E7">
              <w:rPr>
                <w:sz w:val="20"/>
                <w:szCs w:val="20"/>
              </w:rPr>
              <w:t>181</w:t>
            </w:r>
          </w:p>
        </w:tc>
        <w:tc>
          <w:tcPr>
            <w:tcW w:w="2268" w:type="dxa"/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E007E7">
              <w:rPr>
                <w:sz w:val="20"/>
                <w:szCs w:val="20"/>
              </w:rPr>
              <w:t>137 (77.4)</w:t>
            </w:r>
          </w:p>
        </w:tc>
        <w:tc>
          <w:tcPr>
            <w:tcW w:w="851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177</w:t>
            </w:r>
          </w:p>
        </w:tc>
        <w:tc>
          <w:tcPr>
            <w:tcW w:w="1275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0.0011</w:t>
            </w:r>
          </w:p>
        </w:tc>
      </w:tr>
      <w:tr w:rsidR="00C11A3F" w:rsidRPr="00A25ECE" w:rsidTr="00FA1739">
        <w:trPr>
          <w:trHeight w:val="372"/>
        </w:trPr>
        <w:tc>
          <w:tcPr>
            <w:tcW w:w="4361" w:type="dxa"/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≥3 CBMs/week</w:t>
            </w:r>
          </w:p>
        </w:tc>
        <w:tc>
          <w:tcPr>
            <w:tcW w:w="2268" w:type="dxa"/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39 (21.5)</w:t>
            </w:r>
          </w:p>
        </w:tc>
        <w:tc>
          <w:tcPr>
            <w:tcW w:w="992" w:type="dxa"/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E007E7">
              <w:rPr>
                <w:sz w:val="20"/>
                <w:szCs w:val="20"/>
              </w:rPr>
              <w:t>181</w:t>
            </w:r>
          </w:p>
        </w:tc>
        <w:tc>
          <w:tcPr>
            <w:tcW w:w="2268" w:type="dxa"/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E007E7">
              <w:rPr>
                <w:sz w:val="20"/>
                <w:szCs w:val="20"/>
              </w:rPr>
              <w:t>70 (39.5)</w:t>
            </w:r>
          </w:p>
        </w:tc>
        <w:tc>
          <w:tcPr>
            <w:tcW w:w="851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177</w:t>
            </w:r>
          </w:p>
        </w:tc>
        <w:tc>
          <w:tcPr>
            <w:tcW w:w="1275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0.0001</w:t>
            </w:r>
          </w:p>
        </w:tc>
      </w:tr>
      <w:tr w:rsidR="00C11A3F" w:rsidRPr="00A25ECE" w:rsidTr="00FA1739">
        <w:trPr>
          <w:trHeight w:val="80"/>
        </w:trPr>
        <w:tc>
          <w:tcPr>
            <w:tcW w:w="4361" w:type="dxa"/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≥3 BMs/week</w:t>
            </w:r>
          </w:p>
        </w:tc>
        <w:tc>
          <w:tcPr>
            <w:tcW w:w="2268" w:type="dxa"/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123 (68.0)</w:t>
            </w:r>
          </w:p>
        </w:tc>
        <w:tc>
          <w:tcPr>
            <w:tcW w:w="992" w:type="dxa"/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E007E7">
              <w:rPr>
                <w:sz w:val="20"/>
                <w:szCs w:val="20"/>
              </w:rPr>
              <w:t>181</w:t>
            </w:r>
          </w:p>
        </w:tc>
        <w:tc>
          <w:tcPr>
            <w:tcW w:w="2268" w:type="dxa"/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E007E7">
              <w:rPr>
                <w:sz w:val="20"/>
                <w:szCs w:val="20"/>
              </w:rPr>
              <w:t>143 (80.8)</w:t>
            </w:r>
          </w:p>
        </w:tc>
        <w:tc>
          <w:tcPr>
            <w:tcW w:w="851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177</w:t>
            </w:r>
          </w:p>
        </w:tc>
        <w:tc>
          <w:tcPr>
            <w:tcW w:w="1275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0.0064</w:t>
            </w:r>
          </w:p>
        </w:tc>
      </w:tr>
      <w:tr w:rsidR="00C11A3F" w:rsidRPr="00A25ECE" w:rsidTr="00FA1739">
        <w:trPr>
          <w:trHeight w:val="389"/>
        </w:trPr>
        <w:tc>
          <w:tcPr>
            <w:tcW w:w="4361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an increase of ≥1 SCBM/week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82 (45.3)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E007E7">
              <w:rPr>
                <w:sz w:val="20"/>
                <w:szCs w:val="20"/>
              </w:rPr>
              <w:t>181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E007E7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E007E7">
              <w:rPr>
                <w:sz w:val="20"/>
                <w:szCs w:val="20"/>
              </w:rPr>
              <w:t>95 (53.7)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0.0743</w:t>
            </w:r>
          </w:p>
        </w:tc>
      </w:tr>
      <w:tr w:rsidR="00C11A3F" w:rsidRPr="00A25ECE" w:rsidTr="00FA1739">
        <w:trPr>
          <w:trHeight w:val="372"/>
        </w:trPr>
        <w:tc>
          <w:tcPr>
            <w:tcW w:w="4361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Number of SCBMs/week, mean (SD)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C11A3F" w:rsidRPr="00A25ECE" w:rsidTr="00FA1739">
        <w:trPr>
          <w:trHeight w:val="349"/>
        </w:trPr>
        <w:tc>
          <w:tcPr>
            <w:tcW w:w="4361" w:type="dxa"/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Baseline</w:t>
            </w:r>
          </w:p>
        </w:tc>
        <w:tc>
          <w:tcPr>
            <w:tcW w:w="2268" w:type="dxa"/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0.51 (0.690)</w:t>
            </w:r>
          </w:p>
        </w:tc>
        <w:tc>
          <w:tcPr>
            <w:tcW w:w="992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177</w:t>
            </w:r>
          </w:p>
        </w:tc>
        <w:tc>
          <w:tcPr>
            <w:tcW w:w="2268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0.39 (0.630)</w:t>
            </w:r>
          </w:p>
        </w:tc>
        <w:tc>
          <w:tcPr>
            <w:tcW w:w="851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174</w:t>
            </w:r>
          </w:p>
        </w:tc>
        <w:tc>
          <w:tcPr>
            <w:tcW w:w="1275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</w:t>
            </w:r>
          </w:p>
        </w:tc>
      </w:tr>
      <w:tr w:rsidR="00C11A3F" w:rsidRPr="00A25ECE" w:rsidTr="00FA1739">
        <w:trPr>
          <w:trHeight w:val="372"/>
        </w:trPr>
        <w:tc>
          <w:tcPr>
            <w:tcW w:w="4361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Change from baseline to weeks 1–12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1.25 (1.899)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2.17 (2.371)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25ECE">
              <w:rPr>
                <w:sz w:val="20"/>
                <w:szCs w:val="20"/>
              </w:rPr>
              <w:t>0.0001</w:t>
            </w:r>
            <w:r w:rsidRPr="00A25ECE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C11A3F" w:rsidRPr="00A25ECE" w:rsidTr="00FA1739">
        <w:trPr>
          <w:trHeight w:val="365"/>
        </w:trPr>
        <w:tc>
          <w:tcPr>
            <w:tcW w:w="4361" w:type="dxa"/>
            <w:tcBorders>
              <w:top w:val="single" w:sz="4" w:space="0" w:color="auto"/>
            </w:tcBorders>
            <w:vAlign w:val="bottom"/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Time to first SCBM, h, median (5%, 95%)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C11A3F" w:rsidRPr="00A25ECE" w:rsidTr="00FA1739">
        <w:trPr>
          <w:trHeight w:val="295"/>
        </w:trPr>
        <w:tc>
          <w:tcPr>
            <w:tcW w:w="4361" w:type="dxa"/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Day 1 (post-dose)</w:t>
            </w:r>
          </w:p>
        </w:tc>
        <w:tc>
          <w:tcPr>
            <w:tcW w:w="2268" w:type="dxa"/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218.9 (143.93, 291.43)</w:t>
            </w:r>
          </w:p>
        </w:tc>
        <w:tc>
          <w:tcPr>
            <w:tcW w:w="992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25ECE">
              <w:rPr>
                <w:sz w:val="20"/>
                <w:szCs w:val="20"/>
              </w:rPr>
              <w:t>135</w:t>
            </w:r>
            <w:r w:rsidRPr="00A25EC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68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110.3 (70.80, 172.77)</w:t>
            </w:r>
          </w:p>
        </w:tc>
        <w:tc>
          <w:tcPr>
            <w:tcW w:w="851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140</w:t>
            </w:r>
            <w:r w:rsidRPr="00A25EC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5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25ECE">
              <w:rPr>
                <w:sz w:val="20"/>
                <w:szCs w:val="20"/>
              </w:rPr>
              <w:t>0.0090</w:t>
            </w:r>
            <w:r w:rsidRPr="00A25ECE">
              <w:rPr>
                <w:sz w:val="20"/>
                <w:szCs w:val="20"/>
                <w:vertAlign w:val="superscript"/>
              </w:rPr>
              <w:t>d</w:t>
            </w:r>
          </w:p>
        </w:tc>
      </w:tr>
      <w:tr w:rsidR="00C11A3F" w:rsidRPr="00A25ECE" w:rsidTr="00FA1739">
        <w:trPr>
          <w:trHeight w:val="299"/>
        </w:trPr>
        <w:tc>
          <w:tcPr>
            <w:tcW w:w="4361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Day 29 (post-dose)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122.9 (73.60, 192.95)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131</w:t>
            </w:r>
            <w:r w:rsidRPr="00A25EC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72.2 (49.67, 104.50)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126</w:t>
            </w:r>
            <w:r w:rsidRPr="00A25EC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0.0519</w:t>
            </w:r>
            <w:r w:rsidRPr="00A25ECE">
              <w:rPr>
                <w:sz w:val="20"/>
                <w:szCs w:val="20"/>
                <w:vertAlign w:val="superscript"/>
              </w:rPr>
              <w:t>d</w:t>
            </w:r>
          </w:p>
        </w:tc>
      </w:tr>
      <w:tr w:rsidR="00C11A3F" w:rsidRPr="00A25ECE" w:rsidTr="00FA1739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 xml:space="preserve">Percentage of SBMs with hard/very hard </w:t>
            </w:r>
            <w:r w:rsidRPr="00AA6D28">
              <w:rPr>
                <w:sz w:val="20"/>
                <w:szCs w:val="20"/>
              </w:rPr>
              <w:lastRenderedPageBreak/>
              <w:t>consistency, mean (SD)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C11A3F" w:rsidRPr="00A25ECE" w:rsidTr="00FA1739">
        <w:trPr>
          <w:trHeight w:val="397"/>
        </w:trPr>
        <w:tc>
          <w:tcPr>
            <w:tcW w:w="4361" w:type="dxa"/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lastRenderedPageBreak/>
              <w:tab/>
              <w:t>Baseline</w:t>
            </w:r>
          </w:p>
        </w:tc>
        <w:tc>
          <w:tcPr>
            <w:tcW w:w="2268" w:type="dxa"/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51.2 (39.6)</w:t>
            </w:r>
          </w:p>
        </w:tc>
        <w:tc>
          <w:tcPr>
            <w:tcW w:w="992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 (39.8</w:t>
            </w:r>
            <w:r w:rsidRPr="00A25EC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157</w:t>
            </w:r>
          </w:p>
        </w:tc>
        <w:tc>
          <w:tcPr>
            <w:tcW w:w="1275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</w:t>
            </w:r>
          </w:p>
        </w:tc>
      </w:tr>
      <w:tr w:rsidR="00C11A3F" w:rsidRPr="00A25ECE" w:rsidTr="00FA1739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Change from baseline to weeks 1–12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–19.2 (38.7)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–28.9</w:t>
            </w:r>
            <w:r>
              <w:rPr>
                <w:sz w:val="20"/>
                <w:szCs w:val="20"/>
              </w:rPr>
              <w:t xml:space="preserve"> (42.1</w:t>
            </w:r>
            <w:r w:rsidRPr="00A25EC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</w:t>
            </w:r>
          </w:p>
        </w:tc>
      </w:tr>
      <w:tr w:rsidR="00C11A3F" w:rsidRPr="00A25ECE" w:rsidTr="00FA1739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Percentage of SBMs with severe/very severe straining, mean (SD)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C11A3F" w:rsidRPr="00A25ECE" w:rsidTr="00FA1739">
        <w:trPr>
          <w:trHeight w:val="397"/>
        </w:trPr>
        <w:tc>
          <w:tcPr>
            <w:tcW w:w="4361" w:type="dxa"/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Baseline</w:t>
            </w:r>
          </w:p>
        </w:tc>
        <w:tc>
          <w:tcPr>
            <w:tcW w:w="2268" w:type="dxa"/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39.4 (36.2)</w:t>
            </w:r>
          </w:p>
        </w:tc>
        <w:tc>
          <w:tcPr>
            <w:tcW w:w="992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:rsidR="00C11A3F" w:rsidRPr="00314250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314250">
              <w:rPr>
                <w:sz w:val="20"/>
                <w:szCs w:val="20"/>
              </w:rPr>
              <w:t>46.3 (38.9)</w:t>
            </w:r>
          </w:p>
        </w:tc>
        <w:tc>
          <w:tcPr>
            <w:tcW w:w="851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157</w:t>
            </w:r>
          </w:p>
        </w:tc>
        <w:tc>
          <w:tcPr>
            <w:tcW w:w="1275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</w:t>
            </w:r>
          </w:p>
        </w:tc>
      </w:tr>
      <w:tr w:rsidR="00C11A3F" w:rsidRPr="00A25ECE" w:rsidTr="00FA1739">
        <w:trPr>
          <w:trHeight w:val="351"/>
        </w:trPr>
        <w:tc>
          <w:tcPr>
            <w:tcW w:w="4361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Change from baseline to weeks 1–12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–16.0 (38.9)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314250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14250">
              <w:rPr>
                <w:sz w:val="20"/>
                <w:szCs w:val="20"/>
              </w:rPr>
              <w:t>–24.8 (37.3)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</w:t>
            </w:r>
          </w:p>
        </w:tc>
      </w:tr>
      <w:tr w:rsidR="00C11A3F" w:rsidRPr="00A25ECE" w:rsidTr="00FA1739">
        <w:trPr>
          <w:trHeight w:val="131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 xml:space="preserve">Number of </w:t>
            </w:r>
            <w:proofErr w:type="spellStart"/>
            <w:r w:rsidRPr="00AA6D28">
              <w:rPr>
                <w:sz w:val="20"/>
                <w:szCs w:val="20"/>
              </w:rPr>
              <w:t>bisacodyl</w:t>
            </w:r>
            <w:proofErr w:type="spellEnd"/>
            <w:r w:rsidRPr="00AA6D28">
              <w:rPr>
                <w:sz w:val="20"/>
                <w:szCs w:val="20"/>
              </w:rPr>
              <w:t xml:space="preserve"> tablets taken/week (SD)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Weeks 1–12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Change from run-in to weeks 1–12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1.0 (1.76)</w:t>
            </w:r>
          </w:p>
          <w:p w:rsidR="00C11A3F" w:rsidRPr="00AA6D28" w:rsidRDefault="00C11A3F" w:rsidP="00FA1739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0.7 (1.84)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172</w:t>
            </w:r>
          </w:p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314250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  <w:p w:rsidR="00C11A3F" w:rsidRPr="00314250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314250">
              <w:rPr>
                <w:sz w:val="20"/>
                <w:szCs w:val="20"/>
              </w:rPr>
              <w:t>0.6 (1.56)</w:t>
            </w:r>
          </w:p>
          <w:p w:rsidR="00C11A3F" w:rsidRPr="00314250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314250">
              <w:rPr>
                <w:sz w:val="20"/>
                <w:szCs w:val="20"/>
              </w:rPr>
              <w:t>1.0 (1.96)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170</w:t>
            </w:r>
          </w:p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</w:t>
            </w:r>
          </w:p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</w:t>
            </w:r>
          </w:p>
        </w:tc>
      </w:tr>
      <w:tr w:rsidR="00C11A3F" w:rsidRPr="00A25ECE" w:rsidTr="00FA1739">
        <w:trPr>
          <w:trHeight w:val="487"/>
        </w:trPr>
        <w:tc>
          <w:tcPr>
            <w:tcW w:w="4361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PAC-SYM overall score, mean (SD)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314250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C11A3F" w:rsidRPr="00A25ECE" w:rsidTr="00FA1739">
        <w:trPr>
          <w:trHeight w:val="397"/>
        </w:trPr>
        <w:tc>
          <w:tcPr>
            <w:tcW w:w="4361" w:type="dxa"/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Baseline</w:t>
            </w:r>
          </w:p>
        </w:tc>
        <w:tc>
          <w:tcPr>
            <w:tcW w:w="2268" w:type="dxa"/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1.75 (0.668)</w:t>
            </w:r>
          </w:p>
        </w:tc>
        <w:tc>
          <w:tcPr>
            <w:tcW w:w="992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178</w:t>
            </w:r>
          </w:p>
        </w:tc>
        <w:tc>
          <w:tcPr>
            <w:tcW w:w="2268" w:type="dxa"/>
          </w:tcPr>
          <w:p w:rsidR="00C11A3F" w:rsidRPr="00314250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314250">
              <w:rPr>
                <w:sz w:val="20"/>
                <w:szCs w:val="20"/>
              </w:rPr>
              <w:t>1.84 (0.657)</w:t>
            </w:r>
          </w:p>
        </w:tc>
        <w:tc>
          <w:tcPr>
            <w:tcW w:w="851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</w:t>
            </w:r>
          </w:p>
        </w:tc>
      </w:tr>
      <w:tr w:rsidR="00C11A3F" w:rsidRPr="00A25ECE" w:rsidTr="00FA1739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ind w:left="284" w:hanging="284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ab/>
              <w:t>Change from baseline to final on-treatment assessment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A6D28">
              <w:rPr>
                <w:sz w:val="20"/>
                <w:szCs w:val="20"/>
              </w:rPr>
              <w:t>–0.59 (0.760)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314250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314250">
              <w:rPr>
                <w:sz w:val="20"/>
                <w:szCs w:val="20"/>
              </w:rPr>
              <w:t>–0.76 (0.765)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0.0623</w:t>
            </w:r>
            <w:r w:rsidRPr="00A25ECE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C11A3F" w:rsidRPr="00A25ECE" w:rsidTr="00FA1739">
        <w:trPr>
          <w:trHeight w:val="1408"/>
        </w:trPr>
        <w:tc>
          <w:tcPr>
            <w:tcW w:w="4361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 xml:space="preserve">Patient global evaluation of </w:t>
            </w:r>
            <w:r w:rsidRPr="00AA6D28">
              <w:rPr>
                <w:bCs/>
                <w:kern w:val="24"/>
                <w:sz w:val="20"/>
                <w:szCs w:val="20"/>
                <w:lang w:eastAsia="en-GB"/>
              </w:rPr>
              <w:t xml:space="preserve">constipation severity, </w:t>
            </w:r>
            <w:r w:rsidRPr="00AA6D28">
              <w:rPr>
                <w:bCs/>
                <w:i/>
                <w:kern w:val="24"/>
                <w:sz w:val="20"/>
                <w:szCs w:val="20"/>
                <w:lang w:eastAsia="en-GB"/>
              </w:rPr>
              <w:t>n</w:t>
            </w:r>
            <w:r w:rsidRPr="00AA6D28">
              <w:rPr>
                <w:kern w:val="24"/>
                <w:sz w:val="20"/>
                <w:szCs w:val="20"/>
                <w:lang w:eastAsia="en-GB"/>
              </w:rPr>
              <w:t xml:space="preserve"> (%)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Baseline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Absent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Mild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lastRenderedPageBreak/>
              <w:tab/>
              <w:t>Moderate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Severe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rPr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Very severe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bCs/>
                <w:kern w:val="24"/>
                <w:sz w:val="20"/>
                <w:szCs w:val="20"/>
                <w:lang w:eastAsia="en-GB"/>
              </w:rPr>
              <w:t>1 (0.6)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bCs/>
                <w:kern w:val="24"/>
                <w:sz w:val="20"/>
                <w:szCs w:val="20"/>
                <w:lang w:eastAsia="en-GB"/>
              </w:rPr>
              <w:t>9 (5.1)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bCs/>
                <w:kern w:val="24"/>
                <w:sz w:val="20"/>
                <w:szCs w:val="20"/>
                <w:lang w:eastAsia="en-GB"/>
              </w:rPr>
              <w:lastRenderedPageBreak/>
              <w:t>68 (38.2)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bCs/>
                <w:kern w:val="24"/>
                <w:sz w:val="20"/>
                <w:szCs w:val="20"/>
                <w:lang w:eastAsia="en-GB"/>
              </w:rPr>
              <w:t>78 (43.8)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bCs/>
                <w:kern w:val="24"/>
                <w:sz w:val="20"/>
                <w:szCs w:val="20"/>
                <w:lang w:eastAsia="en-GB"/>
              </w:rPr>
              <w:t>22 (12.4)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A25ECE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A25ECE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A25ECE">
              <w:rPr>
                <w:bCs/>
                <w:kern w:val="24"/>
                <w:sz w:val="20"/>
                <w:szCs w:val="20"/>
                <w:lang w:eastAsia="en-GB"/>
              </w:rPr>
              <w:t>178</w:t>
            </w:r>
          </w:p>
          <w:p w:rsidR="00C11A3F" w:rsidRPr="00A25ECE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314250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314250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314250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314250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314250">
              <w:rPr>
                <w:bCs/>
                <w:kern w:val="24"/>
                <w:sz w:val="20"/>
                <w:szCs w:val="20"/>
                <w:lang w:eastAsia="en-GB"/>
              </w:rPr>
              <w:t>0 (0)</w:t>
            </w:r>
          </w:p>
          <w:p w:rsidR="00C11A3F" w:rsidRPr="00314250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314250">
              <w:rPr>
                <w:bCs/>
                <w:kern w:val="24"/>
                <w:sz w:val="20"/>
                <w:szCs w:val="20"/>
                <w:lang w:eastAsia="en-GB"/>
              </w:rPr>
              <w:t>5 (2.8)</w:t>
            </w:r>
          </w:p>
          <w:p w:rsidR="00C11A3F" w:rsidRPr="00314250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314250">
              <w:rPr>
                <w:bCs/>
                <w:kern w:val="24"/>
                <w:sz w:val="20"/>
                <w:szCs w:val="20"/>
                <w:lang w:eastAsia="en-GB"/>
              </w:rPr>
              <w:lastRenderedPageBreak/>
              <w:t>52 (29.5)</w:t>
            </w:r>
          </w:p>
          <w:p w:rsidR="00C11A3F" w:rsidRPr="00314250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314250">
              <w:rPr>
                <w:bCs/>
                <w:kern w:val="24"/>
                <w:sz w:val="20"/>
                <w:szCs w:val="20"/>
                <w:lang w:eastAsia="en-GB"/>
              </w:rPr>
              <w:t>93 (52.8)</w:t>
            </w:r>
          </w:p>
          <w:p w:rsidR="00C11A3F" w:rsidRPr="00314250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314250">
              <w:rPr>
                <w:bCs/>
                <w:kern w:val="24"/>
                <w:sz w:val="20"/>
                <w:szCs w:val="20"/>
                <w:lang w:eastAsia="en-GB"/>
              </w:rPr>
              <w:t>26 (14.8)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A25ECE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A25ECE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A25ECE">
              <w:rPr>
                <w:bCs/>
                <w:kern w:val="24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A25ECE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</w:p>
          <w:p w:rsidR="00C11A3F" w:rsidRPr="00A25ECE" w:rsidRDefault="00C11A3F" w:rsidP="00FA1739">
            <w:pPr>
              <w:tabs>
                <w:tab w:val="left" w:pos="270"/>
              </w:tabs>
              <w:spacing w:after="0" w:line="48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  <w:lang w:eastAsia="en-GB"/>
              </w:rPr>
            </w:pPr>
            <w:r w:rsidRPr="00A25ECE">
              <w:rPr>
                <w:bCs/>
                <w:kern w:val="24"/>
                <w:sz w:val="20"/>
                <w:szCs w:val="20"/>
                <w:lang w:eastAsia="en-GB"/>
              </w:rPr>
              <w:t>0.0308</w:t>
            </w:r>
          </w:p>
        </w:tc>
      </w:tr>
      <w:tr w:rsidR="00C11A3F" w:rsidRPr="00A25ECE" w:rsidTr="00FA1739">
        <w:trPr>
          <w:trHeight w:val="2613"/>
        </w:trPr>
        <w:tc>
          <w:tcPr>
            <w:tcW w:w="4361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lastRenderedPageBreak/>
              <w:t xml:space="preserve">At </w:t>
            </w:r>
            <w:r w:rsidRPr="00AA6D28">
              <w:rPr>
                <w:sz w:val="20"/>
                <w:szCs w:val="20"/>
              </w:rPr>
              <w:t>final on-treatment assessment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Absent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Mild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Moderate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Severe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Very severe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</w:p>
          <w:p w:rsidR="00C11A3F" w:rsidRPr="00AA6D28" w:rsidRDefault="00C11A3F" w:rsidP="00FA1739">
            <w:pPr>
              <w:spacing w:after="0" w:line="480" w:lineRule="auto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19 (11.1)</w:t>
            </w:r>
          </w:p>
          <w:p w:rsidR="00C11A3F" w:rsidRPr="00AA6D28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37 (21.6)</w:t>
            </w:r>
          </w:p>
          <w:p w:rsidR="00C11A3F" w:rsidRPr="00AA6D28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63 (36.8)</w:t>
            </w:r>
          </w:p>
          <w:p w:rsidR="00C11A3F" w:rsidRPr="00AA6D28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44 (25.7)</w:t>
            </w:r>
          </w:p>
          <w:p w:rsidR="00C11A3F" w:rsidRPr="00AA6D28" w:rsidRDefault="00C11A3F" w:rsidP="00FA1739">
            <w:pPr>
              <w:spacing w:after="0" w:line="480" w:lineRule="auto"/>
              <w:jc w:val="center"/>
              <w:rPr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8 (4.7)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314250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</w:p>
          <w:p w:rsidR="00C11A3F" w:rsidRPr="00314250" w:rsidRDefault="00C11A3F" w:rsidP="00FA1739">
            <w:pPr>
              <w:spacing w:after="0" w:line="480" w:lineRule="auto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314250">
              <w:rPr>
                <w:sz w:val="20"/>
                <w:szCs w:val="20"/>
                <w:lang w:eastAsia="en-GB"/>
              </w:rPr>
              <w:t>26 (15.4)</w:t>
            </w:r>
          </w:p>
          <w:p w:rsidR="00C11A3F" w:rsidRPr="00314250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 w:rsidRPr="00314250">
              <w:rPr>
                <w:kern w:val="24"/>
                <w:sz w:val="20"/>
                <w:szCs w:val="20"/>
                <w:lang w:eastAsia="en-GB"/>
              </w:rPr>
              <w:t>50 (29.6)</w:t>
            </w:r>
          </w:p>
          <w:p w:rsidR="00C11A3F" w:rsidRPr="00314250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 w:rsidRPr="00314250">
              <w:rPr>
                <w:kern w:val="24"/>
                <w:sz w:val="20"/>
                <w:szCs w:val="20"/>
                <w:lang w:eastAsia="en-GB"/>
              </w:rPr>
              <w:t>56 (33.1)</w:t>
            </w:r>
          </w:p>
          <w:p w:rsidR="00C11A3F" w:rsidRPr="00314250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 w:rsidRPr="00314250">
              <w:rPr>
                <w:kern w:val="24"/>
                <w:sz w:val="20"/>
                <w:szCs w:val="20"/>
                <w:lang w:eastAsia="en-GB"/>
              </w:rPr>
              <w:t>29 (17.2)</w:t>
            </w:r>
          </w:p>
          <w:p w:rsidR="00C11A3F" w:rsidRPr="00314250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314250">
              <w:rPr>
                <w:kern w:val="24"/>
                <w:sz w:val="20"/>
                <w:szCs w:val="20"/>
                <w:lang w:eastAsia="en-GB"/>
              </w:rPr>
              <w:t>8 (4.7)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0.0101</w:t>
            </w:r>
          </w:p>
        </w:tc>
      </w:tr>
      <w:tr w:rsidR="00C11A3F" w:rsidRPr="00A25ECE" w:rsidTr="00FA1739">
        <w:trPr>
          <w:trHeight w:val="16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 xml:space="preserve">Patient global evaluation of </w:t>
            </w:r>
            <w:r w:rsidRPr="00AA6D28">
              <w:rPr>
                <w:bCs/>
                <w:kern w:val="24"/>
                <w:sz w:val="20"/>
                <w:szCs w:val="20"/>
                <w:lang w:eastAsia="en-GB"/>
              </w:rPr>
              <w:t>efficacy of treatment</w:t>
            </w:r>
            <w:r w:rsidRPr="00AA6D28">
              <w:rPr>
                <w:kern w:val="24"/>
                <w:sz w:val="20"/>
                <w:szCs w:val="20"/>
                <w:lang w:eastAsia="en-GB"/>
              </w:rPr>
              <w:t xml:space="preserve">, </w:t>
            </w:r>
            <w:r w:rsidRPr="00AA6D28">
              <w:rPr>
                <w:i/>
                <w:kern w:val="24"/>
                <w:sz w:val="20"/>
                <w:szCs w:val="20"/>
                <w:lang w:eastAsia="en-GB"/>
              </w:rPr>
              <w:t>n</w:t>
            </w:r>
            <w:r w:rsidRPr="00AA6D28">
              <w:rPr>
                <w:kern w:val="24"/>
                <w:sz w:val="20"/>
                <w:szCs w:val="20"/>
                <w:lang w:eastAsia="en-GB"/>
              </w:rPr>
              <w:t xml:space="preserve"> (%)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At FOTA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Not at all effective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A little bit effective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Moderately effective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Quite a bit effective</w:t>
            </w:r>
          </w:p>
          <w:p w:rsidR="00C11A3F" w:rsidRPr="00AA6D28" w:rsidRDefault="00C11A3F" w:rsidP="00FA1739">
            <w:pPr>
              <w:tabs>
                <w:tab w:val="left" w:pos="270"/>
              </w:tabs>
              <w:spacing w:after="0" w:line="480" w:lineRule="auto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ab/>
              <w:t>Extremely effective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Pr="00AA6D28" w:rsidRDefault="00C11A3F" w:rsidP="00FA1739">
            <w:pPr>
              <w:spacing w:after="0" w:line="480" w:lineRule="auto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</w:p>
          <w:p w:rsidR="00C11A3F" w:rsidRPr="00AA6D28" w:rsidRDefault="00C11A3F" w:rsidP="00FA1739">
            <w:pPr>
              <w:spacing w:after="0" w:line="480" w:lineRule="auto"/>
              <w:textAlignment w:val="baseline"/>
              <w:rPr>
                <w:sz w:val="20"/>
                <w:szCs w:val="20"/>
                <w:lang w:eastAsia="en-GB"/>
              </w:rPr>
            </w:pPr>
          </w:p>
          <w:p w:rsidR="00C11A3F" w:rsidRPr="00AA6D28" w:rsidRDefault="00C11A3F" w:rsidP="00FA1739">
            <w:pPr>
              <w:spacing w:after="0" w:line="480" w:lineRule="auto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</w:p>
          <w:p w:rsidR="00C11A3F" w:rsidRPr="00AA6D28" w:rsidRDefault="00C11A3F" w:rsidP="00FA1739">
            <w:pPr>
              <w:spacing w:after="0" w:line="480" w:lineRule="auto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52 (30.4)</w:t>
            </w:r>
          </w:p>
          <w:p w:rsidR="00C11A3F" w:rsidRPr="00AA6D28" w:rsidRDefault="00C11A3F" w:rsidP="00FA1739">
            <w:pPr>
              <w:spacing w:after="0" w:line="480" w:lineRule="auto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29 (17.0)</w:t>
            </w:r>
          </w:p>
          <w:p w:rsidR="00C11A3F" w:rsidRPr="00AA6D28" w:rsidRDefault="00C11A3F" w:rsidP="00FA1739">
            <w:pPr>
              <w:spacing w:after="0" w:line="480" w:lineRule="auto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38 (22.2)</w:t>
            </w:r>
          </w:p>
          <w:p w:rsidR="00C11A3F" w:rsidRPr="00AA6D28" w:rsidRDefault="00C11A3F" w:rsidP="00FA1739">
            <w:pPr>
              <w:spacing w:after="0" w:line="480" w:lineRule="auto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37 (21.6)</w:t>
            </w:r>
          </w:p>
          <w:p w:rsidR="00C11A3F" w:rsidRPr="00AA6D28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 w:rsidRPr="00AA6D28">
              <w:rPr>
                <w:kern w:val="24"/>
                <w:sz w:val="20"/>
                <w:szCs w:val="20"/>
                <w:lang w:eastAsia="en-GB"/>
              </w:rPr>
              <w:t>15 (8.8)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C11A3F" w:rsidRPr="00A25ECE" w:rsidRDefault="00C11A3F" w:rsidP="00FA1739">
            <w:pPr>
              <w:spacing w:line="480" w:lineRule="auto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</w:p>
          <w:p w:rsidR="00C11A3F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</w:p>
          <w:p w:rsidR="00C11A3F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</w:p>
          <w:p w:rsidR="00C11A3F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>
              <w:rPr>
                <w:kern w:val="24"/>
                <w:sz w:val="20"/>
                <w:szCs w:val="20"/>
                <w:lang w:eastAsia="en-GB"/>
              </w:rPr>
              <w:t>25 (14.8)</w:t>
            </w:r>
          </w:p>
          <w:p w:rsidR="00C11A3F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>
              <w:rPr>
                <w:kern w:val="24"/>
                <w:sz w:val="20"/>
                <w:szCs w:val="20"/>
                <w:lang w:eastAsia="en-GB"/>
              </w:rPr>
              <w:t>18 (10.7)</w:t>
            </w:r>
          </w:p>
          <w:p w:rsidR="00C11A3F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>
              <w:rPr>
                <w:kern w:val="24"/>
                <w:sz w:val="20"/>
                <w:szCs w:val="20"/>
                <w:lang w:eastAsia="en-GB"/>
              </w:rPr>
              <w:t>47 (27.8)</w:t>
            </w:r>
          </w:p>
          <w:p w:rsidR="00C11A3F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>
              <w:rPr>
                <w:kern w:val="24"/>
                <w:sz w:val="20"/>
                <w:szCs w:val="20"/>
                <w:lang w:eastAsia="en-GB"/>
              </w:rPr>
              <w:t>58 (34.3)</w:t>
            </w:r>
          </w:p>
          <w:p w:rsidR="00C11A3F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  <w:r>
              <w:rPr>
                <w:kern w:val="24"/>
                <w:sz w:val="20"/>
                <w:szCs w:val="20"/>
                <w:lang w:eastAsia="en-GB"/>
              </w:rPr>
              <w:t>21 (12.4)</w:t>
            </w:r>
          </w:p>
          <w:p w:rsidR="00C11A3F" w:rsidRPr="00A25ECE" w:rsidRDefault="00C11A3F" w:rsidP="00FA1739">
            <w:pPr>
              <w:spacing w:after="0" w:line="480" w:lineRule="auto"/>
              <w:jc w:val="center"/>
              <w:textAlignment w:val="baseline"/>
              <w:rPr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1A3F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C11A3F" w:rsidRPr="00A25ECE" w:rsidRDefault="00C11A3F" w:rsidP="00FA173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&lt;0.0001</w:t>
            </w:r>
          </w:p>
        </w:tc>
      </w:tr>
      <w:tr w:rsidR="00C11A3F" w:rsidRPr="00A25ECE" w:rsidTr="00FA1739">
        <w:trPr>
          <w:trHeight w:val="293"/>
        </w:trPr>
        <w:tc>
          <w:tcPr>
            <w:tcW w:w="4361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PAC-QOL overall score, mean (SD)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C11A3F" w:rsidRPr="00A25ECE" w:rsidTr="00FA1739">
        <w:trPr>
          <w:trHeight w:val="397"/>
        </w:trPr>
        <w:tc>
          <w:tcPr>
            <w:tcW w:w="4361" w:type="dxa"/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Baseline</w:t>
            </w:r>
          </w:p>
        </w:tc>
        <w:tc>
          <w:tcPr>
            <w:tcW w:w="2268" w:type="dxa"/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1.90 (0.750)</w:t>
            </w:r>
          </w:p>
        </w:tc>
        <w:tc>
          <w:tcPr>
            <w:tcW w:w="992" w:type="dxa"/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178</w:t>
            </w:r>
          </w:p>
        </w:tc>
        <w:tc>
          <w:tcPr>
            <w:tcW w:w="2268" w:type="dxa"/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1.97 (0.684)</w:t>
            </w:r>
          </w:p>
        </w:tc>
        <w:tc>
          <w:tcPr>
            <w:tcW w:w="851" w:type="dxa"/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C11A3F" w:rsidRPr="00A25ECE" w:rsidRDefault="00C11A3F" w:rsidP="00FA1739">
            <w:pPr>
              <w:spacing w:after="0" w:line="480" w:lineRule="auto"/>
              <w:ind w:left="284"/>
              <w:jc w:val="center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</w:t>
            </w:r>
          </w:p>
        </w:tc>
      </w:tr>
      <w:tr w:rsidR="00C11A3F" w:rsidRPr="00A25ECE" w:rsidTr="00FA1739">
        <w:trPr>
          <w:trHeight w:val="700"/>
        </w:trPr>
        <w:tc>
          <w:tcPr>
            <w:tcW w:w="4361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lastRenderedPageBreak/>
              <w:t xml:space="preserve">Change from baseline to final on-treatment </w:t>
            </w:r>
            <w:proofErr w:type="spellStart"/>
            <w:r>
              <w:rPr>
                <w:sz w:val="20"/>
                <w:szCs w:val="20"/>
              </w:rPr>
              <w:t>assessement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–0.59 (0.817)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–0.79 (0.840)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A3F" w:rsidRPr="00A25ECE" w:rsidRDefault="00C11A3F" w:rsidP="00FA1739">
            <w:pPr>
              <w:spacing w:after="0" w:line="480" w:lineRule="auto"/>
              <w:ind w:left="284"/>
              <w:rPr>
                <w:sz w:val="20"/>
                <w:szCs w:val="20"/>
              </w:rPr>
            </w:pPr>
            <w:r w:rsidRPr="00A25ECE">
              <w:rPr>
                <w:sz w:val="20"/>
                <w:szCs w:val="20"/>
              </w:rPr>
              <w:t>0.0158</w:t>
            </w:r>
            <w:r w:rsidRPr="00AF0C57">
              <w:rPr>
                <w:sz w:val="20"/>
                <w:szCs w:val="20"/>
                <w:vertAlign w:val="superscript"/>
              </w:rPr>
              <w:t>b</w:t>
            </w:r>
          </w:p>
        </w:tc>
      </w:tr>
    </w:tbl>
    <w:p w:rsidR="00C11A3F" w:rsidRDefault="00C11A3F" w:rsidP="00C11A3F">
      <w:pPr>
        <w:spacing w:line="480" w:lineRule="auto"/>
      </w:pPr>
    </w:p>
    <w:p w:rsidR="00C11A3F" w:rsidRPr="001C0204" w:rsidRDefault="00C11A3F" w:rsidP="00C11A3F">
      <w:pPr>
        <w:spacing w:line="480" w:lineRule="auto"/>
      </w:pPr>
      <w:proofErr w:type="gramStart"/>
      <w:r>
        <w:t>–, no statistical report.</w:t>
      </w:r>
      <w:proofErr w:type="gramEnd"/>
    </w:p>
    <w:p w:rsidR="00C11A3F" w:rsidRPr="001C0204" w:rsidRDefault="00C11A3F" w:rsidP="00C11A3F">
      <w:pPr>
        <w:spacing w:line="480" w:lineRule="auto"/>
      </w:pPr>
      <w:proofErr w:type="spellStart"/>
      <w:proofErr w:type="gramStart"/>
      <w:r w:rsidRPr="001C0204">
        <w:rPr>
          <w:vertAlign w:val="superscript"/>
        </w:rPr>
        <w:t>a</w:t>
      </w:r>
      <w:r>
        <w:rPr>
          <w:i/>
        </w:rPr>
        <w:t>P</w:t>
      </w:r>
      <w:proofErr w:type="spellEnd"/>
      <w:proofErr w:type="gramEnd"/>
      <w:r>
        <w:t xml:space="preserve"> </w:t>
      </w:r>
      <w:r w:rsidRPr="001C0204">
        <w:t>value</w:t>
      </w:r>
      <w:r>
        <w:t xml:space="preserve"> results from a Cochran–Mantel–</w:t>
      </w:r>
      <w:proofErr w:type="spellStart"/>
      <w:r w:rsidRPr="001C0204">
        <w:t>Haenszel</w:t>
      </w:r>
      <w:proofErr w:type="spellEnd"/>
      <w:r w:rsidRPr="001C0204">
        <w:t xml:space="preserve"> test adjusted for country and average number of CBM</w:t>
      </w:r>
      <w:r>
        <w:t>s</w:t>
      </w:r>
      <w:r w:rsidRPr="001C0204">
        <w:t>/week during run-in (0 or &gt;0)</w:t>
      </w:r>
      <w:r>
        <w:t>.</w:t>
      </w:r>
    </w:p>
    <w:p w:rsidR="00C11A3F" w:rsidRPr="001C0204" w:rsidRDefault="00C11A3F" w:rsidP="00C11A3F">
      <w:pPr>
        <w:spacing w:line="480" w:lineRule="auto"/>
      </w:pPr>
      <w:proofErr w:type="spellStart"/>
      <w:proofErr w:type="gramStart"/>
      <w:r w:rsidRPr="001C0204">
        <w:rPr>
          <w:vertAlign w:val="superscript"/>
        </w:rPr>
        <w:t>b</w:t>
      </w:r>
      <w:r>
        <w:rPr>
          <w:i/>
        </w:rPr>
        <w:t>P</w:t>
      </w:r>
      <w:proofErr w:type="spellEnd"/>
      <w:proofErr w:type="gramEnd"/>
      <w:r>
        <w:t xml:space="preserve"> </w:t>
      </w:r>
      <w:r w:rsidRPr="001C0204">
        <w:t xml:space="preserve">value results from an ANCOVA model comparison of </w:t>
      </w:r>
      <w:r>
        <w:t>least-squares</w:t>
      </w:r>
      <w:r w:rsidRPr="001C0204">
        <w:t xml:space="preserve"> means with treatment, average number of CBMs/week during the run-in phase</w:t>
      </w:r>
      <w:r>
        <w:t>,</w:t>
      </w:r>
      <w:r w:rsidRPr="001C0204">
        <w:t xml:space="preserve"> and country as factors and baseline SCBM as a covariate.</w:t>
      </w:r>
    </w:p>
    <w:p w:rsidR="00C11A3F" w:rsidRPr="001C0204" w:rsidRDefault="00C11A3F" w:rsidP="00C11A3F">
      <w:pPr>
        <w:spacing w:line="480" w:lineRule="auto"/>
      </w:pPr>
      <w:proofErr w:type="spellStart"/>
      <w:proofErr w:type="gramStart"/>
      <w:r w:rsidRPr="001C0204">
        <w:rPr>
          <w:vertAlign w:val="superscript"/>
        </w:rPr>
        <w:t>c</w:t>
      </w:r>
      <w:r w:rsidRPr="00A25ECE">
        <w:rPr>
          <w:i/>
        </w:rPr>
        <w:t>n</w:t>
      </w:r>
      <w:proofErr w:type="spellEnd"/>
      <w:r w:rsidRPr="001C0204">
        <w:t>=</w:t>
      </w:r>
      <w:proofErr w:type="gramEnd"/>
      <w:r w:rsidRPr="001C0204">
        <w:t>number of patients with an SCBM</w:t>
      </w:r>
      <w:r>
        <w:t>.</w:t>
      </w:r>
    </w:p>
    <w:p w:rsidR="00C11A3F" w:rsidRPr="001C0204" w:rsidRDefault="00C11A3F" w:rsidP="00C11A3F">
      <w:pPr>
        <w:spacing w:line="480" w:lineRule="auto"/>
      </w:pPr>
      <w:proofErr w:type="spellStart"/>
      <w:proofErr w:type="gramStart"/>
      <w:r>
        <w:rPr>
          <w:vertAlign w:val="superscript"/>
        </w:rPr>
        <w:t>d</w:t>
      </w:r>
      <w:r>
        <w:rPr>
          <w:i/>
        </w:rPr>
        <w:t>P</w:t>
      </w:r>
      <w:proofErr w:type="spellEnd"/>
      <w:proofErr w:type="gramEnd"/>
      <w:r>
        <w:t xml:space="preserve"> </w:t>
      </w:r>
      <w:r w:rsidRPr="001C0204">
        <w:t>value based on a stratified log-rank test containing country and average number of CBMs/week during the run-in phase as stratification factors.</w:t>
      </w:r>
    </w:p>
    <w:p w:rsidR="00C11A3F" w:rsidRPr="001C0204" w:rsidRDefault="00C11A3F" w:rsidP="00C11A3F">
      <w:pPr>
        <w:spacing w:line="480" w:lineRule="auto"/>
      </w:pPr>
      <w:r>
        <w:t xml:space="preserve">BM, bowel movement; </w:t>
      </w:r>
      <w:r w:rsidRPr="001C0204">
        <w:t>CBM</w:t>
      </w:r>
      <w:r>
        <w:t>,</w:t>
      </w:r>
      <w:r w:rsidRPr="001C0204">
        <w:t xml:space="preserve"> complete bowel movement; </w:t>
      </w:r>
      <w:r>
        <w:t xml:space="preserve">FOTA, final on-treatment assessment; </w:t>
      </w:r>
      <w:r w:rsidRPr="001C0204">
        <w:t>PAC-QOL</w:t>
      </w:r>
      <w:r>
        <w:t>,</w:t>
      </w:r>
      <w:r w:rsidRPr="001C0204">
        <w:t xml:space="preserve"> Patient Assessment of Constipation </w:t>
      </w:r>
      <w:r>
        <w:t xml:space="preserve">– Quality of Life questionnaire; </w:t>
      </w:r>
      <w:r w:rsidRPr="001C0204">
        <w:t>PAC-SYM</w:t>
      </w:r>
      <w:r>
        <w:t>,</w:t>
      </w:r>
      <w:r w:rsidRPr="001C0204">
        <w:t xml:space="preserve"> Patient Assessment of Constipation – Symptom questionnaire; </w:t>
      </w:r>
      <w:r>
        <w:t>S</w:t>
      </w:r>
      <w:r w:rsidRPr="0001759D">
        <w:t>BM, spontaneous bowel movement</w:t>
      </w:r>
      <w:r>
        <w:t>;</w:t>
      </w:r>
      <w:r w:rsidRPr="0001759D">
        <w:t xml:space="preserve"> </w:t>
      </w:r>
      <w:r w:rsidRPr="001C0204">
        <w:t>SCBM</w:t>
      </w:r>
      <w:r>
        <w:t>,</w:t>
      </w:r>
      <w:r w:rsidRPr="001C0204">
        <w:t xml:space="preserve"> spontaneous complete bowel movement; </w:t>
      </w:r>
      <w:r>
        <w:t>SD, standard deviation.</w:t>
      </w:r>
    </w:p>
    <w:p w:rsidR="001F5A26" w:rsidRDefault="001F5A26">
      <w:pPr>
        <w:sectPr w:rsidR="001F5A26" w:rsidSect="0099516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F5A26" w:rsidRPr="00B23928" w:rsidRDefault="001F5A26" w:rsidP="001F5A26">
      <w:pPr>
        <w:tabs>
          <w:tab w:val="left" w:pos="8188"/>
        </w:tabs>
        <w:spacing w:line="480" w:lineRule="auto"/>
      </w:pPr>
      <w:proofErr w:type="gramStart"/>
      <w:r>
        <w:rPr>
          <w:b/>
        </w:rPr>
        <w:lastRenderedPageBreak/>
        <w:t>Supplementary Table 2</w:t>
      </w:r>
      <w:r w:rsidRPr="0037062C">
        <w:rPr>
          <w:b/>
        </w:rPr>
        <w:t>.</w:t>
      </w:r>
      <w:proofErr w:type="gramEnd"/>
      <w:r w:rsidRPr="0037062C">
        <w:rPr>
          <w:b/>
        </w:rPr>
        <w:t xml:space="preserve"> </w:t>
      </w:r>
      <w:r w:rsidRPr="00B23928">
        <w:t>All treatment</w:t>
      </w:r>
      <w:r>
        <w:t>-</w:t>
      </w:r>
      <w:r w:rsidRPr="00B23928">
        <w:t>emergent adverse events</w:t>
      </w:r>
      <w:r>
        <w:t xml:space="preserve"> (TEAEs)</w:t>
      </w:r>
    </w:p>
    <w:tbl>
      <w:tblPr>
        <w:tblW w:w="8804" w:type="dxa"/>
        <w:tblInd w:w="93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67"/>
        <w:gridCol w:w="607"/>
        <w:gridCol w:w="810"/>
        <w:gridCol w:w="567"/>
        <w:gridCol w:w="851"/>
        <w:gridCol w:w="992"/>
      </w:tblGrid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TEAE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Placebo (</w:t>
            </w:r>
            <w:r w:rsidRPr="00AF0C57">
              <w:rPr>
                <w:b/>
                <w:i/>
                <w:color w:val="000000"/>
                <w:sz w:val="20"/>
                <w:szCs w:val="20"/>
                <w:lang w:eastAsia="en-GB"/>
              </w:rPr>
              <w:t>N</w:t>
            </w: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=186)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Prucalopride</w:t>
            </w:r>
            <w:proofErr w:type="spellEnd"/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AF0C57">
              <w:rPr>
                <w:b/>
                <w:i/>
                <w:color w:val="000000"/>
                <w:sz w:val="20"/>
                <w:szCs w:val="20"/>
                <w:lang w:eastAsia="en-GB"/>
              </w:rPr>
              <w:t>N</w:t>
            </w: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=184)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i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i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Number of patients with ≥1 TEAE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34.4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42.4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152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Blood and lymphatic system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Total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Anemia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Iron deficiency anemia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Leukocytosis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Thrombocytopenia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Cardiac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Total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Angina pectoris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Atrial fibrillation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Atrioventricular block first degree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Bundle branch block right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Coronary artery occlusion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Left atrial dilatation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Left ventricular dysfunction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Mitral valve incompetence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Myocardial ischemia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Palpitations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Supraventricular </w:t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extrasystoles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Ear and labyrinth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Total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Vertigo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Endocrine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Total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Hyperprolactinemia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Eye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Total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Photophobia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Gastrointestinal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Total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20.1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58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Abdominal discomfort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Abdominal distension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Abdominal pain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Abdominal pain upper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Anal fissure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Constipation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Defecation urgency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Dental caries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Diarrhea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lastRenderedPageBreak/>
              <w:tab/>
              <w:t>Dry mouth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Dyspepsia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Flatulence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Frequent bowel movements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Gastritis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Gastrointestinal pain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Gastroesophageal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reflux disease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Hemorrhoids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Hiatus hernia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Nausea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Rectal hemorrhage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Regurgitation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Vomiting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General disorders and administration site conditions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Total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Asthenia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Chest discomfort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Chest pain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Edema peripheral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Fatigue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Influenza-like illness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Pyrexia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Hepatobiliary</w:t>
            </w:r>
            <w:proofErr w:type="spellEnd"/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 xml:space="preserve"> disorders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Biliary colic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Cholelithiasis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Hyperbilirubinemia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Infections and infestations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Cystitis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Gastroenteritis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>Gingival abscess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Influenza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Lung infection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Nasopharyngitis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Pharyngitis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Sinusitis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Tracheitis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Upper respiratory tract infection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Urinary tract infection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Viral infection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Injury, poisoning, and procedural complications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Hand fracture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Lower limb fracture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lastRenderedPageBreak/>
              <w:t>Investigations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Alanine aminotransferase increased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Aspartate aminotransferase increased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Blood </w:t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creatine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phosphokinase increased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Blood creatinine increased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Blood lactate dehydrogenase increased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Blood potassium decreased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Blood pressure increased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Blood urine present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Body temperature increased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Electrocardiogram QT prolonged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Hepatic enzyme increased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Protein urine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Weight decreased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White blood cell count decreased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Metabolism and nutrition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Decreased appetite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Dyslipidemia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Hypertriglyceridemia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Vitamin B12 deficiency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Musculoskeletal and connective tissue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Arthralgia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Back pain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Exostosis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Medial </w:t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tibial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stress syndrome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Musculoskeletal chest pain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Osteoarthritis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Periarthritis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Neoplasms benign, malignant, and unspecified (including cysts and polyps)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Glottis carcinoma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Prolactinoma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Nervous system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Dizziness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Headache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Occipital neuralgia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Tremor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Psychiatric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Anxiety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Anxiety disorder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lastRenderedPageBreak/>
              <w:tab/>
              <w:t xml:space="preserve">Depression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Insomnia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Nightmare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Renal and urinary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Dysuria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Hematuria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Leukocyturia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Nephrolithiasis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Pollakiuria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0.5 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Polyuria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Renal colic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Urine odor abnormal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Respiratory, thoracic, and mediastinal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Atelectasis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Cough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Oropharyngeal pain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Skin and subcutaneous tissue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Cold sweat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Dermal cyst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</w:r>
            <w:proofErr w:type="spellStart"/>
            <w:r w:rsidRPr="00AF0C57">
              <w:rPr>
                <w:color w:val="000000"/>
                <w:sz w:val="20"/>
                <w:szCs w:val="20"/>
                <w:lang w:eastAsia="en-GB"/>
              </w:rPr>
              <w:t>Dermatosis</w:t>
            </w:r>
            <w:proofErr w:type="spellEnd"/>
            <w:r w:rsidRPr="00AF0C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Dry skin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Pruritus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Psoriasis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Skin lesion 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Skin reaction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b/>
                <w:color w:val="000000"/>
                <w:sz w:val="20"/>
                <w:szCs w:val="20"/>
                <w:lang w:eastAsia="en-GB"/>
              </w:rPr>
              <w:t>Vascular disorders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Total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Hypertension 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10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92" w:type="dxa"/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F5A26" w:rsidRPr="00AF0C57" w:rsidTr="007B2520">
        <w:trPr>
          <w:trHeight w:val="300"/>
        </w:trPr>
        <w:tc>
          <w:tcPr>
            <w:tcW w:w="4410" w:type="dxa"/>
            <w:tcBorders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tabs>
                <w:tab w:val="left" w:pos="282"/>
              </w:tabs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ab/>
              <w:t xml:space="preserve">Hypotension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1F5A26" w:rsidRPr="00AF0C57" w:rsidRDefault="001F5A26" w:rsidP="007B25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F0C57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</w:tbl>
    <w:p w:rsidR="001F5A26" w:rsidRDefault="001F5A26" w:rsidP="001F5A26">
      <w:pPr>
        <w:tabs>
          <w:tab w:val="left" w:pos="8188"/>
        </w:tabs>
        <w:spacing w:line="240" w:lineRule="auto"/>
      </w:pPr>
    </w:p>
    <w:p w:rsidR="001F5A26" w:rsidRDefault="001F5A26" w:rsidP="001F5A26">
      <w:pPr>
        <w:tabs>
          <w:tab w:val="left" w:pos="8188"/>
        </w:tabs>
        <w:spacing w:line="240" w:lineRule="auto"/>
      </w:pPr>
      <w:r>
        <w:t>TEAE, treatment-emergent adverse event</w:t>
      </w:r>
    </w:p>
    <w:p w:rsidR="001F5A26" w:rsidRDefault="001F5A26" w:rsidP="001F5A26">
      <w:pPr>
        <w:tabs>
          <w:tab w:val="left" w:pos="8188"/>
        </w:tabs>
        <w:spacing w:line="240" w:lineRule="auto"/>
      </w:pPr>
      <w:r>
        <w:t>n = number of subjects; M = number of events; % = percentage of subjects.</w:t>
      </w:r>
    </w:p>
    <w:p w:rsidR="001F5A26" w:rsidRDefault="001F5A26" w:rsidP="001F5A26">
      <w:pPr>
        <w:tabs>
          <w:tab w:val="left" w:pos="8188"/>
        </w:tabs>
        <w:spacing w:line="240" w:lineRule="auto"/>
      </w:pPr>
      <w:r>
        <w:t>Percentages are based on all subjects in the safety population</w:t>
      </w:r>
    </w:p>
    <w:p w:rsidR="001F5A26" w:rsidRDefault="001F5A26" w:rsidP="001F5A26">
      <w:pPr>
        <w:tabs>
          <w:tab w:val="left" w:pos="8188"/>
        </w:tabs>
        <w:spacing w:line="240" w:lineRule="auto"/>
      </w:pPr>
    </w:p>
    <w:p w:rsidR="001F5A26" w:rsidRDefault="001F5A26" w:rsidP="001F5A26">
      <w:pPr>
        <w:tabs>
          <w:tab w:val="left" w:pos="8188"/>
        </w:tabs>
        <w:spacing w:line="240" w:lineRule="auto"/>
      </w:pPr>
    </w:p>
    <w:p w:rsidR="001F5A26" w:rsidRDefault="001F5A26" w:rsidP="001F5A26"/>
    <w:p w:rsidR="006A637E" w:rsidRDefault="006A637E">
      <w:pPr>
        <w:sectPr w:rsidR="006A63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637E" w:rsidRDefault="006A637E" w:rsidP="006A637E">
      <w:pPr>
        <w:spacing w:line="480" w:lineRule="auto"/>
      </w:pPr>
      <w:proofErr w:type="gramStart"/>
      <w:r>
        <w:rPr>
          <w:b/>
        </w:rPr>
        <w:lastRenderedPageBreak/>
        <w:t xml:space="preserve">Supplementary </w:t>
      </w:r>
      <w:r w:rsidRPr="001C0204">
        <w:rPr>
          <w:b/>
        </w:rPr>
        <w:t xml:space="preserve">Figure </w:t>
      </w:r>
      <w:r>
        <w:rPr>
          <w:b/>
        </w:rPr>
        <w:t>1.</w:t>
      </w:r>
      <w:proofErr w:type="gramEnd"/>
      <w:r w:rsidRPr="001C0204">
        <w:rPr>
          <w:b/>
        </w:rPr>
        <w:t xml:space="preserve"> </w:t>
      </w:r>
      <w:proofErr w:type="gramStart"/>
      <w:r w:rsidRPr="007F2BB0">
        <w:t>Patient flow</w:t>
      </w:r>
      <w:r>
        <w:t>.</w:t>
      </w:r>
      <w:proofErr w:type="gramEnd"/>
    </w:p>
    <w:p w:rsidR="006A637E" w:rsidRDefault="006A637E" w:rsidP="006A637E">
      <w:pPr>
        <w:spacing w:line="480" w:lineRule="auto"/>
      </w:pPr>
      <w:r>
        <w:rPr>
          <w:noProof/>
        </w:rPr>
        <w:drawing>
          <wp:inline distT="0" distB="0" distL="0" distR="0">
            <wp:extent cx="5731510" cy="6689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RE080 Sup Fig 01_Z_E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8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37E" w:rsidRPr="001C0204" w:rsidRDefault="006A637E" w:rsidP="006A637E">
      <w:pPr>
        <w:spacing w:line="480" w:lineRule="auto"/>
        <w:rPr>
          <w:b/>
        </w:rPr>
      </w:pPr>
    </w:p>
    <w:p w:rsidR="006A637E" w:rsidRDefault="006A637E" w:rsidP="006A637E">
      <w:pPr>
        <w:spacing w:line="480" w:lineRule="auto"/>
        <w:rPr>
          <w:b/>
        </w:rPr>
      </w:pPr>
      <w:proofErr w:type="gramStart"/>
      <w:r w:rsidRPr="001E521F">
        <w:t>GCP</w:t>
      </w:r>
      <w:r>
        <w:t>,</w:t>
      </w:r>
      <w:r w:rsidRPr="001E521F">
        <w:t xml:space="preserve"> good clinical practice; </w:t>
      </w:r>
      <w:proofErr w:type="spellStart"/>
      <w:r w:rsidRPr="001E521F">
        <w:t>mITT</w:t>
      </w:r>
      <w:proofErr w:type="spellEnd"/>
      <w:r>
        <w:t>,</w:t>
      </w:r>
      <w:r w:rsidRPr="001E521F">
        <w:t xml:space="preserve"> modified </w:t>
      </w:r>
      <w:r w:rsidRPr="00874B72">
        <w:t>intent-to-treat</w:t>
      </w:r>
      <w:r>
        <w:t>; TEAE, treatment-emergent adverse event</w:t>
      </w:r>
      <w:r w:rsidRPr="001E521F">
        <w:t>.</w:t>
      </w:r>
      <w:proofErr w:type="gramEnd"/>
    </w:p>
    <w:p w:rsidR="0054447C" w:rsidRDefault="0054447C"/>
    <w:sectPr w:rsidR="00544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87"/>
    <w:multiLevelType w:val="multilevel"/>
    <w:tmpl w:val="300EE808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7"/>
        </w:tabs>
        <w:ind w:left="1417" w:hanging="141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7"/>
        </w:tabs>
        <w:ind w:left="1417" w:hanging="141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17"/>
        </w:tabs>
        <w:ind w:left="1417" w:hanging="141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600" w:hanging="504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</w:abstractNum>
  <w:abstractNum w:abstractNumId="1">
    <w:nsid w:val="02812FE8"/>
    <w:multiLevelType w:val="multilevel"/>
    <w:tmpl w:val="476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9AB"/>
    <w:multiLevelType w:val="hybridMultilevel"/>
    <w:tmpl w:val="F886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A5428"/>
    <w:multiLevelType w:val="hybridMultilevel"/>
    <w:tmpl w:val="78F4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0F38"/>
    <w:multiLevelType w:val="hybridMultilevel"/>
    <w:tmpl w:val="E3E0AD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1FC3BA2"/>
    <w:multiLevelType w:val="hybridMultilevel"/>
    <w:tmpl w:val="091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10BD"/>
    <w:multiLevelType w:val="hybridMultilevel"/>
    <w:tmpl w:val="45DEB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93CD5"/>
    <w:multiLevelType w:val="hybridMultilevel"/>
    <w:tmpl w:val="ECBC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E5A09"/>
    <w:multiLevelType w:val="hybridMultilevel"/>
    <w:tmpl w:val="8CFC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674A3"/>
    <w:multiLevelType w:val="hybridMultilevel"/>
    <w:tmpl w:val="1BB087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5B7EEC"/>
    <w:multiLevelType w:val="hybridMultilevel"/>
    <w:tmpl w:val="DFDA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03E8B"/>
    <w:multiLevelType w:val="hybridMultilevel"/>
    <w:tmpl w:val="454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8285F"/>
    <w:multiLevelType w:val="hybridMultilevel"/>
    <w:tmpl w:val="DCB6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3537D"/>
    <w:multiLevelType w:val="hybridMultilevel"/>
    <w:tmpl w:val="50C0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E6E9A"/>
    <w:multiLevelType w:val="hybridMultilevel"/>
    <w:tmpl w:val="5DB8F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D6CF9"/>
    <w:multiLevelType w:val="hybridMultilevel"/>
    <w:tmpl w:val="C152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F409E"/>
    <w:multiLevelType w:val="hybridMultilevel"/>
    <w:tmpl w:val="805E3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D6566C"/>
    <w:multiLevelType w:val="hybridMultilevel"/>
    <w:tmpl w:val="B52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661CB"/>
    <w:multiLevelType w:val="hybridMultilevel"/>
    <w:tmpl w:val="F41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18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F"/>
    <w:rsid w:val="001F5A26"/>
    <w:rsid w:val="002D4A0E"/>
    <w:rsid w:val="00314250"/>
    <w:rsid w:val="0054447C"/>
    <w:rsid w:val="006A637E"/>
    <w:rsid w:val="007B213E"/>
    <w:rsid w:val="0099516B"/>
    <w:rsid w:val="00C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3F"/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A26"/>
    <w:pPr>
      <w:keepNext/>
      <w:numPr>
        <w:numId w:val="11"/>
      </w:numPr>
      <w:spacing w:before="120" w:after="120" w:line="240" w:lineRule="auto"/>
      <w:jc w:val="both"/>
      <w:outlineLvl w:val="0"/>
    </w:pPr>
    <w:rPr>
      <w:rFonts w:ascii="Times New Roman Bold" w:hAnsi="Times New Roman Bold" w:cs="Times New Roman"/>
      <w:b/>
      <w:caps/>
      <w:kern w:val="32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5A26"/>
    <w:pPr>
      <w:keepNext/>
      <w:numPr>
        <w:ilvl w:val="1"/>
        <w:numId w:val="11"/>
      </w:numPr>
      <w:spacing w:before="120" w:after="12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5A26"/>
    <w:pPr>
      <w:keepNext/>
      <w:numPr>
        <w:ilvl w:val="2"/>
        <w:numId w:val="11"/>
      </w:numPr>
      <w:spacing w:before="120" w:after="120" w:line="240" w:lineRule="auto"/>
      <w:jc w:val="both"/>
      <w:outlineLvl w:val="2"/>
    </w:pPr>
    <w:rPr>
      <w:rFonts w:ascii="Times New Roman Bold" w:hAnsi="Times New Roman Bold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A26"/>
    <w:pPr>
      <w:keepNext/>
      <w:numPr>
        <w:ilvl w:val="3"/>
        <w:numId w:val="11"/>
      </w:numPr>
      <w:spacing w:before="120" w:after="120" w:line="240" w:lineRule="auto"/>
      <w:jc w:val="both"/>
      <w:outlineLvl w:val="3"/>
    </w:pPr>
    <w:rPr>
      <w:rFonts w:ascii="Times New Roman Bold" w:hAnsi="Times New Roman Bold" w:cs="Times New Roman"/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5A26"/>
    <w:pPr>
      <w:keepNext/>
      <w:numPr>
        <w:ilvl w:val="4"/>
        <w:numId w:val="11"/>
      </w:numPr>
      <w:spacing w:before="120" w:after="120" w:line="240" w:lineRule="auto"/>
      <w:outlineLvl w:val="4"/>
    </w:pPr>
    <w:rPr>
      <w:rFonts w:ascii="Times New Roman Bold" w:hAnsi="Times New Roman Bold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5A26"/>
    <w:pPr>
      <w:keepNext/>
      <w:numPr>
        <w:ilvl w:val="5"/>
        <w:numId w:val="11"/>
      </w:numPr>
      <w:spacing w:before="120" w:after="120" w:line="240" w:lineRule="auto"/>
      <w:outlineLvl w:val="5"/>
    </w:pPr>
    <w:rPr>
      <w:rFonts w:ascii="Times New Roman Bold" w:hAnsi="Times New Roman Bold" w:cs="Times New Roman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5A26"/>
    <w:pPr>
      <w:numPr>
        <w:ilvl w:val="6"/>
        <w:numId w:val="11"/>
      </w:numPr>
      <w:spacing w:after="120" w:line="240" w:lineRule="auto"/>
      <w:outlineLvl w:val="6"/>
    </w:pPr>
    <w:rPr>
      <w:rFonts w:ascii="Times New Roman" w:hAnsi="Times New Roman" w:cs="Times New Roman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5A26"/>
    <w:pPr>
      <w:numPr>
        <w:ilvl w:val="7"/>
        <w:numId w:val="11"/>
      </w:numPr>
      <w:spacing w:after="120" w:line="240" w:lineRule="auto"/>
      <w:outlineLvl w:val="7"/>
    </w:pPr>
    <w:rPr>
      <w:rFonts w:ascii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5A26"/>
    <w:rPr>
      <w:rFonts w:ascii="Times New Roman Bold" w:eastAsia="Calibri" w:hAnsi="Times New Roman Bold" w:cs="Times New Roman"/>
      <w:b/>
      <w:caps/>
      <w:kern w:val="32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F5A26"/>
    <w:rPr>
      <w:rFonts w:ascii="Times New Roman" w:eastAsia="Calibri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1F5A26"/>
    <w:rPr>
      <w:rFonts w:ascii="Times New Roman Bold" w:eastAsia="Calibri" w:hAnsi="Times New Roman Bold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1F5A26"/>
    <w:rPr>
      <w:rFonts w:ascii="Times New Roman Bold" w:eastAsia="Calibri" w:hAnsi="Times New Roman Bold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1F5A26"/>
    <w:rPr>
      <w:rFonts w:ascii="Times New Roman Bold" w:eastAsia="Calibri" w:hAnsi="Times New Roman Bold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1F5A26"/>
    <w:rPr>
      <w:rFonts w:ascii="Times New Roman Bold" w:eastAsia="Calibri" w:hAnsi="Times New Roman Bold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1F5A26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1F5A26"/>
    <w:rPr>
      <w:rFonts w:ascii="Times New Roman" w:eastAsia="Calibri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F5A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F5A26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A2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5A2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A26"/>
    <w:rPr>
      <w:rFonts w:ascii="Arial" w:eastAsia="Calibri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5A26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26"/>
    <w:rPr>
      <w:rFonts w:ascii="Tahoma" w:eastAsia="Calibri" w:hAnsi="Tahoma" w:cs="Times New Roman"/>
      <w:sz w:val="16"/>
      <w:szCs w:val="20"/>
    </w:rPr>
  </w:style>
  <w:style w:type="paragraph" w:styleId="ListParagraph">
    <w:name w:val="List Paragraph"/>
    <w:basedOn w:val="Normal"/>
    <w:uiPriority w:val="99"/>
    <w:qFormat/>
    <w:rsid w:val="001F5A26"/>
    <w:pPr>
      <w:ind w:left="720"/>
      <w:contextualSpacing/>
    </w:pPr>
  </w:style>
  <w:style w:type="character" w:customStyle="1" w:styleId="BodyTabChar">
    <w:name w:val="BodyTab Char"/>
    <w:link w:val="BodyTab"/>
    <w:uiPriority w:val="99"/>
    <w:locked/>
    <w:rsid w:val="001F5A26"/>
  </w:style>
  <w:style w:type="paragraph" w:customStyle="1" w:styleId="BodyTab">
    <w:name w:val="BodyTab"/>
    <w:basedOn w:val="Normal"/>
    <w:link w:val="BodyTabChar"/>
    <w:uiPriority w:val="99"/>
    <w:rsid w:val="001F5A26"/>
    <w:pPr>
      <w:spacing w:before="120"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rsid w:val="001F5A26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5A26"/>
    <w:rPr>
      <w:rFonts w:ascii="Arial" w:eastAsia="Calibri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5A26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5A26"/>
    <w:rPr>
      <w:rFonts w:ascii="Arial" w:eastAsia="Calibri" w:hAnsi="Arial" w:cs="Times New Roman"/>
      <w:sz w:val="20"/>
      <w:szCs w:val="20"/>
    </w:rPr>
  </w:style>
  <w:style w:type="paragraph" w:customStyle="1" w:styleId="Col2">
    <w:name w:val="Col2"/>
    <w:basedOn w:val="Normal"/>
    <w:next w:val="Normal"/>
    <w:uiPriority w:val="99"/>
    <w:rsid w:val="001F5A2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1F5A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5A26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5A26"/>
    <w:pPr>
      <w:spacing w:after="0" w:line="240" w:lineRule="auto"/>
    </w:pPr>
    <w:rPr>
      <w:rFonts w:ascii="Arial" w:eastAsia="Calibri" w:hAnsi="Arial" w:cs="Arial"/>
    </w:rPr>
  </w:style>
  <w:style w:type="character" w:styleId="FollowedHyperlink">
    <w:name w:val="FollowedHyperlink"/>
    <w:basedOn w:val="DefaultParagraphFont"/>
    <w:uiPriority w:val="99"/>
    <w:semiHidden/>
    <w:rsid w:val="001F5A26"/>
    <w:rPr>
      <w:rFonts w:cs="Times New Roman"/>
      <w:color w:val="800080"/>
      <w:u w:val="single"/>
    </w:rPr>
  </w:style>
  <w:style w:type="paragraph" w:customStyle="1" w:styleId="Table">
    <w:name w:val="Table"/>
    <w:basedOn w:val="Normal"/>
    <w:link w:val="TableChar"/>
    <w:uiPriority w:val="99"/>
    <w:rsid w:val="001F5A26"/>
    <w:pPr>
      <w:spacing w:before="40" w:after="4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ableChar">
    <w:name w:val="Table Char"/>
    <w:link w:val="Table"/>
    <w:uiPriority w:val="99"/>
    <w:locked/>
    <w:rsid w:val="001F5A26"/>
    <w:rPr>
      <w:rFonts w:ascii="Times New Roman" w:eastAsia="Calibri" w:hAnsi="Times New Roman" w:cs="Times New Roman"/>
      <w:sz w:val="24"/>
      <w:szCs w:val="20"/>
    </w:rPr>
  </w:style>
  <w:style w:type="paragraph" w:customStyle="1" w:styleId="TableFootnotes">
    <w:name w:val="Table Footnotes"/>
    <w:basedOn w:val="Normal"/>
    <w:next w:val="Normal"/>
    <w:autoRedefine/>
    <w:uiPriority w:val="99"/>
    <w:rsid w:val="001F5A26"/>
    <w:pPr>
      <w:keepNext/>
      <w:tabs>
        <w:tab w:val="center" w:pos="4320"/>
        <w:tab w:val="right" w:pos="8640"/>
      </w:tabs>
      <w:spacing w:before="40" w:after="0" w:line="48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eference">
    <w:name w:val="reference"/>
    <w:basedOn w:val="Normal"/>
    <w:uiPriority w:val="99"/>
    <w:rsid w:val="001F5A26"/>
    <w:pPr>
      <w:keepLines/>
      <w:spacing w:before="120" w:after="0" w:line="280" w:lineRule="exact"/>
      <w:ind w:left="200" w:hanging="200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99"/>
    <w:qFormat/>
    <w:rsid w:val="001F5A26"/>
    <w:pPr>
      <w:spacing w:after="0" w:line="240" w:lineRule="auto"/>
    </w:pPr>
    <w:rPr>
      <w:rFonts w:ascii="Arial" w:eastAsia="Calibri" w:hAnsi="Arial" w:cs="Arial"/>
    </w:rPr>
  </w:style>
  <w:style w:type="paragraph" w:customStyle="1" w:styleId="norm">
    <w:name w:val="norm"/>
    <w:basedOn w:val="Normal"/>
    <w:uiPriority w:val="99"/>
    <w:rsid w:val="001F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">
    <w:name w:val="b"/>
    <w:basedOn w:val="DefaultParagraphFont"/>
    <w:uiPriority w:val="99"/>
    <w:rsid w:val="001F5A2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F5A26"/>
    <w:rPr>
      <w:rFonts w:cs="Times New Roman"/>
    </w:rPr>
  </w:style>
  <w:style w:type="character" w:customStyle="1" w:styleId="xapple-style-span">
    <w:name w:val="x_apple-style-span"/>
    <w:basedOn w:val="DefaultParagraphFont"/>
    <w:uiPriority w:val="99"/>
    <w:rsid w:val="001F5A26"/>
    <w:rPr>
      <w:rFonts w:cs="Times New Roman"/>
    </w:rPr>
  </w:style>
  <w:style w:type="character" w:customStyle="1" w:styleId="st">
    <w:name w:val="st"/>
    <w:basedOn w:val="DefaultParagraphFont"/>
    <w:uiPriority w:val="99"/>
    <w:rsid w:val="001F5A26"/>
    <w:rPr>
      <w:rFonts w:cs="Times New Roman"/>
    </w:rPr>
  </w:style>
  <w:style w:type="character" w:styleId="PageNumber">
    <w:name w:val="page number"/>
    <w:basedOn w:val="DefaultParagraphFont"/>
    <w:rsid w:val="001F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3F"/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A26"/>
    <w:pPr>
      <w:keepNext/>
      <w:numPr>
        <w:numId w:val="11"/>
      </w:numPr>
      <w:spacing w:before="120" w:after="120" w:line="240" w:lineRule="auto"/>
      <w:jc w:val="both"/>
      <w:outlineLvl w:val="0"/>
    </w:pPr>
    <w:rPr>
      <w:rFonts w:ascii="Times New Roman Bold" w:hAnsi="Times New Roman Bold" w:cs="Times New Roman"/>
      <w:b/>
      <w:caps/>
      <w:kern w:val="32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5A26"/>
    <w:pPr>
      <w:keepNext/>
      <w:numPr>
        <w:ilvl w:val="1"/>
        <w:numId w:val="11"/>
      </w:numPr>
      <w:spacing w:before="120" w:after="12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5A26"/>
    <w:pPr>
      <w:keepNext/>
      <w:numPr>
        <w:ilvl w:val="2"/>
        <w:numId w:val="11"/>
      </w:numPr>
      <w:spacing w:before="120" w:after="120" w:line="240" w:lineRule="auto"/>
      <w:jc w:val="both"/>
      <w:outlineLvl w:val="2"/>
    </w:pPr>
    <w:rPr>
      <w:rFonts w:ascii="Times New Roman Bold" w:hAnsi="Times New Roman Bold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A26"/>
    <w:pPr>
      <w:keepNext/>
      <w:numPr>
        <w:ilvl w:val="3"/>
        <w:numId w:val="11"/>
      </w:numPr>
      <w:spacing w:before="120" w:after="120" w:line="240" w:lineRule="auto"/>
      <w:jc w:val="both"/>
      <w:outlineLvl w:val="3"/>
    </w:pPr>
    <w:rPr>
      <w:rFonts w:ascii="Times New Roman Bold" w:hAnsi="Times New Roman Bold" w:cs="Times New Roman"/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5A26"/>
    <w:pPr>
      <w:keepNext/>
      <w:numPr>
        <w:ilvl w:val="4"/>
        <w:numId w:val="11"/>
      </w:numPr>
      <w:spacing w:before="120" w:after="120" w:line="240" w:lineRule="auto"/>
      <w:outlineLvl w:val="4"/>
    </w:pPr>
    <w:rPr>
      <w:rFonts w:ascii="Times New Roman Bold" w:hAnsi="Times New Roman Bold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5A26"/>
    <w:pPr>
      <w:keepNext/>
      <w:numPr>
        <w:ilvl w:val="5"/>
        <w:numId w:val="11"/>
      </w:numPr>
      <w:spacing w:before="120" w:after="120" w:line="240" w:lineRule="auto"/>
      <w:outlineLvl w:val="5"/>
    </w:pPr>
    <w:rPr>
      <w:rFonts w:ascii="Times New Roman Bold" w:hAnsi="Times New Roman Bold" w:cs="Times New Roman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5A26"/>
    <w:pPr>
      <w:numPr>
        <w:ilvl w:val="6"/>
        <w:numId w:val="11"/>
      </w:numPr>
      <w:spacing w:after="120" w:line="240" w:lineRule="auto"/>
      <w:outlineLvl w:val="6"/>
    </w:pPr>
    <w:rPr>
      <w:rFonts w:ascii="Times New Roman" w:hAnsi="Times New Roman" w:cs="Times New Roman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5A26"/>
    <w:pPr>
      <w:numPr>
        <w:ilvl w:val="7"/>
        <w:numId w:val="11"/>
      </w:numPr>
      <w:spacing w:after="120" w:line="240" w:lineRule="auto"/>
      <w:outlineLvl w:val="7"/>
    </w:pPr>
    <w:rPr>
      <w:rFonts w:ascii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5A26"/>
    <w:rPr>
      <w:rFonts w:ascii="Times New Roman Bold" w:eastAsia="Calibri" w:hAnsi="Times New Roman Bold" w:cs="Times New Roman"/>
      <w:b/>
      <w:caps/>
      <w:kern w:val="32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F5A26"/>
    <w:rPr>
      <w:rFonts w:ascii="Times New Roman" w:eastAsia="Calibri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1F5A26"/>
    <w:rPr>
      <w:rFonts w:ascii="Times New Roman Bold" w:eastAsia="Calibri" w:hAnsi="Times New Roman Bold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1F5A26"/>
    <w:rPr>
      <w:rFonts w:ascii="Times New Roman Bold" w:eastAsia="Calibri" w:hAnsi="Times New Roman Bold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1F5A26"/>
    <w:rPr>
      <w:rFonts w:ascii="Times New Roman Bold" w:eastAsia="Calibri" w:hAnsi="Times New Roman Bold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1F5A26"/>
    <w:rPr>
      <w:rFonts w:ascii="Times New Roman Bold" w:eastAsia="Calibri" w:hAnsi="Times New Roman Bold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1F5A26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1F5A26"/>
    <w:rPr>
      <w:rFonts w:ascii="Times New Roman" w:eastAsia="Calibri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F5A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F5A26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A2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5A2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A26"/>
    <w:rPr>
      <w:rFonts w:ascii="Arial" w:eastAsia="Calibri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5A26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26"/>
    <w:rPr>
      <w:rFonts w:ascii="Tahoma" w:eastAsia="Calibri" w:hAnsi="Tahoma" w:cs="Times New Roman"/>
      <w:sz w:val="16"/>
      <w:szCs w:val="20"/>
    </w:rPr>
  </w:style>
  <w:style w:type="paragraph" w:styleId="ListParagraph">
    <w:name w:val="List Paragraph"/>
    <w:basedOn w:val="Normal"/>
    <w:uiPriority w:val="99"/>
    <w:qFormat/>
    <w:rsid w:val="001F5A26"/>
    <w:pPr>
      <w:ind w:left="720"/>
      <w:contextualSpacing/>
    </w:pPr>
  </w:style>
  <w:style w:type="character" w:customStyle="1" w:styleId="BodyTabChar">
    <w:name w:val="BodyTab Char"/>
    <w:link w:val="BodyTab"/>
    <w:uiPriority w:val="99"/>
    <w:locked/>
    <w:rsid w:val="001F5A26"/>
  </w:style>
  <w:style w:type="paragraph" w:customStyle="1" w:styleId="BodyTab">
    <w:name w:val="BodyTab"/>
    <w:basedOn w:val="Normal"/>
    <w:link w:val="BodyTabChar"/>
    <w:uiPriority w:val="99"/>
    <w:rsid w:val="001F5A26"/>
    <w:pPr>
      <w:spacing w:before="120"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rsid w:val="001F5A26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5A26"/>
    <w:rPr>
      <w:rFonts w:ascii="Arial" w:eastAsia="Calibri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5A26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5A26"/>
    <w:rPr>
      <w:rFonts w:ascii="Arial" w:eastAsia="Calibri" w:hAnsi="Arial" w:cs="Times New Roman"/>
      <w:sz w:val="20"/>
      <w:szCs w:val="20"/>
    </w:rPr>
  </w:style>
  <w:style w:type="paragraph" w:customStyle="1" w:styleId="Col2">
    <w:name w:val="Col2"/>
    <w:basedOn w:val="Normal"/>
    <w:next w:val="Normal"/>
    <w:uiPriority w:val="99"/>
    <w:rsid w:val="001F5A2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1F5A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5A26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5A26"/>
    <w:pPr>
      <w:spacing w:after="0" w:line="240" w:lineRule="auto"/>
    </w:pPr>
    <w:rPr>
      <w:rFonts w:ascii="Arial" w:eastAsia="Calibri" w:hAnsi="Arial" w:cs="Arial"/>
    </w:rPr>
  </w:style>
  <w:style w:type="character" w:styleId="FollowedHyperlink">
    <w:name w:val="FollowedHyperlink"/>
    <w:basedOn w:val="DefaultParagraphFont"/>
    <w:uiPriority w:val="99"/>
    <w:semiHidden/>
    <w:rsid w:val="001F5A26"/>
    <w:rPr>
      <w:rFonts w:cs="Times New Roman"/>
      <w:color w:val="800080"/>
      <w:u w:val="single"/>
    </w:rPr>
  </w:style>
  <w:style w:type="paragraph" w:customStyle="1" w:styleId="Table">
    <w:name w:val="Table"/>
    <w:basedOn w:val="Normal"/>
    <w:link w:val="TableChar"/>
    <w:uiPriority w:val="99"/>
    <w:rsid w:val="001F5A26"/>
    <w:pPr>
      <w:spacing w:before="40" w:after="4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ableChar">
    <w:name w:val="Table Char"/>
    <w:link w:val="Table"/>
    <w:uiPriority w:val="99"/>
    <w:locked/>
    <w:rsid w:val="001F5A26"/>
    <w:rPr>
      <w:rFonts w:ascii="Times New Roman" w:eastAsia="Calibri" w:hAnsi="Times New Roman" w:cs="Times New Roman"/>
      <w:sz w:val="24"/>
      <w:szCs w:val="20"/>
    </w:rPr>
  </w:style>
  <w:style w:type="paragraph" w:customStyle="1" w:styleId="TableFootnotes">
    <w:name w:val="Table Footnotes"/>
    <w:basedOn w:val="Normal"/>
    <w:next w:val="Normal"/>
    <w:autoRedefine/>
    <w:uiPriority w:val="99"/>
    <w:rsid w:val="001F5A26"/>
    <w:pPr>
      <w:keepNext/>
      <w:tabs>
        <w:tab w:val="center" w:pos="4320"/>
        <w:tab w:val="right" w:pos="8640"/>
      </w:tabs>
      <w:spacing w:before="40" w:after="0" w:line="48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eference">
    <w:name w:val="reference"/>
    <w:basedOn w:val="Normal"/>
    <w:uiPriority w:val="99"/>
    <w:rsid w:val="001F5A26"/>
    <w:pPr>
      <w:keepLines/>
      <w:spacing w:before="120" w:after="0" w:line="280" w:lineRule="exact"/>
      <w:ind w:left="200" w:hanging="200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99"/>
    <w:qFormat/>
    <w:rsid w:val="001F5A26"/>
    <w:pPr>
      <w:spacing w:after="0" w:line="240" w:lineRule="auto"/>
    </w:pPr>
    <w:rPr>
      <w:rFonts w:ascii="Arial" w:eastAsia="Calibri" w:hAnsi="Arial" w:cs="Arial"/>
    </w:rPr>
  </w:style>
  <w:style w:type="paragraph" w:customStyle="1" w:styleId="norm">
    <w:name w:val="norm"/>
    <w:basedOn w:val="Normal"/>
    <w:uiPriority w:val="99"/>
    <w:rsid w:val="001F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">
    <w:name w:val="b"/>
    <w:basedOn w:val="DefaultParagraphFont"/>
    <w:uiPriority w:val="99"/>
    <w:rsid w:val="001F5A2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F5A26"/>
    <w:rPr>
      <w:rFonts w:cs="Times New Roman"/>
    </w:rPr>
  </w:style>
  <w:style w:type="character" w:customStyle="1" w:styleId="xapple-style-span">
    <w:name w:val="x_apple-style-span"/>
    <w:basedOn w:val="DefaultParagraphFont"/>
    <w:uiPriority w:val="99"/>
    <w:rsid w:val="001F5A26"/>
    <w:rPr>
      <w:rFonts w:cs="Times New Roman"/>
    </w:rPr>
  </w:style>
  <w:style w:type="character" w:customStyle="1" w:styleId="st">
    <w:name w:val="st"/>
    <w:basedOn w:val="DefaultParagraphFont"/>
    <w:uiPriority w:val="99"/>
    <w:rsid w:val="001F5A26"/>
    <w:rPr>
      <w:rFonts w:cs="Times New Roman"/>
    </w:rPr>
  </w:style>
  <w:style w:type="character" w:styleId="PageNumber">
    <w:name w:val="page number"/>
    <w:basedOn w:val="DefaultParagraphFont"/>
    <w:rsid w:val="001F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Beake</dc:creator>
  <cp:lastModifiedBy>Libby Beake</cp:lastModifiedBy>
  <cp:revision>5</cp:revision>
  <cp:lastPrinted>2015-01-26T15:48:00Z</cp:lastPrinted>
  <dcterms:created xsi:type="dcterms:W3CDTF">2015-01-26T15:45:00Z</dcterms:created>
  <dcterms:modified xsi:type="dcterms:W3CDTF">2015-01-26T15:49:00Z</dcterms:modified>
</cp:coreProperties>
</file>