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A624E" w14:textId="77777777" w:rsidR="005B32C2" w:rsidRPr="001A4AA2" w:rsidRDefault="005B32C2" w:rsidP="00C52EE5">
      <w:pPr>
        <w:spacing w:line="360" w:lineRule="auto"/>
        <w:rPr>
          <w:b/>
          <w:sz w:val="28"/>
          <w:szCs w:val="28"/>
          <w:lang w:val="en-US"/>
        </w:rPr>
      </w:pPr>
      <w:r w:rsidRPr="00B33608">
        <w:rPr>
          <w:b/>
          <w:bCs/>
          <w:sz w:val="28"/>
          <w:lang w:val="en-US"/>
        </w:rPr>
        <w:t>Supplementary materials:</w:t>
      </w:r>
      <w:r w:rsidRPr="001A4AA2">
        <w:rPr>
          <w:sz w:val="28"/>
          <w:lang w:val="en-US"/>
        </w:rPr>
        <w:t xml:space="preserve"> </w:t>
      </w:r>
      <w:r w:rsidR="005C785B" w:rsidRPr="001A4AA2">
        <w:rPr>
          <w:sz w:val="28"/>
          <w:szCs w:val="28"/>
          <w:lang w:val="en-US"/>
        </w:rPr>
        <w:t xml:space="preserve">International trends in </w:t>
      </w:r>
      <w:r w:rsidRPr="001A4AA2">
        <w:rPr>
          <w:sz w:val="28"/>
          <w:szCs w:val="28"/>
          <w:lang w:val="en-US"/>
        </w:rPr>
        <w:t>esophageal squamous cell carcinoma and adenocarcinoma incidence</w:t>
      </w:r>
    </w:p>
    <w:p w14:paraId="50C9FD36" w14:textId="77777777" w:rsidR="005B32C2" w:rsidRPr="001A4AA2" w:rsidRDefault="005B32C2" w:rsidP="00C52EE5">
      <w:pPr>
        <w:spacing w:line="360" w:lineRule="auto"/>
        <w:rPr>
          <w:b/>
          <w:lang w:val="en-US"/>
        </w:rPr>
      </w:pPr>
    </w:p>
    <w:p w14:paraId="7003E744" w14:textId="77777777" w:rsidR="005B32C2" w:rsidRPr="001A4AA2" w:rsidRDefault="005B32C2" w:rsidP="00C52EE5">
      <w:pPr>
        <w:spacing w:line="360" w:lineRule="auto"/>
        <w:rPr>
          <w:b/>
          <w:lang w:val="en-US"/>
        </w:rPr>
      </w:pPr>
      <w:r w:rsidRPr="001A4AA2">
        <w:rPr>
          <w:lang w:val="en-US"/>
        </w:rPr>
        <w:t xml:space="preserve">Harriet Rumgay, Melina Arnold, Mathieu Laversanne, David C. Whiteman, Aaron P. Thrift, </w:t>
      </w:r>
      <w:proofErr w:type="spellStart"/>
      <w:r w:rsidRPr="001A4AA2">
        <w:rPr>
          <w:lang w:val="en-US"/>
        </w:rPr>
        <w:t>Wenqiang</w:t>
      </w:r>
      <w:proofErr w:type="spellEnd"/>
      <w:r w:rsidRPr="001A4AA2">
        <w:rPr>
          <w:lang w:val="en-US"/>
        </w:rPr>
        <w:t xml:space="preserve"> Wei, Valery</w:t>
      </w:r>
      <w:r w:rsidR="00AE07B5">
        <w:rPr>
          <w:lang w:val="en-US"/>
        </w:rPr>
        <w:t xml:space="preserve"> E.P.P.</w:t>
      </w:r>
      <w:r w:rsidRPr="001A4AA2">
        <w:rPr>
          <w:lang w:val="en-US"/>
        </w:rPr>
        <w:t xml:space="preserve"> Lemmens, Isabelle Soerjomataram</w:t>
      </w:r>
    </w:p>
    <w:p w14:paraId="60CC160F" w14:textId="77777777" w:rsidR="0063440A" w:rsidRPr="001A4AA2" w:rsidRDefault="0063440A" w:rsidP="00C52EE5">
      <w:pPr>
        <w:spacing w:line="360" w:lineRule="auto"/>
        <w:rPr>
          <w:lang w:val="en-US"/>
        </w:rPr>
      </w:pPr>
    </w:p>
    <w:p w14:paraId="10772F1E" w14:textId="371CF151" w:rsidR="005B32C2" w:rsidRDefault="005B32C2" w:rsidP="00C52EE5">
      <w:pPr>
        <w:pStyle w:val="EndNoteBibliography"/>
        <w:spacing w:line="360" w:lineRule="auto"/>
        <w:rPr>
          <w:b/>
          <w:bCs/>
        </w:rPr>
      </w:pPr>
      <w:r w:rsidRPr="001A4AA2">
        <w:rPr>
          <w:b/>
          <w:bCs/>
        </w:rPr>
        <w:t xml:space="preserve">Supplementary materials: </w:t>
      </w:r>
    </w:p>
    <w:p w14:paraId="76F6189D" w14:textId="0DA09955" w:rsidR="009D63FA" w:rsidRPr="001968C8" w:rsidRDefault="009D63FA" w:rsidP="009D63FA">
      <w:pPr>
        <w:rPr>
          <w:b/>
          <w:bCs/>
          <w:lang w:val="en-US"/>
        </w:rPr>
      </w:pPr>
      <w:r>
        <w:rPr>
          <w:b/>
          <w:bCs/>
          <w:lang w:val="en-US"/>
        </w:rPr>
        <w:t>Detailed data source and m</w:t>
      </w:r>
      <w:r w:rsidRPr="001968C8">
        <w:rPr>
          <w:b/>
          <w:bCs/>
          <w:lang w:val="en-US"/>
        </w:rPr>
        <w:t>ethods</w:t>
      </w:r>
    </w:p>
    <w:p w14:paraId="5E8FA603" w14:textId="22A8BFB6" w:rsidR="007417FD" w:rsidRPr="001A4AA2" w:rsidRDefault="00CA5438" w:rsidP="00C52EE5">
      <w:pPr>
        <w:pStyle w:val="EndNoteBibliography"/>
        <w:spacing w:line="360" w:lineRule="auto"/>
      </w:pPr>
      <w:r>
        <w:rPr>
          <w:b/>
          <w:noProof w:val="0"/>
        </w:rPr>
        <w:t>Supplementary t</w:t>
      </w:r>
      <w:r w:rsidRPr="00CA5438">
        <w:rPr>
          <w:b/>
          <w:noProof w:val="0"/>
        </w:rPr>
        <w:t xml:space="preserve">able 1 </w:t>
      </w:r>
      <w:bookmarkStart w:id="0" w:name="_Hlk54712675"/>
      <w:r w:rsidRPr="00B33608">
        <w:rPr>
          <w:bCs/>
        </w:rPr>
        <w:t>Average annual  population, cases, proportion of total cases, age-standardi</w:t>
      </w:r>
      <w:r w:rsidR="003B51F4">
        <w:rPr>
          <w:bCs/>
          <w:noProof w:val="0"/>
        </w:rPr>
        <w:t>z</w:t>
      </w:r>
      <w:r w:rsidRPr="00B33608">
        <w:rPr>
          <w:bCs/>
        </w:rPr>
        <w:t xml:space="preserve">ed incidence rate (ASR) and male to female rate ratio (M:F) by country and esophageal cancer subtype </w:t>
      </w:r>
      <w:r w:rsidR="00AD7008" w:rsidRPr="00B33608">
        <w:rPr>
          <w:bCs/>
        </w:rPr>
        <w:t>200</w:t>
      </w:r>
      <w:r w:rsidR="00AD7008">
        <w:rPr>
          <w:bCs/>
        </w:rPr>
        <w:t>3</w:t>
      </w:r>
      <w:r w:rsidRPr="00B33608">
        <w:rPr>
          <w:bCs/>
        </w:rPr>
        <w:t>-2012.</w:t>
      </w:r>
      <w:bookmarkEnd w:id="0"/>
    </w:p>
    <w:p w14:paraId="0152925E" w14:textId="4CEF3502" w:rsidR="00CA5438" w:rsidRPr="007A7666" w:rsidRDefault="005B32C2" w:rsidP="00CA5438">
      <w:pPr>
        <w:pStyle w:val="EndNoteBibliography"/>
        <w:spacing w:line="360" w:lineRule="auto"/>
      </w:pPr>
      <w:r w:rsidRPr="001A4AA2">
        <w:rPr>
          <w:b/>
          <w:noProof w:val="0"/>
        </w:rPr>
        <w:t xml:space="preserve">Supplementary figure </w:t>
      </w:r>
      <w:r w:rsidR="002B1810">
        <w:rPr>
          <w:b/>
          <w:noProof w:val="0"/>
        </w:rPr>
        <w:t>1</w:t>
      </w:r>
      <w:r w:rsidR="002B1810" w:rsidRPr="001A4AA2">
        <w:rPr>
          <w:b/>
          <w:noProof w:val="0"/>
        </w:rPr>
        <w:t xml:space="preserve"> </w:t>
      </w:r>
      <w:r w:rsidR="00CA5438" w:rsidRPr="007A7666">
        <w:rPr>
          <w:noProof w:val="0"/>
        </w:rPr>
        <w:t xml:space="preserve">Age-specific incidence rates of esophageal squamous cell carcinoma (A) and adenocarcinoma (B) by year of birth (cohort) and year of diagnosis (period) for men in </w:t>
      </w:r>
      <w:r w:rsidR="00CA5438">
        <w:rPr>
          <w:noProof w:val="0"/>
        </w:rPr>
        <w:t>all 28</w:t>
      </w:r>
      <w:r w:rsidR="00CA5438" w:rsidRPr="007A7666">
        <w:rPr>
          <w:noProof w:val="0"/>
        </w:rPr>
        <w:t xml:space="preserve"> populations. Rates are displayed on a semi-log plot.</w:t>
      </w:r>
    </w:p>
    <w:p w14:paraId="35F89F9A" w14:textId="110A8324" w:rsidR="005B32C2" w:rsidRPr="001A4AA2" w:rsidRDefault="005B32C2" w:rsidP="00C52EE5">
      <w:pPr>
        <w:pStyle w:val="EndNoteBibliography"/>
        <w:spacing w:line="360" w:lineRule="auto"/>
        <w:rPr>
          <w:noProof w:val="0"/>
        </w:rPr>
      </w:pPr>
    </w:p>
    <w:p w14:paraId="1E0FB894" w14:textId="77777777" w:rsidR="005B32C2" w:rsidRPr="001A4AA2" w:rsidRDefault="005B32C2" w:rsidP="00C52EE5">
      <w:pPr>
        <w:spacing w:line="360" w:lineRule="auto"/>
        <w:rPr>
          <w:lang w:val="en-US"/>
        </w:rPr>
      </w:pPr>
    </w:p>
    <w:p w14:paraId="5C28D33D" w14:textId="58986A31" w:rsidR="00854818" w:rsidRDefault="00854818" w:rsidP="00C52EE5">
      <w:pPr>
        <w:spacing w:line="360" w:lineRule="auto"/>
        <w:rPr>
          <w:lang w:val="en-US"/>
        </w:rPr>
      </w:pPr>
      <w:r>
        <w:rPr>
          <w:lang w:val="en-US"/>
        </w:rPr>
        <w:br w:type="page"/>
      </w:r>
    </w:p>
    <w:p w14:paraId="6A2EBF8D" w14:textId="04788704" w:rsidR="005B32C2" w:rsidRPr="001968C8" w:rsidRDefault="009D63FA" w:rsidP="00B33608">
      <w:pPr>
        <w:jc w:val="center"/>
        <w:rPr>
          <w:b/>
          <w:bCs/>
          <w:lang w:val="en-US"/>
        </w:rPr>
      </w:pPr>
      <w:r>
        <w:rPr>
          <w:b/>
          <w:bCs/>
          <w:lang w:val="en-US"/>
        </w:rPr>
        <w:lastRenderedPageBreak/>
        <w:t>Detailed data source and m</w:t>
      </w:r>
      <w:r w:rsidR="00854818" w:rsidRPr="001968C8">
        <w:rPr>
          <w:b/>
          <w:bCs/>
          <w:lang w:val="en-US"/>
        </w:rPr>
        <w:t>ethods</w:t>
      </w:r>
    </w:p>
    <w:p w14:paraId="590B939A" w14:textId="77777777" w:rsidR="00C45B11" w:rsidRPr="007A7666" w:rsidRDefault="00C45B11" w:rsidP="00C45B11">
      <w:pPr>
        <w:spacing w:line="360" w:lineRule="auto"/>
        <w:rPr>
          <w:b/>
          <w:lang w:val="en-US"/>
        </w:rPr>
      </w:pPr>
      <w:r w:rsidRPr="007A7666">
        <w:rPr>
          <w:b/>
          <w:lang w:val="en-US"/>
        </w:rPr>
        <w:t>Data source</w:t>
      </w:r>
    </w:p>
    <w:p w14:paraId="253CC452" w14:textId="4947BD7A" w:rsidR="005B32C2" w:rsidRDefault="00B84818" w:rsidP="001968C8">
      <w:pPr>
        <w:spacing w:line="360" w:lineRule="auto"/>
        <w:rPr>
          <w:lang w:val="en-US"/>
        </w:rPr>
      </w:pPr>
      <w:r w:rsidRPr="007A7666">
        <w:rPr>
          <w:lang w:val="en-US"/>
        </w:rPr>
        <w:t xml:space="preserve">New cases of invasive esophageal cancer (International Statistical Classification of Diseases and Related Health Problems, 10th revision [ICD-10]: C15) by calendar year, sex, five-year age group and histological subtype were </w:t>
      </w:r>
      <w:r w:rsidR="00F22C57">
        <w:rPr>
          <w:lang w:val="en-US"/>
        </w:rPr>
        <w:t>extracted</w:t>
      </w:r>
      <w:r w:rsidRPr="007A7666">
        <w:rPr>
          <w:lang w:val="en-US"/>
        </w:rPr>
        <w:t xml:space="preserve"> from the </w:t>
      </w:r>
      <w:r w:rsidRPr="007A7666">
        <w:rPr>
          <w:i/>
          <w:lang w:val="en-US"/>
        </w:rPr>
        <w:t xml:space="preserve">Cancer Incidence in Five Continents Plus </w:t>
      </w:r>
      <w:r w:rsidRPr="007A7666">
        <w:rPr>
          <w:lang w:val="en-US"/>
        </w:rPr>
        <w:t>(CI5plus)</w:t>
      </w:r>
      <w:r w:rsidR="00F22C57">
        <w:rPr>
          <w:lang w:val="en-US"/>
        </w:rPr>
        <w:t xml:space="preserve"> database</w:t>
      </w:r>
      <w:r w:rsidR="00213146">
        <w:rPr>
          <w:lang w:val="en-US"/>
        </w:rPr>
        <w:t xml:space="preserve"> of population-based cancer registry data</w:t>
      </w:r>
      <w:r w:rsidRPr="007A7666">
        <w:rPr>
          <w:lang w:val="en-US"/>
        </w:rPr>
        <w:t>.</w:t>
      </w:r>
      <w:r w:rsidR="008B07DA" w:rsidRPr="001968C8">
        <w:rPr>
          <w:vertAlign w:val="superscript"/>
          <w:lang w:val="en-US"/>
        </w:rPr>
        <w:t>1</w:t>
      </w:r>
      <w:r w:rsidRPr="007A7666">
        <w:rPr>
          <w:lang w:val="en-US"/>
        </w:rPr>
        <w:t xml:space="preserve"> </w:t>
      </w:r>
      <w:r w:rsidR="008D310F" w:rsidRPr="007A7666">
        <w:rPr>
          <w:lang w:val="en-US"/>
        </w:rPr>
        <w:t>Cases were categorized into four histology groups according to the International Classification of Diseases for Oncology, Third edition (ICD-O-3), morphology codes: SCC (8050-8078, 8083-8084); AC (8140-8141, 8143-8145, 8190-8231, 8260-8265, 8310, 8401, 8480-8490, 8550-8552, 8570-8574, 8576); sarcoma, other specified carcinoma</w:t>
      </w:r>
      <w:r w:rsidR="00F22C57">
        <w:rPr>
          <w:lang w:val="en-US"/>
        </w:rPr>
        <w:t>,</w:t>
      </w:r>
      <w:r w:rsidR="008D310F" w:rsidRPr="007A7666">
        <w:rPr>
          <w:lang w:val="en-US"/>
        </w:rPr>
        <w:t xml:space="preserve"> other specified malignant neoplasm</w:t>
      </w:r>
      <w:r w:rsidR="00F22C57">
        <w:rPr>
          <w:lang w:val="en-US"/>
        </w:rPr>
        <w:t xml:space="preserve"> and unspecified carcinoma</w:t>
      </w:r>
      <w:r w:rsidR="008D310F" w:rsidRPr="007A7666">
        <w:rPr>
          <w:lang w:val="en-US"/>
        </w:rPr>
        <w:t xml:space="preserve"> (</w:t>
      </w:r>
      <w:r w:rsidR="00F22C57" w:rsidRPr="007A7666">
        <w:rPr>
          <w:lang w:val="en-US"/>
        </w:rPr>
        <w:t>8010-8011</w:t>
      </w:r>
      <w:r w:rsidR="00F22C57">
        <w:rPr>
          <w:lang w:val="en-US"/>
        </w:rPr>
        <w:t>,</w:t>
      </w:r>
      <w:r w:rsidR="008D310F" w:rsidRPr="007A7666">
        <w:rPr>
          <w:lang w:val="en-US"/>
        </w:rPr>
        <w:t>8800-8811, 8830, 8840-8921, 8990-8991, 9040-9044, 9120-9133, 9150, 9540-9581); and unspecified malignant neoplasm (8000-8005).</w:t>
      </w:r>
    </w:p>
    <w:p w14:paraId="25215CCB" w14:textId="007ECC00" w:rsidR="008D310F" w:rsidRDefault="008D310F" w:rsidP="00DB25C5">
      <w:pPr>
        <w:spacing w:line="360" w:lineRule="auto"/>
        <w:rPr>
          <w:lang w:val="en-US"/>
        </w:rPr>
      </w:pPr>
      <w:r w:rsidRPr="007A7666">
        <w:rPr>
          <w:lang w:val="en-US"/>
        </w:rPr>
        <w:t xml:space="preserve">Population-based cancer registries with 15 or more consecutive years of data were included, and multiple subnational cancer registries in the same countries were aggregated to obtain a national proxy. We excluded countries with population coverage of less than 500,000 people, countries which recorded less than five cases of either SCC or AC annually, </w:t>
      </w:r>
      <w:r w:rsidR="00F22C57">
        <w:rPr>
          <w:lang w:val="en-US"/>
        </w:rPr>
        <w:t>countries</w:t>
      </w:r>
      <w:r w:rsidRPr="007A7666">
        <w:rPr>
          <w:lang w:val="en-US"/>
        </w:rPr>
        <w:t xml:space="preserve"> with more than 30% of esophageal cancer cases assigned unspecified histology</w:t>
      </w:r>
      <w:r w:rsidR="003B5791">
        <w:rPr>
          <w:lang w:val="en-US"/>
        </w:rPr>
        <w:t xml:space="preserve"> unless </w:t>
      </w:r>
      <w:r w:rsidR="00F22C57">
        <w:t xml:space="preserve">more than 90% of </w:t>
      </w:r>
      <w:r w:rsidR="003B5791">
        <w:t xml:space="preserve">the remaining cases were </w:t>
      </w:r>
      <w:r w:rsidR="00F22C57">
        <w:t>specified as either SCC or AC</w:t>
      </w:r>
      <w:r w:rsidRPr="007A7666">
        <w:rPr>
          <w:lang w:val="en-US"/>
        </w:rPr>
        <w:t xml:space="preserve"> per year in the most recent 1</w:t>
      </w:r>
      <w:r w:rsidR="00F22C57">
        <w:rPr>
          <w:lang w:val="en-US"/>
        </w:rPr>
        <w:t>0</w:t>
      </w:r>
      <w:r w:rsidRPr="007A7666">
        <w:rPr>
          <w:lang w:val="en-US"/>
        </w:rPr>
        <w:t xml:space="preserve"> years.</w:t>
      </w:r>
      <w:bookmarkStart w:id="1" w:name="_Hlk53565258"/>
      <w:r w:rsidRPr="007A7666">
        <w:rPr>
          <w:lang w:val="en-US"/>
        </w:rPr>
        <w:t xml:space="preserve"> </w:t>
      </w:r>
      <w:bookmarkEnd w:id="1"/>
      <w:r w:rsidRPr="007A7666">
        <w:rPr>
          <w:lang w:val="en-US"/>
        </w:rPr>
        <w:t xml:space="preserve">Using these criteria, we included a total of </w:t>
      </w:r>
      <w:r w:rsidR="002B1810">
        <w:rPr>
          <w:lang w:val="en-US"/>
        </w:rPr>
        <w:t>70</w:t>
      </w:r>
      <w:r w:rsidRPr="007A7666">
        <w:rPr>
          <w:lang w:val="en-US"/>
        </w:rPr>
        <w:t xml:space="preserve"> out of 104 registries to examine incidence patterns in 2</w:t>
      </w:r>
      <w:r w:rsidR="00DB25C5">
        <w:rPr>
          <w:lang w:val="en-US"/>
        </w:rPr>
        <w:t>8</w:t>
      </w:r>
      <w:r w:rsidRPr="007A7666">
        <w:rPr>
          <w:lang w:val="en-US"/>
        </w:rPr>
        <w:t xml:space="preserve"> populations in 2</w:t>
      </w:r>
      <w:r w:rsidR="00DB25C5">
        <w:rPr>
          <w:lang w:val="en-US"/>
        </w:rPr>
        <w:t>7</w:t>
      </w:r>
      <w:r w:rsidRPr="007A7666">
        <w:rPr>
          <w:lang w:val="en-US"/>
        </w:rPr>
        <w:t xml:space="preserve"> countries; we kept United States (US) blacks and whites as separate populations, as well as the nations in the United Kingdom (England, Northern Ireland and Scotland [no data for Wales]). Esophageal cancer incidence </w:t>
      </w:r>
      <w:r w:rsidR="003B5791">
        <w:rPr>
          <w:lang w:val="en-US"/>
        </w:rPr>
        <w:t>in these populations</w:t>
      </w:r>
      <w:r w:rsidRPr="007A7666">
        <w:rPr>
          <w:lang w:val="en-US"/>
        </w:rPr>
        <w:t xml:space="preserve"> is presented in supplementary table 1</w:t>
      </w:r>
      <w:r w:rsidR="003B5791">
        <w:rPr>
          <w:lang w:val="en-US"/>
        </w:rPr>
        <w:t xml:space="preserve"> for years 2003-2012</w:t>
      </w:r>
      <w:r w:rsidRPr="007A7666">
        <w:rPr>
          <w:lang w:val="en-US"/>
        </w:rPr>
        <w:t>.</w:t>
      </w:r>
    </w:p>
    <w:p w14:paraId="594C8144" w14:textId="77777777" w:rsidR="00C45B11" w:rsidRPr="007A7666" w:rsidRDefault="00C45B11" w:rsidP="00C45B11">
      <w:pPr>
        <w:spacing w:line="360" w:lineRule="auto"/>
        <w:rPr>
          <w:b/>
          <w:lang w:val="en-US"/>
        </w:rPr>
      </w:pPr>
      <w:r w:rsidRPr="007A7666">
        <w:rPr>
          <w:b/>
          <w:lang w:val="en-US"/>
        </w:rPr>
        <w:t>Statistical analysis</w:t>
      </w:r>
    </w:p>
    <w:p w14:paraId="524E1A1A" w14:textId="165C24B1" w:rsidR="00C45B11" w:rsidRPr="007A7666" w:rsidRDefault="00C45B11" w:rsidP="00C45B11">
      <w:pPr>
        <w:spacing w:line="360" w:lineRule="auto"/>
        <w:rPr>
          <w:lang w:val="en-US"/>
        </w:rPr>
      </w:pPr>
      <w:r w:rsidRPr="007A7666">
        <w:rPr>
          <w:lang w:val="en-US"/>
        </w:rPr>
        <w:t xml:space="preserve">Age-standardized incidence rates (ASR) per 100,000 person-years were calculated by sex and subtype for all ages combined using the 1960 </w:t>
      </w:r>
      <w:proofErr w:type="spellStart"/>
      <w:r w:rsidRPr="007A7666">
        <w:rPr>
          <w:lang w:val="en-US"/>
        </w:rPr>
        <w:t>Segi</w:t>
      </w:r>
      <w:proofErr w:type="spellEnd"/>
      <w:r w:rsidRPr="007A7666">
        <w:rPr>
          <w:lang w:val="en-US"/>
        </w:rPr>
        <w:t>–Doll world standard population.</w:t>
      </w:r>
      <w:r w:rsidR="008B07DA" w:rsidRPr="001968C8">
        <w:rPr>
          <w:vertAlign w:val="superscript"/>
          <w:lang w:val="en-US"/>
        </w:rPr>
        <w:t>2</w:t>
      </w:r>
      <w:r w:rsidRPr="007A7666">
        <w:rPr>
          <w:lang w:val="en-US"/>
        </w:rPr>
        <w:t xml:space="preserve"> Male to female (M:F) incidence rate ratios were calculated using sex-specific ASRs. We calculated average annual percent change (AAPC) and corresponding 95% confidence intervals (95% CI) for the 10 most recent years of data using </w:t>
      </w:r>
      <w:proofErr w:type="spellStart"/>
      <w:r w:rsidRPr="007A7666">
        <w:rPr>
          <w:lang w:val="en-US"/>
        </w:rPr>
        <w:t>Joinpoint</w:t>
      </w:r>
      <w:proofErr w:type="spellEnd"/>
      <w:r w:rsidRPr="007A7666">
        <w:rPr>
          <w:lang w:val="en-US"/>
        </w:rPr>
        <w:t xml:space="preserve"> regression.</w:t>
      </w:r>
      <w:r w:rsidRPr="007A7666">
        <w:rPr>
          <w:lang w:val="en-US"/>
        </w:rPr>
        <w:fldChar w:fldCharType="begin"/>
      </w:r>
      <w:r w:rsidRPr="007A7666">
        <w:rPr>
          <w:lang w:val="en-US"/>
        </w:rPr>
        <w:instrText xml:space="preserve"> ADDIN EN.CITE &lt;EndNote&gt;&lt;Cite&gt;&lt;Author&gt;National Cancer Institute&lt;/Author&gt;&lt;Year&gt;2018&lt;/Year&gt;&lt;RecNum&gt;6&lt;/RecNum&gt;&lt;DisplayText&gt;&lt;style face="superscript"&gt;11&lt;/style&gt;&lt;/DisplayText&gt;&lt;record&gt;&lt;rec-number&gt;6&lt;/rec-number&gt;&lt;foreign-keys&gt;&lt;key app="EN" db-id="9tdavrds3rwdfoevvpmpwx2s5f2wpfwxs2sd" timestamp="1553089620"&gt;6&lt;/key&gt;&lt;/foreign-keys&gt;&lt;ref-type name="Computer Program"&gt;9&lt;/ref-type&gt;&lt;contributors&gt;&lt;authors&gt;&lt;author&gt;National Cancer Institute, &lt;/author&gt;&lt;author&gt;Statistical Methodology and Applications Branch, &lt;/author&gt;&lt;author&gt;Surveillance Research Program,&lt;/author&gt;&lt;/authors&gt;&lt;/contributors&gt;&lt;titles&gt;&lt;title&gt;Joinpoint Regression Program, Version 4.6.0.0 - April 2018&lt;/title&gt;&lt;/titles&gt;&lt;dates&gt;&lt;year&gt;2018&lt;/year&gt;&lt;/dates&gt;&lt;urls&gt;&lt;/urls&gt;&lt;/record&gt;&lt;/Cite&gt;&lt;/EndNote&gt;</w:instrText>
      </w:r>
      <w:r w:rsidRPr="007A7666">
        <w:rPr>
          <w:lang w:val="en-US"/>
        </w:rPr>
        <w:fldChar w:fldCharType="separate"/>
      </w:r>
      <w:r w:rsidR="008B07DA">
        <w:rPr>
          <w:noProof/>
          <w:vertAlign w:val="superscript"/>
          <w:lang w:val="en-US"/>
        </w:rPr>
        <w:t>3</w:t>
      </w:r>
      <w:r w:rsidRPr="007A7666">
        <w:rPr>
          <w:lang w:val="en-US"/>
        </w:rPr>
        <w:fldChar w:fldCharType="end"/>
      </w:r>
      <w:r w:rsidRPr="007A7666">
        <w:rPr>
          <w:lang w:val="en-US"/>
        </w:rPr>
        <w:t xml:space="preserve"> This approach uses the Monte Carlo Permutation to test for a significant change in trend; AAPC was calculated as the weighted average of the annual percent changes from the </w:t>
      </w:r>
      <w:proofErr w:type="spellStart"/>
      <w:r w:rsidRPr="007A7666">
        <w:rPr>
          <w:lang w:val="en-US"/>
        </w:rPr>
        <w:t>joinpoint</w:t>
      </w:r>
      <w:proofErr w:type="spellEnd"/>
      <w:r w:rsidRPr="007A7666">
        <w:rPr>
          <w:lang w:val="en-US"/>
        </w:rPr>
        <w:t xml:space="preserve"> model of the time period selected. The minimum and maximum numbers of </w:t>
      </w:r>
      <w:proofErr w:type="spellStart"/>
      <w:r w:rsidRPr="007A7666">
        <w:rPr>
          <w:lang w:val="en-US"/>
        </w:rPr>
        <w:t>joinpoints</w:t>
      </w:r>
      <w:proofErr w:type="spellEnd"/>
      <w:r w:rsidRPr="007A7666">
        <w:rPr>
          <w:lang w:val="en-US"/>
        </w:rPr>
        <w:t xml:space="preserve"> were set to 0 and 3, respectively.</w:t>
      </w:r>
    </w:p>
    <w:p w14:paraId="194C4405" w14:textId="6CA3B272" w:rsidR="00C45B11" w:rsidRPr="007A7666" w:rsidRDefault="00C45B11" w:rsidP="00C45B11">
      <w:pPr>
        <w:spacing w:line="360" w:lineRule="auto"/>
        <w:rPr>
          <w:lang w:val="en-US"/>
        </w:rPr>
      </w:pPr>
      <w:r w:rsidRPr="007A7666">
        <w:rPr>
          <w:lang w:val="en-US"/>
        </w:rPr>
        <w:t>We assessed</w:t>
      </w:r>
      <w:r w:rsidR="008B07DA">
        <w:rPr>
          <w:lang w:val="en-US"/>
        </w:rPr>
        <w:t xml:space="preserve"> long-term</w:t>
      </w:r>
      <w:r w:rsidRPr="007A7666">
        <w:rPr>
          <w:lang w:val="en-US"/>
        </w:rPr>
        <w:t xml:space="preserve"> trends by birth cohorts, which indicate changes in the prevalence of exposure to risk factors across successive generations, and by period of diagnosis, an indicator of changes linked to diagnostic methods or classification of disease that influence multiple age groups at a point in time.</w:t>
      </w:r>
      <w:r w:rsidR="008B07DA" w:rsidRPr="001968C8">
        <w:rPr>
          <w:vertAlign w:val="superscript"/>
          <w:lang w:val="en-US"/>
        </w:rPr>
        <w:t>4</w:t>
      </w:r>
      <w:r w:rsidRPr="007A7666">
        <w:rPr>
          <w:lang w:val="en-US"/>
        </w:rPr>
        <w:t xml:space="preserve"> Birth </w:t>
      </w:r>
      <w:r w:rsidRPr="007A7666">
        <w:rPr>
          <w:lang w:val="en-US"/>
        </w:rPr>
        <w:lastRenderedPageBreak/>
        <w:t xml:space="preserve">cohorts were obtained by subtracting the midpoint of the five-year age-group from the midpoint of the five-year period of diagnosis, assuming incidence rates were constant within five-year age groups. Data management and plotting were carried out using the </w:t>
      </w:r>
      <w:r w:rsidRPr="007A7666">
        <w:rPr>
          <w:i/>
          <w:lang w:val="en-US"/>
        </w:rPr>
        <w:t>Rcan</w:t>
      </w:r>
      <w:r w:rsidR="008B07DA" w:rsidRPr="001968C8">
        <w:rPr>
          <w:vertAlign w:val="superscript"/>
          <w:lang w:val="en-US"/>
        </w:rPr>
        <w:t>5</w:t>
      </w:r>
      <w:r w:rsidRPr="007A7666">
        <w:rPr>
          <w:lang w:val="en-US"/>
        </w:rPr>
        <w:t xml:space="preserve"> package in R version 3.5.1.</w:t>
      </w:r>
      <w:r w:rsidRPr="007A7666">
        <w:rPr>
          <w:lang w:val="en-US"/>
        </w:rPr>
        <w:fldChar w:fldCharType="begin"/>
      </w:r>
      <w:r w:rsidRPr="007A7666">
        <w:rPr>
          <w:lang w:val="en-US"/>
        </w:rPr>
        <w:instrText xml:space="preserve"> ADDIN EN.CITE &lt;EndNote&gt;&lt;Cite&gt;&lt;Author&gt;R Core Team&lt;/Author&gt;&lt;Year&gt;2018&lt;/Year&gt;&lt;RecNum&gt;7&lt;/RecNum&gt;&lt;DisplayText&gt;&lt;style face="superscript"&gt;14&lt;/style&gt;&lt;/DisplayText&gt;&lt;record&gt;&lt;rec-number&gt;7&lt;/rec-number&gt;&lt;foreign-keys&gt;&lt;key app="EN" db-id="9tdavrds3rwdfoevvpmpwx2s5f2wpfwxs2sd" timestamp="1553092888"&gt;7&lt;/key&gt;&lt;/foreign-keys&gt;&lt;ref-type name="Computer Program"&gt;9&lt;/ref-type&gt;&lt;contributors&gt;&lt;authors&gt;&lt;author&gt;R Core Team,&lt;/author&gt;&lt;/authors&gt;&lt;/contributors&gt;&lt;titles&gt;&lt;title&gt;R: A language and environment for statistical computing&lt;/title&gt;&lt;/titles&gt;&lt;edition&gt;3.5.1&lt;/edition&gt;&lt;dates&gt;&lt;year&gt;2018&lt;/year&gt;&lt;/dates&gt;&lt;pub-location&gt;Vienna, Austria&lt;/pub-location&gt;&lt;publisher&gt;R Foundation for Statistical Computing&lt;/publisher&gt;&lt;urls&gt;&lt;related-urls&gt;&lt;url&gt;https://www.R-project.org/&lt;/url&gt;&lt;/related-urls&gt;&lt;/urls&gt;&lt;/record&gt;&lt;/Cite&gt;&lt;/EndNote&gt;</w:instrText>
      </w:r>
      <w:r w:rsidRPr="007A7666">
        <w:rPr>
          <w:lang w:val="en-US"/>
        </w:rPr>
        <w:fldChar w:fldCharType="separate"/>
      </w:r>
      <w:r w:rsidR="008B07DA">
        <w:rPr>
          <w:noProof/>
          <w:vertAlign w:val="superscript"/>
          <w:lang w:val="en-US"/>
        </w:rPr>
        <w:t>6</w:t>
      </w:r>
      <w:r w:rsidRPr="007A7666">
        <w:rPr>
          <w:lang w:val="en-US"/>
        </w:rPr>
        <w:fldChar w:fldCharType="end"/>
      </w:r>
    </w:p>
    <w:p w14:paraId="025A3268" w14:textId="4CB4C88F" w:rsidR="00C45B11" w:rsidRDefault="00C45B11" w:rsidP="008D310F">
      <w:pPr>
        <w:spacing w:line="360" w:lineRule="auto"/>
        <w:rPr>
          <w:lang w:val="en-US"/>
        </w:rPr>
      </w:pPr>
    </w:p>
    <w:p w14:paraId="4E7EE5D2" w14:textId="4223DACF" w:rsidR="002A2A95" w:rsidRPr="001968C8" w:rsidRDefault="002A2A95" w:rsidP="008D310F">
      <w:pPr>
        <w:spacing w:line="360" w:lineRule="auto"/>
        <w:rPr>
          <w:b/>
          <w:bCs/>
          <w:lang w:val="en-US"/>
        </w:rPr>
      </w:pPr>
      <w:r w:rsidRPr="001968C8">
        <w:rPr>
          <w:b/>
          <w:bCs/>
          <w:lang w:val="en-US"/>
        </w:rPr>
        <w:t>REFERENCES</w:t>
      </w:r>
    </w:p>
    <w:p w14:paraId="1224553E" w14:textId="60186E0B" w:rsidR="008B07DA" w:rsidRPr="00BE63B9" w:rsidRDefault="008B07DA" w:rsidP="008B07DA">
      <w:pPr>
        <w:pStyle w:val="EndNoteBibliography"/>
        <w:spacing w:after="0"/>
        <w:ind w:left="720" w:hanging="720"/>
      </w:pPr>
      <w:r>
        <w:t>1</w:t>
      </w:r>
      <w:r w:rsidRPr="00BE63B9">
        <w:t>. Ferlay J, Colombet M, Bray F. Cancer Incidence in Five Continents, CI5plus: IARC CancerBase No. 9. Lyon, France: International Agency for Research on Cancer, 2018.</w:t>
      </w:r>
    </w:p>
    <w:p w14:paraId="16E6D63C" w14:textId="24FD00ED" w:rsidR="008B07DA" w:rsidRPr="00BE63B9" w:rsidRDefault="008B07DA" w:rsidP="008B07DA">
      <w:pPr>
        <w:pStyle w:val="EndNoteBibliography"/>
        <w:spacing w:after="0"/>
        <w:ind w:left="720" w:hanging="720"/>
      </w:pPr>
      <w:r>
        <w:t>2</w:t>
      </w:r>
      <w:r w:rsidRPr="00BE63B9">
        <w:t>. Doll R, Payne P, Waterhouse J. Cancer Incidence in Five Continents: A Technical Report. Berlin: Union for International Cancer Control, 1966.</w:t>
      </w:r>
    </w:p>
    <w:p w14:paraId="30B583CE" w14:textId="77F72E40" w:rsidR="008B07DA" w:rsidRPr="00BE63B9" w:rsidRDefault="008B07DA" w:rsidP="008B07DA">
      <w:pPr>
        <w:pStyle w:val="EndNoteBibliography"/>
        <w:spacing w:after="0"/>
        <w:ind w:left="720" w:hanging="720"/>
      </w:pPr>
      <w:r>
        <w:t>3</w:t>
      </w:r>
      <w:r w:rsidRPr="00BE63B9">
        <w:t>. Joinpoint Regression Program, Version 4.6.0.0 - April 2018 [program], 2018.</w:t>
      </w:r>
    </w:p>
    <w:p w14:paraId="3E8E3EAB" w14:textId="4DA942BF" w:rsidR="008B07DA" w:rsidRPr="00BE63B9" w:rsidRDefault="008B07DA" w:rsidP="008B07DA">
      <w:pPr>
        <w:pStyle w:val="EndNoteBibliography"/>
        <w:spacing w:after="0"/>
        <w:ind w:left="720" w:hanging="720"/>
      </w:pPr>
      <w:r>
        <w:t>4</w:t>
      </w:r>
      <w:r w:rsidRPr="00BE63B9">
        <w:t>. Clayton D, Schifflers E. Models for temporal variation in cancer rates. I: Age</w:t>
      </w:r>
      <w:r>
        <w:t>-</w:t>
      </w:r>
      <w:r w:rsidRPr="00BE63B9">
        <w:t>period and age</w:t>
      </w:r>
      <w:r>
        <w:t>-</w:t>
      </w:r>
      <w:r w:rsidRPr="00BE63B9">
        <w:t xml:space="preserve">cohort models. </w:t>
      </w:r>
      <w:r w:rsidRPr="00BE63B9">
        <w:rPr>
          <w:i/>
        </w:rPr>
        <w:t>Stat</w:t>
      </w:r>
      <w:r>
        <w:rPr>
          <w:i/>
        </w:rPr>
        <w:t xml:space="preserve"> </w:t>
      </w:r>
      <w:r w:rsidRPr="00BE63B9">
        <w:rPr>
          <w:i/>
        </w:rPr>
        <w:t>Med</w:t>
      </w:r>
      <w:r w:rsidRPr="00BE63B9">
        <w:t xml:space="preserve"> 1987;6(4):449-67. doi: 10.1002/sim.4780060405</w:t>
      </w:r>
    </w:p>
    <w:p w14:paraId="7206EEE0" w14:textId="4DF4F2AA" w:rsidR="008B07DA" w:rsidRPr="00BE63B9" w:rsidRDefault="008B07DA" w:rsidP="008B07DA">
      <w:pPr>
        <w:pStyle w:val="EndNoteBibliography"/>
        <w:spacing w:after="0"/>
        <w:ind w:left="720" w:hanging="720"/>
      </w:pPr>
      <w:r>
        <w:t>5</w:t>
      </w:r>
      <w:r w:rsidRPr="00BE63B9">
        <w:t>. Rcan: Cancer Registry Data Analysis and Visualisation [program]. 1.3.64 version, 2018.</w:t>
      </w:r>
    </w:p>
    <w:p w14:paraId="56DD0AAA" w14:textId="0B868784" w:rsidR="002B05C5" w:rsidRPr="001A4AA2" w:rsidRDefault="008B07DA" w:rsidP="00C769AD">
      <w:pPr>
        <w:pStyle w:val="EndNoteBibliography"/>
        <w:spacing w:after="0"/>
        <w:ind w:left="720" w:hanging="720"/>
      </w:pPr>
      <w:r>
        <w:t>6</w:t>
      </w:r>
      <w:r w:rsidRPr="00BE63B9">
        <w:t>. R: A language and environment for statistical computing [program]. 3.5.1 version. Vienna, Austria: R Foundation for Statistical Computing, 2018</w:t>
      </w:r>
      <w:r w:rsidR="00C769AD">
        <w:t>.</w:t>
      </w:r>
    </w:p>
    <w:sectPr w:rsidR="002B05C5" w:rsidRPr="001A4AA2" w:rsidSect="00C769A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A3"/>
    <w:rsid w:val="00014B6A"/>
    <w:rsid w:val="00133207"/>
    <w:rsid w:val="001968C8"/>
    <w:rsid w:val="001A4AA2"/>
    <w:rsid w:val="00213146"/>
    <w:rsid w:val="002612DD"/>
    <w:rsid w:val="002A2A95"/>
    <w:rsid w:val="002B05C5"/>
    <w:rsid w:val="002B1810"/>
    <w:rsid w:val="00317715"/>
    <w:rsid w:val="003924B7"/>
    <w:rsid w:val="003B51F4"/>
    <w:rsid w:val="003B5791"/>
    <w:rsid w:val="003F0CF0"/>
    <w:rsid w:val="004B15C3"/>
    <w:rsid w:val="004D0262"/>
    <w:rsid w:val="004E6752"/>
    <w:rsid w:val="00511D7A"/>
    <w:rsid w:val="0053212A"/>
    <w:rsid w:val="005B32C2"/>
    <w:rsid w:val="005C785B"/>
    <w:rsid w:val="00601F09"/>
    <w:rsid w:val="0063440A"/>
    <w:rsid w:val="00671045"/>
    <w:rsid w:val="007417FD"/>
    <w:rsid w:val="00771D82"/>
    <w:rsid w:val="007E5094"/>
    <w:rsid w:val="007F3EAE"/>
    <w:rsid w:val="00854818"/>
    <w:rsid w:val="00866CBE"/>
    <w:rsid w:val="008B07DA"/>
    <w:rsid w:val="008D310F"/>
    <w:rsid w:val="00985EFA"/>
    <w:rsid w:val="009D63FA"/>
    <w:rsid w:val="009E63F1"/>
    <w:rsid w:val="00A00415"/>
    <w:rsid w:val="00A46658"/>
    <w:rsid w:val="00AD130F"/>
    <w:rsid w:val="00AD7008"/>
    <w:rsid w:val="00AE07B5"/>
    <w:rsid w:val="00B33608"/>
    <w:rsid w:val="00B847A3"/>
    <w:rsid w:val="00B84818"/>
    <w:rsid w:val="00BF7BF3"/>
    <w:rsid w:val="00C45B11"/>
    <w:rsid w:val="00C52EE5"/>
    <w:rsid w:val="00C769AD"/>
    <w:rsid w:val="00CA5438"/>
    <w:rsid w:val="00D5221C"/>
    <w:rsid w:val="00DB25C5"/>
    <w:rsid w:val="00F22C57"/>
    <w:rsid w:val="00FB7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15A80"/>
  <w15:docId w15:val="{206F3FFC-531C-4830-9A19-540A51CF8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7A3"/>
    <w:rPr>
      <w:color w:val="0000FF"/>
      <w:u w:val="single"/>
    </w:rPr>
  </w:style>
  <w:style w:type="character" w:styleId="FollowedHyperlink">
    <w:name w:val="FollowedHyperlink"/>
    <w:basedOn w:val="DefaultParagraphFont"/>
    <w:uiPriority w:val="99"/>
    <w:semiHidden/>
    <w:unhideWhenUsed/>
    <w:rsid w:val="00B847A3"/>
    <w:rPr>
      <w:color w:val="800080"/>
      <w:u w:val="single"/>
    </w:rPr>
  </w:style>
  <w:style w:type="paragraph" w:customStyle="1" w:styleId="font5">
    <w:name w:val="font5"/>
    <w:basedOn w:val="Normal"/>
    <w:rsid w:val="00B847A3"/>
    <w:pPr>
      <w:spacing w:before="100" w:beforeAutospacing="1" w:after="100" w:afterAutospacing="1" w:line="240" w:lineRule="auto"/>
    </w:pPr>
    <w:rPr>
      <w:rFonts w:ascii="Calibri" w:eastAsia="Times New Roman" w:hAnsi="Calibri" w:cs="Times New Roman"/>
      <w:color w:val="000000"/>
      <w:sz w:val="18"/>
      <w:szCs w:val="18"/>
      <w:lang w:eastAsia="en-GB"/>
    </w:rPr>
  </w:style>
  <w:style w:type="paragraph" w:customStyle="1" w:styleId="xl65">
    <w:name w:val="xl65"/>
    <w:basedOn w:val="Normal"/>
    <w:rsid w:val="00B847A3"/>
    <w:pP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
    <w:rsid w:val="00B847A3"/>
    <w:pPr>
      <w:pBdr>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18"/>
      <w:szCs w:val="18"/>
      <w:lang w:eastAsia="en-GB"/>
    </w:rPr>
  </w:style>
  <w:style w:type="paragraph" w:customStyle="1" w:styleId="xl67">
    <w:name w:val="xl67"/>
    <w:basedOn w:val="Normal"/>
    <w:rsid w:val="00B847A3"/>
    <w:pPr>
      <w:pBdr>
        <w:top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xl68">
    <w:name w:val="xl68"/>
    <w:basedOn w:val="Normal"/>
    <w:rsid w:val="00B847A3"/>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en-GB"/>
    </w:rPr>
  </w:style>
  <w:style w:type="paragraph" w:customStyle="1" w:styleId="xl69">
    <w:name w:val="xl69"/>
    <w:basedOn w:val="Normal"/>
    <w:rsid w:val="00B847A3"/>
    <w:pP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xl70">
    <w:name w:val="xl70"/>
    <w:basedOn w:val="Normal"/>
    <w:rsid w:val="00B847A3"/>
    <w:pPr>
      <w:spacing w:before="100" w:beforeAutospacing="1" w:after="100" w:afterAutospacing="1" w:line="240" w:lineRule="auto"/>
    </w:pPr>
    <w:rPr>
      <w:rFonts w:ascii="Times New Roman" w:eastAsia="Times New Roman" w:hAnsi="Times New Roman" w:cs="Times New Roman"/>
      <w:b/>
      <w:bCs/>
      <w:sz w:val="18"/>
      <w:szCs w:val="18"/>
      <w:lang w:eastAsia="en-GB"/>
    </w:rPr>
  </w:style>
  <w:style w:type="paragraph" w:customStyle="1" w:styleId="xl71">
    <w:name w:val="xl71"/>
    <w:basedOn w:val="Normal"/>
    <w:rsid w:val="00B847A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en-GB"/>
    </w:rPr>
  </w:style>
  <w:style w:type="paragraph" w:customStyle="1" w:styleId="xl72">
    <w:name w:val="xl72"/>
    <w:basedOn w:val="Normal"/>
    <w:rsid w:val="00B847A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en-GB"/>
    </w:rPr>
  </w:style>
  <w:style w:type="paragraph" w:customStyle="1" w:styleId="xl73">
    <w:name w:val="xl73"/>
    <w:basedOn w:val="Normal"/>
    <w:rsid w:val="00B847A3"/>
    <w:pPr>
      <w:pBdr>
        <w:top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18"/>
      <w:szCs w:val="18"/>
      <w:lang w:eastAsia="en-GB"/>
    </w:rPr>
  </w:style>
  <w:style w:type="paragraph" w:customStyle="1" w:styleId="xl74">
    <w:name w:val="xl74"/>
    <w:basedOn w:val="Normal"/>
    <w:rsid w:val="00B847A3"/>
    <w:pPr>
      <w:pBdr>
        <w:top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xl75">
    <w:name w:val="xl75"/>
    <w:basedOn w:val="Normal"/>
    <w:rsid w:val="00B847A3"/>
    <w:pPr>
      <w:spacing w:before="100" w:beforeAutospacing="1" w:after="100" w:afterAutospacing="1" w:line="240" w:lineRule="auto"/>
      <w:ind w:firstLineChars="100" w:firstLine="100"/>
    </w:pPr>
    <w:rPr>
      <w:rFonts w:ascii="Times New Roman" w:eastAsia="Times New Roman" w:hAnsi="Times New Roman" w:cs="Times New Roman"/>
      <w:sz w:val="18"/>
      <w:szCs w:val="18"/>
      <w:lang w:eastAsia="en-GB"/>
    </w:rPr>
  </w:style>
  <w:style w:type="paragraph" w:customStyle="1" w:styleId="xl76">
    <w:name w:val="xl76"/>
    <w:basedOn w:val="Normal"/>
    <w:rsid w:val="00B847A3"/>
    <w:pP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xl77">
    <w:name w:val="xl77"/>
    <w:basedOn w:val="Normal"/>
    <w:rsid w:val="00B847A3"/>
    <w:pP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xl78">
    <w:name w:val="xl78"/>
    <w:basedOn w:val="Normal"/>
    <w:rsid w:val="00B847A3"/>
    <w:pP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xl79">
    <w:name w:val="xl79"/>
    <w:basedOn w:val="Normal"/>
    <w:rsid w:val="00B847A3"/>
    <w:pP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xl80">
    <w:name w:val="xl80"/>
    <w:basedOn w:val="Normal"/>
    <w:rsid w:val="00B847A3"/>
    <w:pPr>
      <w:shd w:val="clear" w:color="000000" w:fill="F2F2F2"/>
      <w:spacing w:before="100" w:beforeAutospacing="1" w:after="100" w:afterAutospacing="1" w:line="240" w:lineRule="auto"/>
      <w:ind w:firstLineChars="100" w:firstLine="100"/>
    </w:pPr>
    <w:rPr>
      <w:rFonts w:ascii="Times New Roman" w:eastAsia="Times New Roman" w:hAnsi="Times New Roman" w:cs="Times New Roman"/>
      <w:sz w:val="18"/>
      <w:szCs w:val="18"/>
      <w:lang w:eastAsia="en-GB"/>
    </w:rPr>
  </w:style>
  <w:style w:type="paragraph" w:customStyle="1" w:styleId="xl81">
    <w:name w:val="xl81"/>
    <w:basedOn w:val="Normal"/>
    <w:rsid w:val="00B847A3"/>
    <w:pPr>
      <w:shd w:val="clear" w:color="000000" w:fill="F2F2F2"/>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xl82">
    <w:name w:val="xl82"/>
    <w:basedOn w:val="Normal"/>
    <w:rsid w:val="00B847A3"/>
    <w:pPr>
      <w:shd w:val="clear" w:color="000000" w:fill="F2F2F2"/>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xl83">
    <w:name w:val="xl83"/>
    <w:basedOn w:val="Normal"/>
    <w:rsid w:val="00B847A3"/>
    <w:pPr>
      <w:shd w:val="clear" w:color="000000" w:fill="F2F2F2"/>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xl84">
    <w:name w:val="xl84"/>
    <w:basedOn w:val="Normal"/>
    <w:rsid w:val="00B847A3"/>
    <w:pPr>
      <w:shd w:val="clear" w:color="000000" w:fill="F2F2F2"/>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xl85">
    <w:name w:val="xl85"/>
    <w:basedOn w:val="Normal"/>
    <w:rsid w:val="00B847A3"/>
    <w:pPr>
      <w:spacing w:before="100" w:beforeAutospacing="1" w:after="100" w:afterAutospacing="1" w:line="240" w:lineRule="auto"/>
    </w:pPr>
    <w:rPr>
      <w:rFonts w:ascii="Times New Roman" w:eastAsia="Times New Roman" w:hAnsi="Times New Roman" w:cs="Times New Roman"/>
      <w:b/>
      <w:bCs/>
      <w:sz w:val="18"/>
      <w:szCs w:val="18"/>
      <w:lang w:eastAsia="en-GB"/>
    </w:rPr>
  </w:style>
  <w:style w:type="paragraph" w:customStyle="1" w:styleId="xl86">
    <w:name w:val="xl86"/>
    <w:basedOn w:val="Normal"/>
    <w:rsid w:val="00B847A3"/>
    <w:pPr>
      <w:shd w:val="clear" w:color="000000" w:fill="F2F2F2"/>
      <w:spacing w:before="100" w:beforeAutospacing="1" w:after="100" w:afterAutospacing="1" w:line="240" w:lineRule="auto"/>
    </w:pPr>
    <w:rPr>
      <w:rFonts w:ascii="Times New Roman" w:eastAsia="Times New Roman" w:hAnsi="Times New Roman" w:cs="Times New Roman"/>
      <w:b/>
      <w:bCs/>
      <w:sz w:val="18"/>
      <w:szCs w:val="18"/>
      <w:lang w:eastAsia="en-GB"/>
    </w:rPr>
  </w:style>
  <w:style w:type="paragraph" w:customStyle="1" w:styleId="xl87">
    <w:name w:val="xl87"/>
    <w:basedOn w:val="Normal"/>
    <w:rsid w:val="00B847A3"/>
    <w:pPr>
      <w:pBdr>
        <w:top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xl88">
    <w:name w:val="xl88"/>
    <w:basedOn w:val="Normal"/>
    <w:rsid w:val="00B847A3"/>
    <w:pPr>
      <w:pBdr>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5B32C2"/>
    <w:rPr>
      <w:sz w:val="16"/>
      <w:szCs w:val="16"/>
    </w:rPr>
  </w:style>
  <w:style w:type="paragraph" w:styleId="CommentText">
    <w:name w:val="annotation text"/>
    <w:basedOn w:val="Normal"/>
    <w:link w:val="CommentTextChar"/>
    <w:uiPriority w:val="99"/>
    <w:semiHidden/>
    <w:unhideWhenUsed/>
    <w:rsid w:val="005B32C2"/>
    <w:pPr>
      <w:spacing w:line="240" w:lineRule="auto"/>
    </w:pPr>
    <w:rPr>
      <w:sz w:val="20"/>
      <w:szCs w:val="20"/>
    </w:rPr>
  </w:style>
  <w:style w:type="character" w:customStyle="1" w:styleId="CommentTextChar">
    <w:name w:val="Comment Text Char"/>
    <w:basedOn w:val="DefaultParagraphFont"/>
    <w:link w:val="CommentText"/>
    <w:uiPriority w:val="99"/>
    <w:semiHidden/>
    <w:rsid w:val="005B32C2"/>
    <w:rPr>
      <w:sz w:val="20"/>
      <w:szCs w:val="20"/>
    </w:rPr>
  </w:style>
  <w:style w:type="paragraph" w:styleId="BalloonText">
    <w:name w:val="Balloon Text"/>
    <w:basedOn w:val="Normal"/>
    <w:link w:val="BalloonTextChar"/>
    <w:uiPriority w:val="99"/>
    <w:semiHidden/>
    <w:unhideWhenUsed/>
    <w:rsid w:val="005B3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2C2"/>
    <w:rPr>
      <w:rFonts w:ascii="Tahoma" w:hAnsi="Tahoma" w:cs="Tahoma"/>
      <w:sz w:val="16"/>
      <w:szCs w:val="16"/>
    </w:rPr>
  </w:style>
  <w:style w:type="paragraph" w:customStyle="1" w:styleId="EndNoteBibliography">
    <w:name w:val="EndNote Bibliography"/>
    <w:basedOn w:val="Normal"/>
    <w:link w:val="EndNoteBibliographyChar"/>
    <w:rsid w:val="005B32C2"/>
    <w:pPr>
      <w:spacing w:line="240" w:lineRule="auto"/>
    </w:pPr>
    <w:rPr>
      <w:rFonts w:ascii="Calibri" w:eastAsiaTheme="minorEastAsia" w:hAnsi="Calibri"/>
      <w:noProof/>
      <w:lang w:val="en-US"/>
    </w:rPr>
  </w:style>
  <w:style w:type="character" w:customStyle="1" w:styleId="EndNoteBibliographyChar">
    <w:name w:val="EndNote Bibliography Char"/>
    <w:basedOn w:val="DefaultParagraphFont"/>
    <w:link w:val="EndNoteBibliography"/>
    <w:rsid w:val="005B32C2"/>
    <w:rPr>
      <w:rFonts w:ascii="Calibri" w:eastAsiaTheme="minorEastAsia" w:hAnsi="Calibri"/>
      <w:noProof/>
      <w:lang w:val="en-US"/>
    </w:rPr>
  </w:style>
  <w:style w:type="paragraph" w:customStyle="1" w:styleId="msonormal0">
    <w:name w:val="msonormal"/>
    <w:basedOn w:val="Normal"/>
    <w:rsid w:val="00601F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D5221C"/>
    <w:rPr>
      <w:b/>
      <w:bCs/>
    </w:rPr>
  </w:style>
  <w:style w:type="character" w:customStyle="1" w:styleId="CommentSubjectChar">
    <w:name w:val="Comment Subject Char"/>
    <w:basedOn w:val="CommentTextChar"/>
    <w:link w:val="CommentSubject"/>
    <w:uiPriority w:val="99"/>
    <w:semiHidden/>
    <w:rsid w:val="00D5221C"/>
    <w:rPr>
      <w:b/>
      <w:bCs/>
      <w:sz w:val="20"/>
      <w:szCs w:val="20"/>
    </w:rPr>
  </w:style>
  <w:style w:type="paragraph" w:styleId="ListParagraph">
    <w:name w:val="List Paragraph"/>
    <w:basedOn w:val="Normal"/>
    <w:link w:val="ListParagraphChar"/>
    <w:uiPriority w:val="34"/>
    <w:qFormat/>
    <w:rsid w:val="00CA5438"/>
    <w:pPr>
      <w:ind w:left="720"/>
      <w:contextualSpacing/>
    </w:pPr>
    <w:rPr>
      <w:rFonts w:eastAsiaTheme="minorEastAsia"/>
    </w:rPr>
  </w:style>
  <w:style w:type="character" w:customStyle="1" w:styleId="ListParagraphChar">
    <w:name w:val="List Paragraph Char"/>
    <w:basedOn w:val="DefaultParagraphFont"/>
    <w:link w:val="ListParagraph"/>
    <w:uiPriority w:val="34"/>
    <w:rsid w:val="00CA5438"/>
    <w:rPr>
      <w:rFonts w:eastAsiaTheme="minorEastAsia"/>
    </w:rPr>
  </w:style>
  <w:style w:type="paragraph" w:customStyle="1" w:styleId="xl63">
    <w:name w:val="xl63"/>
    <w:basedOn w:val="Normal"/>
    <w:rsid w:val="00B33608"/>
    <w:pP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B33608"/>
    <w:pPr>
      <w:pBdr>
        <w:top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219209">
      <w:bodyDiv w:val="1"/>
      <w:marLeft w:val="0"/>
      <w:marRight w:val="0"/>
      <w:marTop w:val="0"/>
      <w:marBottom w:val="0"/>
      <w:divBdr>
        <w:top w:val="none" w:sz="0" w:space="0" w:color="auto"/>
        <w:left w:val="none" w:sz="0" w:space="0" w:color="auto"/>
        <w:bottom w:val="none" w:sz="0" w:space="0" w:color="auto"/>
        <w:right w:val="none" w:sz="0" w:space="0" w:color="auto"/>
      </w:divBdr>
    </w:div>
    <w:div w:id="319501780">
      <w:bodyDiv w:val="1"/>
      <w:marLeft w:val="0"/>
      <w:marRight w:val="0"/>
      <w:marTop w:val="0"/>
      <w:marBottom w:val="0"/>
      <w:divBdr>
        <w:top w:val="none" w:sz="0" w:space="0" w:color="auto"/>
        <w:left w:val="none" w:sz="0" w:space="0" w:color="auto"/>
        <w:bottom w:val="none" w:sz="0" w:space="0" w:color="auto"/>
        <w:right w:val="none" w:sz="0" w:space="0" w:color="auto"/>
      </w:divBdr>
    </w:div>
    <w:div w:id="411661588">
      <w:bodyDiv w:val="1"/>
      <w:marLeft w:val="0"/>
      <w:marRight w:val="0"/>
      <w:marTop w:val="0"/>
      <w:marBottom w:val="0"/>
      <w:divBdr>
        <w:top w:val="none" w:sz="0" w:space="0" w:color="auto"/>
        <w:left w:val="none" w:sz="0" w:space="0" w:color="auto"/>
        <w:bottom w:val="none" w:sz="0" w:space="0" w:color="auto"/>
        <w:right w:val="none" w:sz="0" w:space="0" w:color="auto"/>
      </w:divBdr>
    </w:div>
    <w:div w:id="440341832">
      <w:bodyDiv w:val="1"/>
      <w:marLeft w:val="0"/>
      <w:marRight w:val="0"/>
      <w:marTop w:val="0"/>
      <w:marBottom w:val="0"/>
      <w:divBdr>
        <w:top w:val="none" w:sz="0" w:space="0" w:color="auto"/>
        <w:left w:val="none" w:sz="0" w:space="0" w:color="auto"/>
        <w:bottom w:val="none" w:sz="0" w:space="0" w:color="auto"/>
        <w:right w:val="none" w:sz="0" w:space="0" w:color="auto"/>
      </w:divBdr>
    </w:div>
    <w:div w:id="572160550">
      <w:bodyDiv w:val="1"/>
      <w:marLeft w:val="0"/>
      <w:marRight w:val="0"/>
      <w:marTop w:val="0"/>
      <w:marBottom w:val="0"/>
      <w:divBdr>
        <w:top w:val="none" w:sz="0" w:space="0" w:color="auto"/>
        <w:left w:val="none" w:sz="0" w:space="0" w:color="auto"/>
        <w:bottom w:val="none" w:sz="0" w:space="0" w:color="auto"/>
        <w:right w:val="none" w:sz="0" w:space="0" w:color="auto"/>
      </w:divBdr>
    </w:div>
    <w:div w:id="658384352">
      <w:bodyDiv w:val="1"/>
      <w:marLeft w:val="0"/>
      <w:marRight w:val="0"/>
      <w:marTop w:val="0"/>
      <w:marBottom w:val="0"/>
      <w:divBdr>
        <w:top w:val="none" w:sz="0" w:space="0" w:color="auto"/>
        <w:left w:val="none" w:sz="0" w:space="0" w:color="auto"/>
        <w:bottom w:val="none" w:sz="0" w:space="0" w:color="auto"/>
        <w:right w:val="none" w:sz="0" w:space="0" w:color="auto"/>
      </w:divBdr>
    </w:div>
    <w:div w:id="831483570">
      <w:bodyDiv w:val="1"/>
      <w:marLeft w:val="0"/>
      <w:marRight w:val="0"/>
      <w:marTop w:val="0"/>
      <w:marBottom w:val="0"/>
      <w:divBdr>
        <w:top w:val="none" w:sz="0" w:space="0" w:color="auto"/>
        <w:left w:val="none" w:sz="0" w:space="0" w:color="auto"/>
        <w:bottom w:val="none" w:sz="0" w:space="0" w:color="auto"/>
        <w:right w:val="none" w:sz="0" w:space="0" w:color="auto"/>
      </w:divBdr>
    </w:div>
    <w:div w:id="888421483">
      <w:bodyDiv w:val="1"/>
      <w:marLeft w:val="0"/>
      <w:marRight w:val="0"/>
      <w:marTop w:val="0"/>
      <w:marBottom w:val="0"/>
      <w:divBdr>
        <w:top w:val="none" w:sz="0" w:space="0" w:color="auto"/>
        <w:left w:val="none" w:sz="0" w:space="0" w:color="auto"/>
        <w:bottom w:val="none" w:sz="0" w:space="0" w:color="auto"/>
        <w:right w:val="none" w:sz="0" w:space="0" w:color="auto"/>
      </w:divBdr>
    </w:div>
    <w:div w:id="1168903684">
      <w:bodyDiv w:val="1"/>
      <w:marLeft w:val="0"/>
      <w:marRight w:val="0"/>
      <w:marTop w:val="0"/>
      <w:marBottom w:val="0"/>
      <w:divBdr>
        <w:top w:val="none" w:sz="0" w:space="0" w:color="auto"/>
        <w:left w:val="none" w:sz="0" w:space="0" w:color="auto"/>
        <w:bottom w:val="none" w:sz="0" w:space="0" w:color="auto"/>
        <w:right w:val="none" w:sz="0" w:space="0" w:color="auto"/>
      </w:divBdr>
    </w:div>
    <w:div w:id="1252859936">
      <w:bodyDiv w:val="1"/>
      <w:marLeft w:val="0"/>
      <w:marRight w:val="0"/>
      <w:marTop w:val="0"/>
      <w:marBottom w:val="0"/>
      <w:divBdr>
        <w:top w:val="none" w:sz="0" w:space="0" w:color="auto"/>
        <w:left w:val="none" w:sz="0" w:space="0" w:color="auto"/>
        <w:bottom w:val="none" w:sz="0" w:space="0" w:color="auto"/>
        <w:right w:val="none" w:sz="0" w:space="0" w:color="auto"/>
      </w:divBdr>
    </w:div>
    <w:div w:id="1524897188">
      <w:bodyDiv w:val="1"/>
      <w:marLeft w:val="0"/>
      <w:marRight w:val="0"/>
      <w:marTop w:val="0"/>
      <w:marBottom w:val="0"/>
      <w:divBdr>
        <w:top w:val="none" w:sz="0" w:space="0" w:color="auto"/>
        <w:left w:val="none" w:sz="0" w:space="0" w:color="auto"/>
        <w:bottom w:val="none" w:sz="0" w:space="0" w:color="auto"/>
        <w:right w:val="none" w:sz="0" w:space="0" w:color="auto"/>
      </w:divBdr>
    </w:div>
    <w:div w:id="1571579905">
      <w:bodyDiv w:val="1"/>
      <w:marLeft w:val="0"/>
      <w:marRight w:val="0"/>
      <w:marTop w:val="0"/>
      <w:marBottom w:val="0"/>
      <w:divBdr>
        <w:top w:val="none" w:sz="0" w:space="0" w:color="auto"/>
        <w:left w:val="none" w:sz="0" w:space="0" w:color="auto"/>
        <w:bottom w:val="none" w:sz="0" w:space="0" w:color="auto"/>
        <w:right w:val="none" w:sz="0" w:space="0" w:color="auto"/>
      </w:divBdr>
    </w:div>
    <w:div w:id="1750076439">
      <w:bodyDiv w:val="1"/>
      <w:marLeft w:val="0"/>
      <w:marRight w:val="0"/>
      <w:marTop w:val="0"/>
      <w:marBottom w:val="0"/>
      <w:divBdr>
        <w:top w:val="none" w:sz="0" w:space="0" w:color="auto"/>
        <w:left w:val="none" w:sz="0" w:space="0" w:color="auto"/>
        <w:bottom w:val="none" w:sz="0" w:space="0" w:color="auto"/>
        <w:right w:val="none" w:sz="0" w:space="0" w:color="auto"/>
      </w:divBdr>
    </w:div>
    <w:div w:id="182985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IARC</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Rumgay</dc:creator>
  <cp:lastModifiedBy>Harriet Rumgay</cp:lastModifiedBy>
  <cp:revision>5</cp:revision>
  <dcterms:created xsi:type="dcterms:W3CDTF">2020-11-12T14:33:00Z</dcterms:created>
  <dcterms:modified xsi:type="dcterms:W3CDTF">2020-11-12T18:24:00Z</dcterms:modified>
</cp:coreProperties>
</file>