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1493"/>
        <w:gridCol w:w="1059"/>
        <w:gridCol w:w="1059"/>
        <w:gridCol w:w="1059"/>
        <w:gridCol w:w="598"/>
        <w:gridCol w:w="1059"/>
        <w:gridCol w:w="1059"/>
        <w:gridCol w:w="1112"/>
        <w:gridCol w:w="598"/>
        <w:gridCol w:w="1116"/>
        <w:gridCol w:w="1059"/>
        <w:gridCol w:w="1059"/>
        <w:gridCol w:w="598"/>
      </w:tblGrid>
      <w:tr w:rsidR="00A34638" w:rsidRPr="0008750A" w:rsidTr="00736F7D">
        <w:trPr>
          <w:trHeight w:val="270"/>
        </w:trPr>
        <w:tc>
          <w:tcPr>
            <w:tcW w:w="0" w:type="auto"/>
            <w:gridSpan w:val="14"/>
            <w:tcBorders>
              <w:top w:val="nil"/>
              <w:left w:val="nil"/>
              <w:right w:val="nil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eastAsia="맑은 고딕" w:hAnsi="Times New Roman" w:cs="Times New Roman"/>
                <w:b/>
                <w:bCs/>
                <w:color w:val="000000" w:themeColor="text1"/>
                <w:sz w:val="22"/>
              </w:rPr>
              <w:t xml:space="preserve">Supplementary 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Table 3. Characteristics of the Pooled Study Population According to Proton Pump Inhibitor and Histamine-2 Receptor Antagonist Use (</w:t>
            </w:r>
            <w:proofErr w:type="spellStart"/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 xml:space="preserve"> ≥ 180 days)</w:t>
            </w:r>
            <w:r w:rsidRPr="0008750A">
              <w:rPr>
                <w:rFonts w:ascii="Times New Roman" w:hAnsi="Times New Roman" w:cs="Times New Roman"/>
                <w:b/>
                <w:color w:val="000000" w:themeColor="text1"/>
                <w:sz w:val="22"/>
                <w:vertAlign w:val="superscript"/>
              </w:rPr>
              <w:t xml:space="preserve"> a</w:t>
            </w: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vMerge w:val="restart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Characteristics</w:t>
            </w:r>
          </w:p>
        </w:tc>
        <w:tc>
          <w:tcPr>
            <w:tcW w:w="0" w:type="auto"/>
            <w:gridSpan w:val="4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Full unweighted cohort</w:t>
            </w:r>
          </w:p>
        </w:tc>
        <w:tc>
          <w:tcPr>
            <w:tcW w:w="0" w:type="auto"/>
            <w:gridSpan w:val="4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Propensity-score weighted cohort</w:t>
            </w:r>
          </w:p>
        </w:tc>
        <w:tc>
          <w:tcPr>
            <w:tcW w:w="0" w:type="auto"/>
            <w:gridSpan w:val="4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Propensity score–matched cohort</w:t>
            </w:r>
          </w:p>
        </w:tc>
      </w:tr>
      <w:tr w:rsidR="00A34638" w:rsidRPr="0008750A" w:rsidTr="00736F7D">
        <w:trPr>
          <w:trHeight w:val="540"/>
        </w:trPr>
        <w:tc>
          <w:tcPr>
            <w:tcW w:w="0" w:type="auto"/>
            <w:gridSpan w:val="2"/>
            <w:vMerge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Total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(N=122118)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 users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(N=66797)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users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(N=55321)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SMD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Total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(N=78766)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 users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(N=39799)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users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(N=38,967)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SMD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Total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(N=77024)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PPI users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(N=38512)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users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(N=38512)</w:t>
            </w:r>
          </w:p>
        </w:tc>
        <w:tc>
          <w:tcPr>
            <w:tcW w:w="0" w:type="auto"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SMD</w:t>
            </w: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Sex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0.2265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-0.0002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-0.0147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Male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66849 (54.7)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39958 (59.8)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26891 (48.6)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42080 (53.4)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21260 (53.4)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20820 (53.4)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41447 (53.81)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20582 (53.4)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20865 (54.2)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Female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55269 (45.3)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26839 (40.2)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28430 (51.4)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36686 (46.6)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18539 (46.6)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18147 (46.6)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35577 (46.19)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17930 (46.6)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17647 (45.8)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Age (years)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-0.0674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0.0031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0.0064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40-49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8622 (7.1)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4540 (6.8)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4082 (7.4)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5275 (6.7)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2662 (6.7)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2613 (6.7)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5097 (6.62)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2583 (6.7)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2514 (6.5)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50-59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42646 (34.9)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24057 (36.0)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18589 (33.6)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27285 (34.6)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13754 (34.6)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13531 (34.7)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26782 (34.77)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13321 (34.6)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13461 (35.0)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60-69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41467 (34.0)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23368 (35.0)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18099 (32.7)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26694 (33.9)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13506 (33.9)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13188 (33.8)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26145 (33.94)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13009 (33.8)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13136 (34.1)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70-79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23619 (19.3)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12078 (18.1)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11541 (20.9)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15659 (19.9)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7939 (20.0)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7720 (19.8)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15253 (19.80)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7705 (20.0)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7548 (19.6)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≥80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5764 (4.7)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2754 (4.1)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3010 (5.4)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3853 (4.9)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1938 (4.9)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1915 (4.9)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3747 (4.86)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1894 (4.9)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1853 (4.8)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Calendar period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0.2304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-0.0099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-0.0181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2004-2006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91302 (74.8)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47174 (70.6)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44128 (79.8)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59708 (75.8)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30230 (76.0)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29478 (75.7)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58140 (75.48)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29251 (76.0)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28889 (75.0)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2007-2009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21634 (17.7)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13245 (19.8)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8389 (15.2)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13958 (17.7)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7023 (17.7)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6935 (17.8)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13805 (17.92)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6775 (17.6)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7030 (18.3)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2010-2012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7179 (5.9)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4850 (7.3)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2329 (4.2)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4215 (5.4)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2107 (5.3)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2108 (5.4)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4157 (5.40)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2011 (5.2)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2146 (5.6)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2013-2015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2003 (1.6)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1528 (2.3)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475 (0.9)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885 (1.1)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439 (1.1)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446 (1.1)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922 (1.20)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475 (1.2)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447 (1.2)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Medication start to 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(months)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 b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0.1826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-0.0012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-0.0253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83.9 (46.6, 116.8)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87.5 (52.6, 119.4)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78.6 (39.2, 113.3)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86.4 (49.9, 118.4)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85.7 (50.7, 118.3)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87.11 (49.1, 118.5)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86.97 (50.9, 118.8)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85.7 (50.8, 118.4)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88.3 (51.1, 119.2)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Income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0.0011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0.0018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0.0024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0"/>
              </w:rPr>
              <w:t>1-3 (low)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32457 (27.1)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17706 (27.1)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14751 (27.2)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21370 (27.1)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10790 (27.1)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10580 (27.2)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20857 (27.1)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10422 (27.1)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10435 (27.1)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0"/>
              </w:rPr>
              <w:t>4-7 (mid)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37309 (31.2)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20369 (31.2)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16940 (31.2)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24418 (31.0)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12330 (31.0)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12088 (31.0)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23852 (31.0)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11902 (30.9)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11950 (31.0)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eastAsia="굴림" w:hAnsi="Times New Roman" w:cs="Times New Roman"/>
                <w:color w:val="000000" w:themeColor="text1"/>
                <w:kern w:val="0"/>
                <w:sz w:val="22"/>
                <w:szCs w:val="20"/>
              </w:rPr>
              <w:t>8-10 (high)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49864 (41.7)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27236 (41.7)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22628 (41.7)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32978 (41.9)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16679 (41.9)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16299 (41.8)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32315 (41.9)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16188 (42.0)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16127 (41.9)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30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BMI (kg/m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0.0198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0.0012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0.0016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24.08 (3.2)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24.11 (3.2)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 (3.2)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24.10 (2.6)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 (2.5)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24.10 (2.7)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 (3.2)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 (3.2)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24.1 (3.2)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23.9 (21.9, 26.0)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24.0 (22.0, 26.1)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23.9 (21.9, 26.0)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24.0 (22.0, 26.0)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24.0 (22.0, 26.0)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24.0 (22,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(22, 26)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(22, 26)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 (22, 26)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Smoking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0.1851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-0.0012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-0.0086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Never 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74786 (61.4)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37923 (56.9)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36863 (66.8)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49339 (62.6)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24929 (62.6)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24410 (62.6)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48025 (62.4)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24103 (62.6)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23922 (62.1)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Former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22201 (18.2)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13665 (20.5)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8536 (15.5)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14131 (17.9)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7158 (18.0)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6973 (17.9)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13929 (18.1)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6915 (18.0)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7014 (18.2)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Current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24822 (20.4)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15058 (22.6)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9764 (17.7)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15297 (19.4)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7713 (19.4)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7584 (19.5)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15070 (19.6)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7494 (19.5)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7576 (19.7)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Alcohol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0.1333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-0.0026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-0.0106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None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80879 (66.4)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42323 (63.5)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38556 (69.9)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52593 (66.8)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26584 (66.8)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26009 (66.8)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51229 (66.5)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25698 (66.7)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25531 (66.3)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1-2 times/week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23097 (19.0)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13550 (20.3)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9547 (17.3)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14921 (18.9)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7550 (19.0)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7371 (18.9)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14724 (19.1)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7344 (19.1)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7380 (19.2)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≥3 times/week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17843 (14.7)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10781 (16.2)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7062 (12.8)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11252 (14.3)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5665 (14.2)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5587 (14.3)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11071 (14.4)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5470 (14.2)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5601 (14.5)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GERD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0.2774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-0.0044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-0.0214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ind w:leftChars="-37" w:left="-7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45457 (37.2)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28870 (43.2)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16587 (30.0)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28383 (36.0)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14301 (35.9)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14082 (36.1)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28096 (36.5)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13850 (36.0)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14246 (37.0)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ind w:leftChars="-37" w:left="-74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76661 (62.8)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37927 (56.8)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38734 (70.0)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50383 (64.0)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25498 (64.1)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24885 (63.9)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48928 (63.5)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24662 (64.0)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24266 (63.0)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Ulcer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0.091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-0.001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-0.0025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67927 (55.6)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38522 (57.7)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29405 (53.2)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42874 (54.4)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21654 (54.4)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21220 (54.5)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42070 (54.6)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21011 (54.6)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21059 (54.7)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54191 (44.4)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28275 (42.3)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25916 (46.9)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35892 (45.6)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18145 (45.6)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17747 (45.5)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34954 (45.4)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17501 (45.4)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17453 (45.3)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Charlson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Comorbidity Index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0.1186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-0.0005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-0.0033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2.42 (1.9)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2.53 (2.0)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2.3 (1.9)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 (1.6)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 (1.5)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2.38 (1.6)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 (1.9)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 (1.9)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2.4 (1.9)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treatment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0.361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0.0025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0.0078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Yes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28095 (23.0)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19843 (29.7)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8252 (14.9)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15637 (19.9)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7922 (19.9)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7715 (19.8)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15717 (20.4)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7919 (20.6)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7798 (20.2)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94023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(77.0)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46954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(70.3)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47069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(85.1)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63129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(80.15)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31877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(80.1)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31252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(80.2)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61307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(79.6)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30593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(79.4)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 xml:space="preserve">30714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(79.8)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lastRenderedPageBreak/>
              <w:t>No. of EGD tested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0.6376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0.0238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0.0373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Mean (SD)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3.2 (2.7)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4.0 (2.9)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2.34 (2.10)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2.8 (1.7)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2.8 (1.6)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2.8 (1.9)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2.9 (2.21)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2.9 (2.2)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2.9 (2.2)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Median (IQR)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(1, 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 (2, 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 (1, 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Aspirin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0.0124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0.0005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0.0011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User 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22751 (18.6)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12590 (18.9)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10161 (18.4)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14925 (19.0)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7545 (19.0)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7380 (18.9)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14610 (19.0)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7313 (19.0)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7297 (18.95)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Non-user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99367 (81.4)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54207 (81.2)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45160 (81.6)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63841 (81.0)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32254 (81.0)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31587 (81.1)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62414 (81.0)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31199 (81.0)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31215 (81.05)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Metformin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0.0447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-0.0012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-0.0082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User 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15122 (12.4)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8716 (13.1)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6406 (11.6)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9737 (12.4)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4912 (12.3)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4825 (12.4)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9570 (12.4)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4733 (12.3)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4837 (12.56)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Non-user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106996 (87.6)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58081 (86.9)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48915 (88.4)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69029 (87.6)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34887 (87.7)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34142 (87.6)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67454 (87.6)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33779 (87.7)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33675 (87.44)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Statin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0.1356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0.0009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-0.0107</w:t>
            </w: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User 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29670 (24.3)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17978 (26.9)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11692 (21.1)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19253 (24.4)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9736 (24.5)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9517 (24.4)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19068 (24.8)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9445 (24.5)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9623 (24.99)</w:t>
            </w:r>
          </w:p>
        </w:tc>
        <w:tc>
          <w:tcPr>
            <w:tcW w:w="0" w:type="auto"/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657" w:type="dxa"/>
            <w:tcBorders>
              <w:bottom w:val="single" w:sz="4" w:space="0" w:color="auto"/>
              <w:right w:val="nil"/>
            </w:tcBorders>
            <w:noWrap/>
          </w:tcPr>
          <w:p w:rsidR="00A34638" w:rsidRPr="0008750A" w:rsidRDefault="00A34638" w:rsidP="00736F7D">
            <w:pPr>
              <w:tabs>
                <w:tab w:val="left" w:pos="2520"/>
              </w:tabs>
              <w:ind w:firstLineChars="100" w:firstLine="220"/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Non-user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92448 (75.7)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48819 (73.1)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43629 (78.9)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59513 (75.6)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30063 (75.5)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29450 (75.6)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57956 (75.2)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29067 (75.5)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28889 (75.01)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  <w:tr w:rsidR="00A34638" w:rsidRPr="0008750A" w:rsidTr="00736F7D">
        <w:trPr>
          <w:trHeight w:val="270"/>
        </w:trPr>
        <w:tc>
          <w:tcPr>
            <w:tcW w:w="0" w:type="auto"/>
            <w:gridSpan w:val="14"/>
            <w:tcBorders>
              <w:left w:val="nil"/>
              <w:bottom w:val="nil"/>
              <w:right w:val="nil"/>
            </w:tcBorders>
            <w:noWrap/>
            <w:hideMark/>
          </w:tcPr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BMI, body mass index;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cumulative defined daily dose; EGD, esophagogastroduodenoscopy; GERD, gastroesophageal reflux disease; </w:t>
            </w: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H.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, </w:t>
            </w:r>
            <w:r w:rsidRPr="0008750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Helicobacter pylori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; IQR, interquartile range; SMD, standardized mean difference; SD, standard deviation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a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PPI long-term use was defined as only PPI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-days, and combined use,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&lt; 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-days or PPI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-days and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-days.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long-term use was defined as only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 use,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RA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 ≥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-days, and combined use of H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bscript"/>
              </w:rPr>
              <w:t>2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RA </w:t>
            </w:r>
            <w:r w:rsidRPr="0008750A">
              <w:rPr>
                <w:rFonts w:ascii="Times New Roman" w:eastAsia="맑은 고딕" w:hAnsi="Times New Roman" w:cs="Times New Roman"/>
                <w:color w:val="000000" w:themeColor="text1"/>
                <w:sz w:val="22"/>
              </w:rPr>
              <w:t xml:space="preserve">≥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-days and PPI &lt; 180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cDDD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-days.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08750A">
              <w:rPr>
                <w:rFonts w:ascii="Times New Roman" w:hAnsi="Times New Roman" w:cs="Times New Roman"/>
                <w:color w:val="000000" w:themeColor="text1"/>
                <w:sz w:val="22"/>
                <w:vertAlign w:val="superscript"/>
              </w:rPr>
              <w:t xml:space="preserve">b </w:t>
            </w:r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Baseline characteristics of the patients are presented in </w:t>
            </w:r>
            <w:proofErr w:type="spellStart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>eTable</w:t>
            </w:r>
            <w:proofErr w:type="spellEnd"/>
            <w:r w:rsidRPr="0008750A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1. </w:t>
            </w:r>
          </w:p>
          <w:p w:rsidR="00A34638" w:rsidRPr="0008750A" w:rsidRDefault="00A34638" w:rsidP="00736F7D">
            <w:pPr>
              <w:tabs>
                <w:tab w:val="left" w:pos="2520"/>
              </w:tabs>
              <w:jc w:val="left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</w:p>
        </w:tc>
      </w:tr>
    </w:tbl>
    <w:p w:rsidR="00791E7E" w:rsidRPr="00A34638" w:rsidRDefault="00791E7E">
      <w:bookmarkStart w:id="0" w:name="_GoBack"/>
      <w:bookmarkEnd w:id="0"/>
    </w:p>
    <w:sectPr w:rsidR="00791E7E" w:rsidRPr="00A34638" w:rsidSect="00AC62BA">
      <w:pgSz w:w="16838" w:h="11906" w:orient="landscape"/>
      <w:pgMar w:top="1440" w:right="1701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BA"/>
    <w:rsid w:val="0067098B"/>
    <w:rsid w:val="00791E7E"/>
    <w:rsid w:val="00A34638"/>
    <w:rsid w:val="00AC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35EC3"/>
  <w15:chartTrackingRefBased/>
  <w15:docId w15:val="{0F0A2282-E2F2-4E06-91D4-24F1DFD5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63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6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Jae Myung</dc:creator>
  <cp:keywords/>
  <dc:description/>
  <cp:lastModifiedBy>Park Jae Myung</cp:lastModifiedBy>
  <cp:revision>2</cp:revision>
  <dcterms:created xsi:type="dcterms:W3CDTF">2020-11-05T21:09:00Z</dcterms:created>
  <dcterms:modified xsi:type="dcterms:W3CDTF">2020-11-05T21:09:00Z</dcterms:modified>
</cp:coreProperties>
</file>