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7584" w14:textId="57536E15" w:rsidR="00042B1E" w:rsidRPr="00FB6271" w:rsidRDefault="00042B1E" w:rsidP="00042B1E">
      <w:pPr>
        <w:widowControl/>
        <w:jc w:val="left"/>
        <w:rPr>
          <w:rFonts w:ascii="Times New Roman" w:hAnsi="Times New Roman" w:cs="Times New Roman"/>
          <w:sz w:val="20"/>
          <w:szCs w:val="20"/>
        </w:rPr>
      </w:pPr>
    </w:p>
    <w:tbl>
      <w:tblPr>
        <w:tblStyle w:val="21"/>
        <w:tblpPr w:leftFromText="180" w:rightFromText="180" w:vertAnchor="page" w:horzAnchor="margin" w:tblpY="2514"/>
        <w:tblW w:w="8354" w:type="dxa"/>
        <w:tblLook w:val="0620" w:firstRow="1" w:lastRow="0" w:firstColumn="0" w:lastColumn="0" w:noHBand="1" w:noVBand="1"/>
      </w:tblPr>
      <w:tblGrid>
        <w:gridCol w:w="2658"/>
        <w:gridCol w:w="1963"/>
        <w:gridCol w:w="2479"/>
        <w:gridCol w:w="1254"/>
      </w:tblGrid>
      <w:tr w:rsidR="00042B1E" w:rsidRPr="00FB6271" w14:paraId="1D86E733" w14:textId="77777777" w:rsidTr="00042B1E">
        <w:trPr>
          <w:cnfStyle w:val="100000000000" w:firstRow="1" w:lastRow="0" w:firstColumn="0" w:lastColumn="0" w:oddVBand="0" w:evenVBand="0" w:oddHBand="0" w:evenHBand="0" w:firstRowFirstColumn="0" w:firstRowLastColumn="0" w:lastRowFirstColumn="0" w:lastRowLastColumn="0"/>
          <w:trHeight w:val="378"/>
        </w:trPr>
        <w:tc>
          <w:tcPr>
            <w:tcW w:w="2658" w:type="dxa"/>
          </w:tcPr>
          <w:p w14:paraId="12632C50" w14:textId="77777777" w:rsidR="00042B1E" w:rsidRPr="00FB6271" w:rsidRDefault="00042B1E" w:rsidP="00042B1E">
            <w:pPr>
              <w:jc w:val="center"/>
              <w:rPr>
                <w:rFonts w:ascii="Times New Roman" w:hAnsi="Times New Roman" w:cs="Times New Roman"/>
                <w:b w:val="0"/>
                <w:bCs w:val="0"/>
                <w:sz w:val="16"/>
                <w:szCs w:val="16"/>
              </w:rPr>
            </w:pPr>
          </w:p>
        </w:tc>
        <w:tc>
          <w:tcPr>
            <w:tcW w:w="1963" w:type="dxa"/>
            <w:hideMark/>
          </w:tcPr>
          <w:p w14:paraId="01A7A726"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No-sedation (n=153131)</w:t>
            </w:r>
          </w:p>
        </w:tc>
        <w:tc>
          <w:tcPr>
            <w:tcW w:w="2479" w:type="dxa"/>
            <w:hideMark/>
          </w:tcPr>
          <w:p w14:paraId="17C4051E"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Sedation (n=153131)</w:t>
            </w:r>
          </w:p>
        </w:tc>
        <w:tc>
          <w:tcPr>
            <w:tcW w:w="1254" w:type="dxa"/>
            <w:hideMark/>
          </w:tcPr>
          <w:p w14:paraId="56051F19" w14:textId="77777777" w:rsidR="00042B1E" w:rsidRPr="00FB6271" w:rsidRDefault="00042B1E" w:rsidP="00042B1E">
            <w:pPr>
              <w:jc w:val="center"/>
              <w:rPr>
                <w:rFonts w:ascii="Times New Roman" w:hAnsi="Times New Roman" w:cs="Times New Roman"/>
                <w:sz w:val="16"/>
                <w:szCs w:val="16"/>
              </w:rPr>
            </w:pPr>
            <w:proofErr w:type="spellStart"/>
            <w:r w:rsidRPr="00FB6271">
              <w:rPr>
                <w:rFonts w:ascii="Times New Roman" w:hAnsi="Times New Roman" w:cs="Times New Roman"/>
                <w:sz w:val="16"/>
                <w:szCs w:val="16"/>
              </w:rPr>
              <w:t>SD</w:t>
            </w:r>
            <w:r w:rsidRPr="00FB6271">
              <w:rPr>
                <w:rFonts w:ascii="Times New Roman" w:hAnsi="Times New Roman" w:cs="Times New Roman"/>
                <w:sz w:val="16"/>
                <w:szCs w:val="16"/>
                <w:vertAlign w:val="superscript"/>
              </w:rPr>
              <w:t>f</w:t>
            </w:r>
            <w:proofErr w:type="spellEnd"/>
          </w:p>
        </w:tc>
      </w:tr>
      <w:tr w:rsidR="00042B1E" w:rsidRPr="00FB6271" w14:paraId="2FECC83A" w14:textId="77777777" w:rsidTr="00042B1E">
        <w:trPr>
          <w:trHeight w:val="187"/>
        </w:trPr>
        <w:tc>
          <w:tcPr>
            <w:tcW w:w="2658" w:type="dxa"/>
          </w:tcPr>
          <w:p w14:paraId="5B605AE7"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Age, years (mean</w:t>
            </w:r>
            <w:r w:rsidRPr="00FB6271">
              <w:rPr>
                <w:rFonts w:ascii="Times New Roman" w:hAnsi="Times New Roman" w:cs="Times New Roman" w:hint="eastAsia"/>
                <w:b/>
                <w:bCs/>
                <w:sz w:val="16"/>
                <w:szCs w:val="16"/>
              </w:rPr>
              <w:t>±</w:t>
            </w:r>
            <w:r w:rsidRPr="00FB6271">
              <w:rPr>
                <w:rFonts w:ascii="Times New Roman" w:hAnsi="Times New Roman" w:cs="Times New Roman"/>
                <w:b/>
                <w:bCs/>
                <w:sz w:val="16"/>
                <w:szCs w:val="16"/>
              </w:rPr>
              <w:t>SD)</w:t>
            </w:r>
          </w:p>
        </w:tc>
        <w:tc>
          <w:tcPr>
            <w:tcW w:w="1963" w:type="dxa"/>
            <w:hideMark/>
          </w:tcPr>
          <w:p w14:paraId="1A8C45C8"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54.37±12.58</w:t>
            </w:r>
          </w:p>
        </w:tc>
        <w:tc>
          <w:tcPr>
            <w:tcW w:w="2479" w:type="dxa"/>
            <w:hideMark/>
          </w:tcPr>
          <w:p w14:paraId="125DD8C9"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54.37±12.70</w:t>
            </w:r>
          </w:p>
        </w:tc>
        <w:tc>
          <w:tcPr>
            <w:tcW w:w="1254" w:type="dxa"/>
            <w:hideMark/>
          </w:tcPr>
          <w:p w14:paraId="3552434E"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tc>
      </w:tr>
      <w:tr w:rsidR="00042B1E" w:rsidRPr="00FB6271" w14:paraId="7D966FD1" w14:textId="77777777" w:rsidTr="00042B1E">
        <w:trPr>
          <w:trHeight w:val="367"/>
        </w:trPr>
        <w:tc>
          <w:tcPr>
            <w:tcW w:w="2658" w:type="dxa"/>
          </w:tcPr>
          <w:p w14:paraId="29CA1816"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Sex, male, n (%)</w:t>
            </w:r>
          </w:p>
        </w:tc>
        <w:tc>
          <w:tcPr>
            <w:tcW w:w="1963" w:type="dxa"/>
            <w:hideMark/>
          </w:tcPr>
          <w:p w14:paraId="490AD49D"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79569 (51.96)</w:t>
            </w:r>
          </w:p>
        </w:tc>
        <w:tc>
          <w:tcPr>
            <w:tcW w:w="2479" w:type="dxa"/>
            <w:hideMark/>
          </w:tcPr>
          <w:p w14:paraId="3F8B75F5"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79241 (51.75)</w:t>
            </w:r>
          </w:p>
        </w:tc>
        <w:tc>
          <w:tcPr>
            <w:tcW w:w="1254" w:type="dxa"/>
            <w:hideMark/>
          </w:tcPr>
          <w:p w14:paraId="6439198F"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tc>
      </w:tr>
      <w:tr w:rsidR="00042B1E" w:rsidRPr="00FB6271" w14:paraId="6671BF13" w14:textId="77777777" w:rsidTr="00042B1E">
        <w:trPr>
          <w:trHeight w:val="187"/>
        </w:trPr>
        <w:tc>
          <w:tcPr>
            <w:tcW w:w="2658" w:type="dxa"/>
          </w:tcPr>
          <w:p w14:paraId="0F4CA236"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BMI&lt;18.5, n (%)</w:t>
            </w:r>
          </w:p>
        </w:tc>
        <w:tc>
          <w:tcPr>
            <w:tcW w:w="1963" w:type="dxa"/>
            <w:hideMark/>
          </w:tcPr>
          <w:p w14:paraId="09F799B5"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10208 (6.67)</w:t>
            </w:r>
          </w:p>
        </w:tc>
        <w:tc>
          <w:tcPr>
            <w:tcW w:w="2479" w:type="dxa"/>
            <w:hideMark/>
          </w:tcPr>
          <w:p w14:paraId="7AD06F0B"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10259 (6.70)</w:t>
            </w:r>
          </w:p>
        </w:tc>
        <w:tc>
          <w:tcPr>
            <w:tcW w:w="1254" w:type="dxa"/>
            <w:vMerge w:val="restart"/>
            <w:hideMark/>
          </w:tcPr>
          <w:p w14:paraId="29410557"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p w14:paraId="3E769653" w14:textId="77777777" w:rsidR="00042B1E" w:rsidRPr="00FB6271" w:rsidRDefault="00042B1E" w:rsidP="00042B1E">
            <w:pPr>
              <w:jc w:val="center"/>
              <w:rPr>
                <w:rFonts w:ascii="Times New Roman" w:hAnsi="Times New Roman" w:cs="Times New Roman"/>
                <w:sz w:val="16"/>
                <w:szCs w:val="16"/>
              </w:rPr>
            </w:pPr>
          </w:p>
        </w:tc>
      </w:tr>
      <w:tr w:rsidR="00042B1E" w:rsidRPr="00FB6271" w14:paraId="08AB894A" w14:textId="77777777" w:rsidTr="00042B1E">
        <w:trPr>
          <w:trHeight w:val="367"/>
        </w:trPr>
        <w:tc>
          <w:tcPr>
            <w:tcW w:w="2658" w:type="dxa"/>
          </w:tcPr>
          <w:p w14:paraId="34BC1C56"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18.5≤BMI&lt;25, n (%)</w:t>
            </w:r>
          </w:p>
        </w:tc>
        <w:tc>
          <w:tcPr>
            <w:tcW w:w="1963" w:type="dxa"/>
            <w:hideMark/>
          </w:tcPr>
          <w:p w14:paraId="2F97E051"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90142 (58.87)</w:t>
            </w:r>
          </w:p>
        </w:tc>
        <w:tc>
          <w:tcPr>
            <w:tcW w:w="2479" w:type="dxa"/>
            <w:hideMark/>
          </w:tcPr>
          <w:p w14:paraId="70854B6E"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90041 (58.80)</w:t>
            </w:r>
          </w:p>
        </w:tc>
        <w:tc>
          <w:tcPr>
            <w:tcW w:w="1254" w:type="dxa"/>
            <w:vMerge/>
            <w:hideMark/>
          </w:tcPr>
          <w:p w14:paraId="44ABAA28" w14:textId="77777777" w:rsidR="00042B1E" w:rsidRPr="00FB6271" w:rsidRDefault="00042B1E" w:rsidP="00042B1E">
            <w:pPr>
              <w:jc w:val="center"/>
              <w:rPr>
                <w:rFonts w:ascii="Times New Roman" w:hAnsi="Times New Roman" w:cs="Times New Roman"/>
                <w:sz w:val="16"/>
                <w:szCs w:val="16"/>
              </w:rPr>
            </w:pPr>
          </w:p>
        </w:tc>
      </w:tr>
      <w:tr w:rsidR="00042B1E" w:rsidRPr="00FB6271" w14:paraId="7A160C48" w14:textId="77777777" w:rsidTr="00042B1E">
        <w:trPr>
          <w:trHeight w:val="367"/>
        </w:trPr>
        <w:tc>
          <w:tcPr>
            <w:tcW w:w="2658" w:type="dxa"/>
          </w:tcPr>
          <w:p w14:paraId="37BE9DAC"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25≤BMI, n (%)</w:t>
            </w:r>
          </w:p>
        </w:tc>
        <w:tc>
          <w:tcPr>
            <w:tcW w:w="1963" w:type="dxa"/>
            <w:hideMark/>
          </w:tcPr>
          <w:p w14:paraId="26B39565"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52781 (34.47)</w:t>
            </w:r>
          </w:p>
        </w:tc>
        <w:tc>
          <w:tcPr>
            <w:tcW w:w="2479" w:type="dxa"/>
            <w:hideMark/>
          </w:tcPr>
          <w:p w14:paraId="52770939"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52831 (34.50)</w:t>
            </w:r>
          </w:p>
        </w:tc>
        <w:tc>
          <w:tcPr>
            <w:tcW w:w="1254" w:type="dxa"/>
            <w:vMerge/>
            <w:hideMark/>
          </w:tcPr>
          <w:p w14:paraId="3BA9BF20" w14:textId="77777777" w:rsidR="00042B1E" w:rsidRPr="00FB6271" w:rsidRDefault="00042B1E" w:rsidP="00042B1E">
            <w:pPr>
              <w:jc w:val="center"/>
              <w:rPr>
                <w:rFonts w:ascii="Times New Roman" w:hAnsi="Times New Roman" w:cs="Times New Roman"/>
                <w:sz w:val="16"/>
                <w:szCs w:val="16"/>
              </w:rPr>
            </w:pPr>
          </w:p>
        </w:tc>
      </w:tr>
      <w:tr w:rsidR="00042B1E" w:rsidRPr="00FB6271" w14:paraId="7986D39A" w14:textId="77777777" w:rsidTr="00042B1E">
        <w:trPr>
          <w:trHeight w:val="367"/>
        </w:trPr>
        <w:tc>
          <w:tcPr>
            <w:tcW w:w="2658" w:type="dxa"/>
          </w:tcPr>
          <w:p w14:paraId="3AE2284F"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 xml:space="preserve">Drink </w:t>
            </w:r>
            <w:proofErr w:type="spellStart"/>
            <w:r w:rsidRPr="00FB6271">
              <w:rPr>
                <w:rFonts w:ascii="Times New Roman" w:hAnsi="Times New Roman" w:cs="Times New Roman"/>
                <w:b/>
                <w:bCs/>
                <w:sz w:val="16"/>
                <w:szCs w:val="16"/>
              </w:rPr>
              <w:t>History</w:t>
            </w:r>
            <w:r w:rsidRPr="00FB6271">
              <w:rPr>
                <w:rFonts w:ascii="Times New Roman" w:hAnsi="Times New Roman" w:cs="Times New Roman"/>
                <w:b/>
                <w:bCs/>
                <w:sz w:val="16"/>
                <w:szCs w:val="16"/>
                <w:vertAlign w:val="superscript"/>
              </w:rPr>
              <w:t>a</w:t>
            </w:r>
            <w:proofErr w:type="spellEnd"/>
            <w:r w:rsidRPr="00FB6271">
              <w:rPr>
                <w:rFonts w:ascii="Times New Roman" w:hAnsi="Times New Roman" w:cs="Times New Roman"/>
                <w:b/>
                <w:bCs/>
                <w:sz w:val="16"/>
                <w:szCs w:val="16"/>
              </w:rPr>
              <w:t>, n (%)</w:t>
            </w:r>
          </w:p>
        </w:tc>
        <w:tc>
          <w:tcPr>
            <w:tcW w:w="1963" w:type="dxa"/>
            <w:hideMark/>
          </w:tcPr>
          <w:p w14:paraId="113125CF"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44713 (29.20)</w:t>
            </w:r>
          </w:p>
        </w:tc>
        <w:tc>
          <w:tcPr>
            <w:tcW w:w="2479" w:type="dxa"/>
            <w:hideMark/>
          </w:tcPr>
          <w:p w14:paraId="25843823"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44715 (29.20)</w:t>
            </w:r>
          </w:p>
        </w:tc>
        <w:tc>
          <w:tcPr>
            <w:tcW w:w="1254" w:type="dxa"/>
            <w:hideMark/>
          </w:tcPr>
          <w:p w14:paraId="5C6A6A8F"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tc>
      </w:tr>
      <w:tr w:rsidR="00042B1E" w:rsidRPr="00FB6271" w14:paraId="5C41AA08" w14:textId="77777777" w:rsidTr="00042B1E">
        <w:trPr>
          <w:trHeight w:val="367"/>
        </w:trPr>
        <w:tc>
          <w:tcPr>
            <w:tcW w:w="2658" w:type="dxa"/>
          </w:tcPr>
          <w:p w14:paraId="4470AB1D"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 xml:space="preserve">Smoke </w:t>
            </w:r>
            <w:proofErr w:type="spellStart"/>
            <w:r w:rsidRPr="00FB6271">
              <w:rPr>
                <w:rFonts w:ascii="Times New Roman" w:hAnsi="Times New Roman" w:cs="Times New Roman"/>
                <w:b/>
                <w:bCs/>
                <w:sz w:val="16"/>
                <w:szCs w:val="16"/>
              </w:rPr>
              <w:t>History</w:t>
            </w:r>
            <w:r w:rsidRPr="00FB6271">
              <w:rPr>
                <w:rFonts w:ascii="Times New Roman" w:hAnsi="Times New Roman" w:cs="Times New Roman"/>
                <w:b/>
                <w:bCs/>
                <w:sz w:val="16"/>
                <w:szCs w:val="16"/>
                <w:vertAlign w:val="superscript"/>
              </w:rPr>
              <w:t>b</w:t>
            </w:r>
            <w:proofErr w:type="spellEnd"/>
            <w:r w:rsidRPr="00FB6271">
              <w:rPr>
                <w:rFonts w:ascii="Times New Roman" w:hAnsi="Times New Roman" w:cs="Times New Roman"/>
                <w:b/>
                <w:bCs/>
                <w:sz w:val="16"/>
                <w:szCs w:val="16"/>
              </w:rPr>
              <w:t>, n (%)</w:t>
            </w:r>
          </w:p>
        </w:tc>
        <w:tc>
          <w:tcPr>
            <w:tcW w:w="1963" w:type="dxa"/>
            <w:hideMark/>
          </w:tcPr>
          <w:p w14:paraId="31614E3A"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35268 (23.03)</w:t>
            </w:r>
          </w:p>
        </w:tc>
        <w:tc>
          <w:tcPr>
            <w:tcW w:w="2479" w:type="dxa"/>
            <w:hideMark/>
          </w:tcPr>
          <w:p w14:paraId="7D02E6FA"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35527 (23.20)</w:t>
            </w:r>
          </w:p>
        </w:tc>
        <w:tc>
          <w:tcPr>
            <w:tcW w:w="1254" w:type="dxa"/>
            <w:hideMark/>
          </w:tcPr>
          <w:p w14:paraId="7363F1D7"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tc>
      </w:tr>
      <w:tr w:rsidR="00042B1E" w:rsidRPr="00FB6271" w14:paraId="53115891" w14:textId="77777777" w:rsidTr="00042B1E">
        <w:trPr>
          <w:trHeight w:val="367"/>
        </w:trPr>
        <w:tc>
          <w:tcPr>
            <w:tcW w:w="2658" w:type="dxa"/>
          </w:tcPr>
          <w:p w14:paraId="5E24E885"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H</w:t>
            </w:r>
            <w:r w:rsidRPr="00FB6271">
              <w:rPr>
                <w:rFonts w:ascii="Times New Roman" w:hAnsi="Times New Roman" w:cs="Times New Roman"/>
                <w:b/>
                <w:bCs/>
                <w:i/>
                <w:iCs/>
                <w:sz w:val="16"/>
                <w:szCs w:val="16"/>
              </w:rPr>
              <w:t>p</w:t>
            </w:r>
            <w:r w:rsidRPr="00FB6271">
              <w:rPr>
                <w:rFonts w:ascii="Times New Roman" w:hAnsi="Times New Roman" w:cs="Times New Roman"/>
                <w:b/>
                <w:bCs/>
                <w:sz w:val="16"/>
                <w:szCs w:val="16"/>
              </w:rPr>
              <w:t xml:space="preserve"> </w:t>
            </w:r>
            <w:proofErr w:type="spellStart"/>
            <w:r w:rsidRPr="00FB6271">
              <w:rPr>
                <w:rFonts w:ascii="Times New Roman" w:hAnsi="Times New Roman" w:cs="Times New Roman"/>
                <w:b/>
                <w:bCs/>
                <w:sz w:val="16"/>
                <w:szCs w:val="16"/>
              </w:rPr>
              <w:t>Infection</w:t>
            </w:r>
            <w:r w:rsidRPr="00FB6271">
              <w:rPr>
                <w:rFonts w:ascii="Times New Roman" w:hAnsi="Times New Roman" w:cs="Times New Roman"/>
                <w:b/>
                <w:bCs/>
                <w:sz w:val="16"/>
                <w:szCs w:val="16"/>
                <w:vertAlign w:val="superscript"/>
              </w:rPr>
              <w:t>c</w:t>
            </w:r>
            <w:proofErr w:type="spellEnd"/>
            <w:r w:rsidRPr="00FB6271">
              <w:rPr>
                <w:rFonts w:ascii="Times New Roman" w:hAnsi="Times New Roman" w:cs="Times New Roman"/>
                <w:b/>
                <w:bCs/>
                <w:sz w:val="16"/>
                <w:szCs w:val="16"/>
              </w:rPr>
              <w:t>, n (%)</w:t>
            </w:r>
          </w:p>
        </w:tc>
        <w:tc>
          <w:tcPr>
            <w:tcW w:w="1963" w:type="dxa"/>
            <w:hideMark/>
          </w:tcPr>
          <w:p w14:paraId="48F91A92"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28151 (18.38)</w:t>
            </w:r>
          </w:p>
        </w:tc>
        <w:tc>
          <w:tcPr>
            <w:tcW w:w="2479" w:type="dxa"/>
            <w:hideMark/>
          </w:tcPr>
          <w:p w14:paraId="177D2E3B"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28023 (18.30)</w:t>
            </w:r>
          </w:p>
        </w:tc>
        <w:tc>
          <w:tcPr>
            <w:tcW w:w="1254" w:type="dxa"/>
            <w:hideMark/>
          </w:tcPr>
          <w:p w14:paraId="38634315"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tc>
      </w:tr>
      <w:tr w:rsidR="00042B1E" w:rsidRPr="00FB6271" w14:paraId="28A8737B" w14:textId="77777777" w:rsidTr="00042B1E">
        <w:trPr>
          <w:trHeight w:val="187"/>
        </w:trPr>
        <w:tc>
          <w:tcPr>
            <w:tcW w:w="2658" w:type="dxa"/>
          </w:tcPr>
          <w:p w14:paraId="5B7F87A5" w14:textId="77777777" w:rsidR="00042B1E" w:rsidRPr="00FB6271" w:rsidRDefault="00042B1E" w:rsidP="00042B1E">
            <w:pPr>
              <w:jc w:val="left"/>
              <w:rPr>
                <w:rFonts w:ascii="Times New Roman" w:hAnsi="Times New Roman" w:cs="Times New Roman"/>
                <w:b/>
                <w:bCs/>
                <w:sz w:val="16"/>
                <w:szCs w:val="16"/>
              </w:rPr>
            </w:pPr>
            <w:proofErr w:type="spellStart"/>
            <w:r w:rsidRPr="00FB6271">
              <w:rPr>
                <w:rFonts w:ascii="Times New Roman" w:hAnsi="Times New Roman" w:cs="Times New Roman"/>
                <w:b/>
                <w:bCs/>
                <w:sz w:val="16"/>
                <w:szCs w:val="16"/>
              </w:rPr>
              <w:t>Poverty</w:t>
            </w:r>
            <w:r w:rsidRPr="00FB6271">
              <w:rPr>
                <w:rFonts w:ascii="Times New Roman" w:hAnsi="Times New Roman" w:cs="Times New Roman"/>
                <w:b/>
                <w:bCs/>
                <w:sz w:val="16"/>
                <w:szCs w:val="16"/>
                <w:vertAlign w:val="superscript"/>
              </w:rPr>
              <w:t>d</w:t>
            </w:r>
            <w:proofErr w:type="spellEnd"/>
            <w:r w:rsidRPr="00FB6271">
              <w:rPr>
                <w:rFonts w:ascii="Times New Roman" w:hAnsi="Times New Roman" w:cs="Times New Roman"/>
                <w:b/>
                <w:bCs/>
                <w:sz w:val="16"/>
                <w:szCs w:val="16"/>
              </w:rPr>
              <w:t>, n (%)</w:t>
            </w:r>
          </w:p>
        </w:tc>
        <w:tc>
          <w:tcPr>
            <w:tcW w:w="1963" w:type="dxa"/>
            <w:hideMark/>
          </w:tcPr>
          <w:p w14:paraId="46839E08"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9398 (6.14)</w:t>
            </w:r>
          </w:p>
        </w:tc>
        <w:tc>
          <w:tcPr>
            <w:tcW w:w="2479" w:type="dxa"/>
            <w:hideMark/>
          </w:tcPr>
          <w:p w14:paraId="4252719F"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9340 (6.10)</w:t>
            </w:r>
          </w:p>
        </w:tc>
        <w:tc>
          <w:tcPr>
            <w:tcW w:w="1254" w:type="dxa"/>
            <w:hideMark/>
          </w:tcPr>
          <w:p w14:paraId="6FDDBCFF"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tc>
      </w:tr>
      <w:tr w:rsidR="00042B1E" w:rsidRPr="00FB6271" w14:paraId="59F314F7" w14:textId="77777777" w:rsidTr="00042B1E">
        <w:trPr>
          <w:trHeight w:val="190"/>
        </w:trPr>
        <w:tc>
          <w:tcPr>
            <w:tcW w:w="2658" w:type="dxa"/>
          </w:tcPr>
          <w:p w14:paraId="6162FE70"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 xml:space="preserve">High-risk </w:t>
            </w:r>
            <w:proofErr w:type="spellStart"/>
            <w:r w:rsidRPr="00FB6271">
              <w:rPr>
                <w:rFonts w:ascii="Times New Roman" w:hAnsi="Times New Roman" w:cs="Times New Roman"/>
                <w:b/>
                <w:bCs/>
                <w:sz w:val="16"/>
                <w:szCs w:val="16"/>
              </w:rPr>
              <w:t>Area</w:t>
            </w:r>
            <w:r w:rsidRPr="00FB6271">
              <w:rPr>
                <w:rFonts w:ascii="Times New Roman" w:hAnsi="Times New Roman" w:cs="Times New Roman"/>
                <w:b/>
                <w:bCs/>
                <w:sz w:val="16"/>
                <w:szCs w:val="16"/>
                <w:vertAlign w:val="superscript"/>
              </w:rPr>
              <w:t>e</w:t>
            </w:r>
            <w:proofErr w:type="spellEnd"/>
            <w:r w:rsidRPr="00FB6271">
              <w:rPr>
                <w:rFonts w:ascii="Times New Roman" w:hAnsi="Times New Roman" w:cs="Times New Roman"/>
                <w:b/>
                <w:bCs/>
                <w:sz w:val="16"/>
                <w:szCs w:val="16"/>
              </w:rPr>
              <w:t>, n (%)</w:t>
            </w:r>
          </w:p>
        </w:tc>
        <w:tc>
          <w:tcPr>
            <w:tcW w:w="1963" w:type="dxa"/>
            <w:hideMark/>
          </w:tcPr>
          <w:p w14:paraId="2DC7F6D7"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7085 (4.63)</w:t>
            </w:r>
          </w:p>
        </w:tc>
        <w:tc>
          <w:tcPr>
            <w:tcW w:w="2479" w:type="dxa"/>
            <w:hideMark/>
          </w:tcPr>
          <w:p w14:paraId="6B555C03"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6891 (4.50)</w:t>
            </w:r>
          </w:p>
        </w:tc>
        <w:tc>
          <w:tcPr>
            <w:tcW w:w="1254" w:type="dxa"/>
            <w:hideMark/>
          </w:tcPr>
          <w:p w14:paraId="44B7CAFD"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tc>
      </w:tr>
      <w:tr w:rsidR="00042B1E" w:rsidRPr="00FB6271" w14:paraId="6DD59565" w14:textId="77777777" w:rsidTr="00042B1E">
        <w:trPr>
          <w:trHeight w:val="190"/>
        </w:trPr>
        <w:tc>
          <w:tcPr>
            <w:tcW w:w="2658" w:type="dxa"/>
          </w:tcPr>
          <w:p w14:paraId="5D782564" w14:textId="77777777" w:rsidR="00042B1E" w:rsidRPr="00FB6271" w:rsidRDefault="00042B1E" w:rsidP="00042B1E">
            <w:pPr>
              <w:jc w:val="left"/>
              <w:rPr>
                <w:rFonts w:ascii="Times New Roman" w:hAnsi="Times New Roman" w:cs="Times New Roman"/>
                <w:b/>
                <w:bCs/>
                <w:sz w:val="16"/>
                <w:szCs w:val="16"/>
              </w:rPr>
            </w:pPr>
            <w:proofErr w:type="spellStart"/>
            <w:r w:rsidRPr="00FB6271">
              <w:rPr>
                <w:rFonts w:ascii="Times New Roman" w:hAnsi="Times New Roman" w:cs="Times New Roman"/>
                <w:b/>
                <w:bCs/>
                <w:sz w:val="16"/>
                <w:szCs w:val="16"/>
              </w:rPr>
              <w:t>Volume</w:t>
            </w:r>
            <w:r w:rsidRPr="00FB6271">
              <w:rPr>
                <w:rFonts w:ascii="Times New Roman" w:hAnsi="Times New Roman" w:cs="Times New Roman"/>
                <w:b/>
                <w:bCs/>
                <w:sz w:val="16"/>
                <w:szCs w:val="16"/>
                <w:vertAlign w:val="superscript"/>
              </w:rPr>
              <w:t>g</w:t>
            </w:r>
            <w:proofErr w:type="spellEnd"/>
            <w:r w:rsidRPr="00FB6271">
              <w:rPr>
                <w:rFonts w:ascii="Times New Roman" w:hAnsi="Times New Roman" w:cs="Times New Roman"/>
                <w:b/>
                <w:bCs/>
                <w:sz w:val="16"/>
                <w:szCs w:val="16"/>
              </w:rPr>
              <w:t>&lt;300, n (%)</w:t>
            </w:r>
          </w:p>
        </w:tc>
        <w:tc>
          <w:tcPr>
            <w:tcW w:w="1963" w:type="dxa"/>
          </w:tcPr>
          <w:p w14:paraId="653F491D"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8</w:t>
            </w:r>
            <w:r w:rsidRPr="00FB6271">
              <w:rPr>
                <w:rFonts w:ascii="Times New Roman" w:hAnsi="Times New Roman" w:cs="Times New Roman"/>
                <w:sz w:val="16"/>
                <w:szCs w:val="16"/>
              </w:rPr>
              <w:t>681 (5.67)</w:t>
            </w:r>
          </w:p>
        </w:tc>
        <w:tc>
          <w:tcPr>
            <w:tcW w:w="2479" w:type="dxa"/>
          </w:tcPr>
          <w:p w14:paraId="47E4CAEE"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8</w:t>
            </w:r>
            <w:r w:rsidRPr="00FB6271">
              <w:rPr>
                <w:rFonts w:ascii="Times New Roman" w:hAnsi="Times New Roman" w:cs="Times New Roman"/>
                <w:sz w:val="16"/>
                <w:szCs w:val="16"/>
              </w:rPr>
              <w:t>744 (5.71)</w:t>
            </w:r>
          </w:p>
        </w:tc>
        <w:tc>
          <w:tcPr>
            <w:tcW w:w="1254" w:type="dxa"/>
            <w:vMerge w:val="restart"/>
          </w:tcPr>
          <w:p w14:paraId="2F49EDCB"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p w14:paraId="42345CB6" w14:textId="77777777" w:rsidR="00042B1E" w:rsidRPr="00FB6271" w:rsidRDefault="00042B1E" w:rsidP="00042B1E">
            <w:pPr>
              <w:jc w:val="center"/>
              <w:rPr>
                <w:rFonts w:ascii="Times New Roman" w:hAnsi="Times New Roman" w:cs="Times New Roman"/>
                <w:sz w:val="16"/>
                <w:szCs w:val="16"/>
              </w:rPr>
            </w:pPr>
          </w:p>
        </w:tc>
      </w:tr>
      <w:tr w:rsidR="00042B1E" w:rsidRPr="00FB6271" w14:paraId="56B16108" w14:textId="77777777" w:rsidTr="00042B1E">
        <w:trPr>
          <w:trHeight w:val="190"/>
        </w:trPr>
        <w:tc>
          <w:tcPr>
            <w:tcW w:w="2658" w:type="dxa"/>
          </w:tcPr>
          <w:p w14:paraId="35D13762"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300≤</w:t>
            </w:r>
            <w:r w:rsidRPr="00FB6271">
              <w:rPr>
                <w:rFonts w:ascii="Times New Roman" w:hAnsi="Times New Roman" w:cs="Times New Roman" w:hint="eastAsia"/>
                <w:b/>
                <w:bCs/>
                <w:sz w:val="16"/>
                <w:szCs w:val="16"/>
              </w:rPr>
              <w:t>V</w:t>
            </w:r>
            <w:r w:rsidRPr="00FB6271">
              <w:rPr>
                <w:rFonts w:ascii="Times New Roman" w:hAnsi="Times New Roman" w:cs="Times New Roman"/>
                <w:b/>
                <w:bCs/>
                <w:sz w:val="16"/>
                <w:szCs w:val="16"/>
              </w:rPr>
              <w:t>olume&lt;700, n (%)</w:t>
            </w:r>
          </w:p>
        </w:tc>
        <w:tc>
          <w:tcPr>
            <w:tcW w:w="1963" w:type="dxa"/>
          </w:tcPr>
          <w:p w14:paraId="36466F76"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3</w:t>
            </w:r>
            <w:r w:rsidRPr="00FB6271">
              <w:rPr>
                <w:rFonts w:ascii="Times New Roman" w:hAnsi="Times New Roman" w:cs="Times New Roman"/>
                <w:sz w:val="16"/>
                <w:szCs w:val="16"/>
              </w:rPr>
              <w:t>9687 (25.92)</w:t>
            </w:r>
          </w:p>
        </w:tc>
        <w:tc>
          <w:tcPr>
            <w:tcW w:w="2479" w:type="dxa"/>
          </w:tcPr>
          <w:p w14:paraId="472ED8EF"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3</w:t>
            </w:r>
            <w:r w:rsidRPr="00FB6271">
              <w:rPr>
                <w:rFonts w:ascii="Times New Roman" w:hAnsi="Times New Roman" w:cs="Times New Roman"/>
                <w:sz w:val="16"/>
                <w:szCs w:val="16"/>
              </w:rPr>
              <w:t>9462 (25.77)</w:t>
            </w:r>
          </w:p>
        </w:tc>
        <w:tc>
          <w:tcPr>
            <w:tcW w:w="1254" w:type="dxa"/>
            <w:vMerge/>
          </w:tcPr>
          <w:p w14:paraId="6B452535" w14:textId="77777777" w:rsidR="00042B1E" w:rsidRPr="00FB6271" w:rsidRDefault="00042B1E" w:rsidP="00042B1E">
            <w:pPr>
              <w:jc w:val="center"/>
              <w:rPr>
                <w:rFonts w:ascii="Times New Roman" w:hAnsi="Times New Roman" w:cs="Times New Roman"/>
                <w:sz w:val="16"/>
                <w:szCs w:val="16"/>
              </w:rPr>
            </w:pPr>
          </w:p>
        </w:tc>
      </w:tr>
      <w:tr w:rsidR="00042B1E" w:rsidRPr="00FB6271" w14:paraId="0160C3C2" w14:textId="77777777" w:rsidTr="00042B1E">
        <w:trPr>
          <w:trHeight w:val="190"/>
        </w:trPr>
        <w:tc>
          <w:tcPr>
            <w:tcW w:w="2658" w:type="dxa"/>
          </w:tcPr>
          <w:p w14:paraId="6DE456A1"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700≤</w:t>
            </w:r>
            <w:r w:rsidRPr="00FB6271">
              <w:rPr>
                <w:rFonts w:ascii="Times New Roman" w:hAnsi="Times New Roman" w:cs="Times New Roman" w:hint="eastAsia"/>
                <w:b/>
                <w:bCs/>
                <w:sz w:val="16"/>
                <w:szCs w:val="16"/>
              </w:rPr>
              <w:t>V</w:t>
            </w:r>
            <w:r w:rsidRPr="00FB6271">
              <w:rPr>
                <w:rFonts w:ascii="Times New Roman" w:hAnsi="Times New Roman" w:cs="Times New Roman"/>
                <w:b/>
                <w:bCs/>
                <w:sz w:val="16"/>
                <w:szCs w:val="16"/>
              </w:rPr>
              <w:t>olume, n (%)</w:t>
            </w:r>
          </w:p>
        </w:tc>
        <w:tc>
          <w:tcPr>
            <w:tcW w:w="1963" w:type="dxa"/>
          </w:tcPr>
          <w:p w14:paraId="6BDC5FD0"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1</w:t>
            </w:r>
            <w:r w:rsidRPr="00FB6271">
              <w:rPr>
                <w:rFonts w:ascii="Times New Roman" w:hAnsi="Times New Roman" w:cs="Times New Roman"/>
                <w:sz w:val="16"/>
                <w:szCs w:val="16"/>
              </w:rPr>
              <w:t>04763 (68.41)</w:t>
            </w:r>
          </w:p>
        </w:tc>
        <w:tc>
          <w:tcPr>
            <w:tcW w:w="2479" w:type="dxa"/>
          </w:tcPr>
          <w:p w14:paraId="00549C30"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1</w:t>
            </w:r>
            <w:r w:rsidRPr="00FB6271">
              <w:rPr>
                <w:rFonts w:ascii="Times New Roman" w:hAnsi="Times New Roman" w:cs="Times New Roman"/>
                <w:sz w:val="16"/>
                <w:szCs w:val="16"/>
              </w:rPr>
              <w:t>04925 (68.52)</w:t>
            </w:r>
          </w:p>
        </w:tc>
        <w:tc>
          <w:tcPr>
            <w:tcW w:w="1254" w:type="dxa"/>
            <w:vMerge/>
          </w:tcPr>
          <w:p w14:paraId="48F88706" w14:textId="77777777" w:rsidR="00042B1E" w:rsidRPr="00FB6271" w:rsidRDefault="00042B1E" w:rsidP="00042B1E">
            <w:pPr>
              <w:jc w:val="center"/>
              <w:rPr>
                <w:rFonts w:ascii="Times New Roman" w:hAnsi="Times New Roman" w:cs="Times New Roman"/>
                <w:sz w:val="16"/>
                <w:szCs w:val="16"/>
              </w:rPr>
            </w:pPr>
          </w:p>
        </w:tc>
      </w:tr>
      <w:tr w:rsidR="00042B1E" w:rsidRPr="00FB6271" w14:paraId="0E91A103" w14:textId="77777777" w:rsidTr="00042B1E">
        <w:trPr>
          <w:trHeight w:val="190"/>
        </w:trPr>
        <w:tc>
          <w:tcPr>
            <w:tcW w:w="2658" w:type="dxa"/>
          </w:tcPr>
          <w:p w14:paraId="78428B6A" w14:textId="77777777" w:rsidR="00042B1E" w:rsidRPr="00FB6271" w:rsidRDefault="00042B1E" w:rsidP="00042B1E">
            <w:pPr>
              <w:jc w:val="left"/>
              <w:rPr>
                <w:rFonts w:ascii="Times New Roman" w:hAnsi="Times New Roman" w:cs="Times New Roman"/>
                <w:b/>
                <w:bCs/>
                <w:sz w:val="16"/>
                <w:szCs w:val="16"/>
              </w:rPr>
            </w:pPr>
            <w:proofErr w:type="spellStart"/>
            <w:r w:rsidRPr="00FB6271">
              <w:rPr>
                <w:rFonts w:ascii="Times New Roman" w:hAnsi="Times New Roman" w:cs="Times New Roman" w:hint="eastAsia"/>
                <w:b/>
                <w:bCs/>
                <w:sz w:val="16"/>
                <w:szCs w:val="16"/>
              </w:rPr>
              <w:t>E</w:t>
            </w:r>
            <w:r w:rsidRPr="00FB6271">
              <w:rPr>
                <w:rFonts w:ascii="Times New Roman" w:hAnsi="Times New Roman" w:cs="Times New Roman"/>
                <w:b/>
                <w:bCs/>
                <w:sz w:val="16"/>
                <w:szCs w:val="16"/>
              </w:rPr>
              <w:t>xperience</w:t>
            </w:r>
            <w:r w:rsidRPr="00FB6271">
              <w:rPr>
                <w:rFonts w:ascii="Times New Roman" w:hAnsi="Times New Roman" w:cs="Times New Roman"/>
                <w:b/>
                <w:bCs/>
                <w:sz w:val="16"/>
                <w:szCs w:val="16"/>
                <w:vertAlign w:val="superscript"/>
              </w:rPr>
              <w:t>h</w:t>
            </w:r>
            <w:proofErr w:type="spellEnd"/>
            <w:r w:rsidRPr="00FB6271">
              <w:rPr>
                <w:rFonts w:ascii="Times New Roman" w:hAnsi="Times New Roman" w:cs="Times New Roman"/>
                <w:b/>
                <w:bCs/>
                <w:sz w:val="16"/>
                <w:szCs w:val="16"/>
              </w:rPr>
              <w:t>&lt;5, n (%)</w:t>
            </w:r>
          </w:p>
        </w:tc>
        <w:tc>
          <w:tcPr>
            <w:tcW w:w="1963" w:type="dxa"/>
          </w:tcPr>
          <w:p w14:paraId="2BEB6C94"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4</w:t>
            </w:r>
            <w:r w:rsidRPr="00FB6271">
              <w:rPr>
                <w:rFonts w:ascii="Times New Roman" w:hAnsi="Times New Roman" w:cs="Times New Roman"/>
                <w:sz w:val="16"/>
                <w:szCs w:val="16"/>
              </w:rPr>
              <w:t>6976 (30.68)</w:t>
            </w:r>
          </w:p>
        </w:tc>
        <w:tc>
          <w:tcPr>
            <w:tcW w:w="2479" w:type="dxa"/>
          </w:tcPr>
          <w:p w14:paraId="01B12D94"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4</w:t>
            </w:r>
            <w:r w:rsidRPr="00FB6271">
              <w:rPr>
                <w:rFonts w:ascii="Times New Roman" w:hAnsi="Times New Roman" w:cs="Times New Roman"/>
                <w:sz w:val="16"/>
                <w:szCs w:val="16"/>
              </w:rPr>
              <w:t>6858 (30.60)</w:t>
            </w:r>
          </w:p>
        </w:tc>
        <w:tc>
          <w:tcPr>
            <w:tcW w:w="1254" w:type="dxa"/>
            <w:vMerge w:val="restart"/>
          </w:tcPr>
          <w:p w14:paraId="052E4902"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p w14:paraId="5BB374B8" w14:textId="77777777" w:rsidR="00042B1E" w:rsidRPr="00FB6271" w:rsidRDefault="00042B1E" w:rsidP="00042B1E">
            <w:pPr>
              <w:jc w:val="center"/>
              <w:rPr>
                <w:rFonts w:ascii="Times New Roman" w:hAnsi="Times New Roman" w:cs="Times New Roman"/>
                <w:sz w:val="16"/>
                <w:szCs w:val="16"/>
              </w:rPr>
            </w:pPr>
          </w:p>
        </w:tc>
      </w:tr>
      <w:tr w:rsidR="00042B1E" w:rsidRPr="00FB6271" w14:paraId="61E30B3C" w14:textId="77777777" w:rsidTr="00042B1E">
        <w:trPr>
          <w:trHeight w:val="190"/>
        </w:trPr>
        <w:tc>
          <w:tcPr>
            <w:tcW w:w="2658" w:type="dxa"/>
          </w:tcPr>
          <w:p w14:paraId="03DAA30C"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5≤</w:t>
            </w:r>
            <w:r w:rsidRPr="00FB6271">
              <w:rPr>
                <w:rFonts w:ascii="Times New Roman" w:hAnsi="Times New Roman" w:cs="Times New Roman" w:hint="eastAsia"/>
                <w:b/>
                <w:bCs/>
                <w:sz w:val="16"/>
                <w:szCs w:val="16"/>
              </w:rPr>
              <w:t>E</w:t>
            </w:r>
            <w:r w:rsidRPr="00FB6271">
              <w:rPr>
                <w:rFonts w:ascii="Times New Roman" w:hAnsi="Times New Roman" w:cs="Times New Roman"/>
                <w:b/>
                <w:bCs/>
                <w:sz w:val="16"/>
                <w:szCs w:val="16"/>
              </w:rPr>
              <w:t>xperience&lt;10, n (%)</w:t>
            </w:r>
          </w:p>
        </w:tc>
        <w:tc>
          <w:tcPr>
            <w:tcW w:w="1963" w:type="dxa"/>
          </w:tcPr>
          <w:p w14:paraId="75ADA440"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5</w:t>
            </w:r>
            <w:r w:rsidRPr="00FB6271">
              <w:rPr>
                <w:rFonts w:ascii="Times New Roman" w:hAnsi="Times New Roman" w:cs="Times New Roman"/>
                <w:sz w:val="16"/>
                <w:szCs w:val="16"/>
              </w:rPr>
              <w:t>1655 (33.73)</w:t>
            </w:r>
          </w:p>
        </w:tc>
        <w:tc>
          <w:tcPr>
            <w:tcW w:w="2479" w:type="dxa"/>
          </w:tcPr>
          <w:p w14:paraId="2183217D"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5</w:t>
            </w:r>
            <w:r w:rsidRPr="00FB6271">
              <w:rPr>
                <w:rFonts w:ascii="Times New Roman" w:hAnsi="Times New Roman" w:cs="Times New Roman"/>
                <w:sz w:val="16"/>
                <w:szCs w:val="16"/>
              </w:rPr>
              <w:t>1728 (33.78)</w:t>
            </w:r>
          </w:p>
        </w:tc>
        <w:tc>
          <w:tcPr>
            <w:tcW w:w="1254" w:type="dxa"/>
            <w:vMerge/>
          </w:tcPr>
          <w:p w14:paraId="3EA8842A" w14:textId="77777777" w:rsidR="00042B1E" w:rsidRPr="00FB6271" w:rsidRDefault="00042B1E" w:rsidP="00042B1E">
            <w:pPr>
              <w:jc w:val="center"/>
              <w:rPr>
                <w:rFonts w:ascii="Times New Roman" w:hAnsi="Times New Roman" w:cs="Times New Roman"/>
                <w:sz w:val="16"/>
                <w:szCs w:val="16"/>
              </w:rPr>
            </w:pPr>
          </w:p>
        </w:tc>
      </w:tr>
      <w:tr w:rsidR="00042B1E" w:rsidRPr="00FB6271" w14:paraId="59203375" w14:textId="77777777" w:rsidTr="00042B1E">
        <w:trPr>
          <w:trHeight w:val="190"/>
        </w:trPr>
        <w:tc>
          <w:tcPr>
            <w:tcW w:w="2658" w:type="dxa"/>
          </w:tcPr>
          <w:p w14:paraId="5E32DDAD" w14:textId="77777777"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10≤</w:t>
            </w:r>
            <w:r w:rsidRPr="00FB6271">
              <w:rPr>
                <w:rFonts w:ascii="Times New Roman" w:hAnsi="Times New Roman" w:cs="Times New Roman" w:hint="eastAsia"/>
                <w:b/>
                <w:bCs/>
                <w:sz w:val="16"/>
                <w:szCs w:val="16"/>
              </w:rPr>
              <w:t>E</w:t>
            </w:r>
            <w:r w:rsidRPr="00FB6271">
              <w:rPr>
                <w:rFonts w:ascii="Times New Roman" w:hAnsi="Times New Roman" w:cs="Times New Roman"/>
                <w:b/>
                <w:bCs/>
                <w:sz w:val="16"/>
                <w:szCs w:val="16"/>
              </w:rPr>
              <w:t>xperience, n (%)</w:t>
            </w:r>
          </w:p>
        </w:tc>
        <w:tc>
          <w:tcPr>
            <w:tcW w:w="1963" w:type="dxa"/>
          </w:tcPr>
          <w:p w14:paraId="606F30BA"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5</w:t>
            </w:r>
            <w:r w:rsidRPr="00FB6271">
              <w:rPr>
                <w:rFonts w:ascii="Times New Roman" w:hAnsi="Times New Roman" w:cs="Times New Roman"/>
                <w:sz w:val="16"/>
                <w:szCs w:val="16"/>
              </w:rPr>
              <w:t>4500 (35.59</w:t>
            </w:r>
            <w:r w:rsidRPr="00FB6271">
              <w:rPr>
                <w:rFonts w:ascii="Times New Roman" w:hAnsi="Times New Roman" w:cs="Times New Roman" w:hint="eastAsia"/>
                <w:sz w:val="16"/>
                <w:szCs w:val="16"/>
              </w:rPr>
              <w:t>)</w:t>
            </w:r>
          </w:p>
        </w:tc>
        <w:tc>
          <w:tcPr>
            <w:tcW w:w="2479" w:type="dxa"/>
          </w:tcPr>
          <w:p w14:paraId="24AD4B94"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5</w:t>
            </w:r>
            <w:r w:rsidRPr="00FB6271">
              <w:rPr>
                <w:rFonts w:ascii="Times New Roman" w:hAnsi="Times New Roman" w:cs="Times New Roman"/>
                <w:sz w:val="16"/>
                <w:szCs w:val="16"/>
              </w:rPr>
              <w:t>4545 (35.62)</w:t>
            </w:r>
          </w:p>
        </w:tc>
        <w:tc>
          <w:tcPr>
            <w:tcW w:w="1254" w:type="dxa"/>
            <w:vMerge/>
          </w:tcPr>
          <w:p w14:paraId="273937D8" w14:textId="77777777" w:rsidR="00042B1E" w:rsidRPr="00FB6271" w:rsidRDefault="00042B1E" w:rsidP="00042B1E">
            <w:pPr>
              <w:jc w:val="center"/>
              <w:rPr>
                <w:rFonts w:ascii="Times New Roman" w:hAnsi="Times New Roman" w:cs="Times New Roman"/>
                <w:sz w:val="16"/>
                <w:szCs w:val="16"/>
              </w:rPr>
            </w:pPr>
          </w:p>
        </w:tc>
      </w:tr>
      <w:tr w:rsidR="00042B1E" w:rsidRPr="00FB6271" w14:paraId="0557FEF5" w14:textId="77777777" w:rsidTr="00042B1E">
        <w:trPr>
          <w:trHeight w:val="190"/>
        </w:trPr>
        <w:tc>
          <w:tcPr>
            <w:tcW w:w="2658" w:type="dxa"/>
          </w:tcPr>
          <w:p w14:paraId="4362EF1D" w14:textId="69F8B3CC"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Dyclonine</w:t>
            </w:r>
            <w:r w:rsidR="0083571F" w:rsidRPr="00FB6271">
              <w:rPr>
                <w:rFonts w:ascii="Times New Roman" w:hAnsi="Times New Roman" w:cs="Times New Roman"/>
                <w:b/>
                <w:bCs/>
                <w:sz w:val="16"/>
                <w:szCs w:val="16"/>
              </w:rPr>
              <w:t>, n (%)</w:t>
            </w:r>
          </w:p>
        </w:tc>
        <w:tc>
          <w:tcPr>
            <w:tcW w:w="1963" w:type="dxa"/>
          </w:tcPr>
          <w:p w14:paraId="457BFCAF"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69127 (45.14)</w:t>
            </w:r>
          </w:p>
        </w:tc>
        <w:tc>
          <w:tcPr>
            <w:tcW w:w="2479" w:type="dxa"/>
          </w:tcPr>
          <w:p w14:paraId="4099948D"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6</w:t>
            </w:r>
            <w:r w:rsidRPr="00FB6271">
              <w:rPr>
                <w:rFonts w:ascii="Times New Roman" w:hAnsi="Times New Roman" w:cs="Times New Roman"/>
                <w:sz w:val="16"/>
                <w:szCs w:val="16"/>
              </w:rPr>
              <w:t>9062 (45.10)</w:t>
            </w:r>
          </w:p>
        </w:tc>
        <w:tc>
          <w:tcPr>
            <w:tcW w:w="1254" w:type="dxa"/>
          </w:tcPr>
          <w:p w14:paraId="5EE4A9EE"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tc>
      </w:tr>
      <w:tr w:rsidR="00042B1E" w:rsidRPr="00FB6271" w14:paraId="39DDE51F" w14:textId="77777777" w:rsidTr="00042B1E">
        <w:trPr>
          <w:trHeight w:val="190"/>
        </w:trPr>
        <w:tc>
          <w:tcPr>
            <w:tcW w:w="2658" w:type="dxa"/>
          </w:tcPr>
          <w:p w14:paraId="1BDCBB46" w14:textId="748C189F" w:rsidR="00042B1E" w:rsidRPr="00FB6271" w:rsidRDefault="00042B1E" w:rsidP="00042B1E">
            <w:pPr>
              <w:jc w:val="left"/>
              <w:rPr>
                <w:rFonts w:ascii="Times New Roman" w:hAnsi="Times New Roman" w:cs="Times New Roman"/>
                <w:b/>
                <w:bCs/>
                <w:sz w:val="16"/>
                <w:szCs w:val="16"/>
              </w:rPr>
            </w:pPr>
            <w:r w:rsidRPr="00FB6271">
              <w:rPr>
                <w:rFonts w:ascii="Times New Roman" w:hAnsi="Times New Roman" w:cs="Times New Roman"/>
                <w:b/>
                <w:bCs/>
                <w:sz w:val="16"/>
                <w:szCs w:val="16"/>
              </w:rPr>
              <w:t>Dimethicone</w:t>
            </w:r>
            <w:r w:rsidR="0083571F" w:rsidRPr="00FB6271">
              <w:rPr>
                <w:rFonts w:ascii="Times New Roman" w:hAnsi="Times New Roman" w:cs="Times New Roman"/>
                <w:b/>
                <w:bCs/>
                <w:sz w:val="16"/>
                <w:szCs w:val="16"/>
              </w:rPr>
              <w:t>, n (%)</w:t>
            </w:r>
          </w:p>
        </w:tc>
        <w:tc>
          <w:tcPr>
            <w:tcW w:w="1963" w:type="dxa"/>
          </w:tcPr>
          <w:p w14:paraId="7E091DBB"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2</w:t>
            </w:r>
            <w:r w:rsidRPr="00FB6271">
              <w:rPr>
                <w:rFonts w:ascii="Times New Roman" w:hAnsi="Times New Roman" w:cs="Times New Roman"/>
                <w:sz w:val="16"/>
                <w:szCs w:val="16"/>
              </w:rPr>
              <w:t>4501 (16.00)</w:t>
            </w:r>
          </w:p>
        </w:tc>
        <w:tc>
          <w:tcPr>
            <w:tcW w:w="2479" w:type="dxa"/>
          </w:tcPr>
          <w:p w14:paraId="3EC67CB4"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2</w:t>
            </w:r>
            <w:r w:rsidRPr="00FB6271">
              <w:rPr>
                <w:rFonts w:ascii="Times New Roman" w:hAnsi="Times New Roman" w:cs="Times New Roman"/>
                <w:sz w:val="16"/>
                <w:szCs w:val="16"/>
              </w:rPr>
              <w:t>4501 (16.00)</w:t>
            </w:r>
          </w:p>
        </w:tc>
        <w:tc>
          <w:tcPr>
            <w:tcW w:w="1254" w:type="dxa"/>
          </w:tcPr>
          <w:p w14:paraId="5FAAE346"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0.00</w:t>
            </w:r>
          </w:p>
        </w:tc>
      </w:tr>
      <w:tr w:rsidR="00042B1E" w:rsidRPr="00FB6271" w14:paraId="4CEA4D59" w14:textId="77777777" w:rsidTr="00042B1E">
        <w:trPr>
          <w:trHeight w:val="190"/>
        </w:trPr>
        <w:tc>
          <w:tcPr>
            <w:tcW w:w="2658" w:type="dxa"/>
          </w:tcPr>
          <w:p w14:paraId="10ABB74C" w14:textId="01DD3B70" w:rsidR="00042B1E" w:rsidRPr="00FB6271" w:rsidRDefault="00042B1E" w:rsidP="00042B1E">
            <w:pPr>
              <w:jc w:val="left"/>
              <w:rPr>
                <w:rFonts w:ascii="Times New Roman" w:hAnsi="Times New Roman" w:cs="Times New Roman"/>
                <w:b/>
                <w:bCs/>
                <w:sz w:val="16"/>
                <w:szCs w:val="16"/>
                <w:lang w:val="en-GB"/>
              </w:rPr>
            </w:pPr>
            <w:r w:rsidRPr="00FB6271">
              <w:rPr>
                <w:rFonts w:ascii="Times New Roman" w:hAnsi="Times New Roman" w:cs="Times New Roman"/>
                <w:b/>
                <w:bCs/>
                <w:sz w:val="16"/>
                <w:szCs w:val="16"/>
              </w:rPr>
              <w:t>Simethicone</w:t>
            </w:r>
            <w:r w:rsidR="0083571F" w:rsidRPr="00FB6271">
              <w:rPr>
                <w:rFonts w:ascii="Times New Roman" w:hAnsi="Times New Roman" w:cs="Times New Roman"/>
                <w:b/>
                <w:bCs/>
                <w:sz w:val="16"/>
                <w:szCs w:val="16"/>
              </w:rPr>
              <w:t>, n (%)</w:t>
            </w:r>
          </w:p>
        </w:tc>
        <w:tc>
          <w:tcPr>
            <w:tcW w:w="1963" w:type="dxa"/>
          </w:tcPr>
          <w:p w14:paraId="26A39AB4"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59966 (39.15)</w:t>
            </w:r>
          </w:p>
        </w:tc>
        <w:tc>
          <w:tcPr>
            <w:tcW w:w="2479" w:type="dxa"/>
          </w:tcPr>
          <w:p w14:paraId="6D72B8CA"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hint="eastAsia"/>
                <w:sz w:val="16"/>
                <w:szCs w:val="16"/>
              </w:rPr>
              <w:t>5</w:t>
            </w:r>
            <w:r w:rsidRPr="00FB6271">
              <w:rPr>
                <w:rFonts w:ascii="Times New Roman" w:hAnsi="Times New Roman" w:cs="Times New Roman"/>
                <w:sz w:val="16"/>
                <w:szCs w:val="16"/>
              </w:rPr>
              <w:t>9568 (38.90)</w:t>
            </w:r>
          </w:p>
        </w:tc>
        <w:tc>
          <w:tcPr>
            <w:tcW w:w="1254" w:type="dxa"/>
          </w:tcPr>
          <w:p w14:paraId="65280F92" w14:textId="77777777" w:rsidR="00042B1E" w:rsidRPr="00FB6271" w:rsidRDefault="00042B1E" w:rsidP="00042B1E">
            <w:pPr>
              <w:jc w:val="center"/>
              <w:rPr>
                <w:rFonts w:ascii="Times New Roman" w:hAnsi="Times New Roman" w:cs="Times New Roman"/>
                <w:sz w:val="16"/>
                <w:szCs w:val="16"/>
              </w:rPr>
            </w:pPr>
            <w:r w:rsidRPr="00FB6271">
              <w:rPr>
                <w:rFonts w:ascii="Times New Roman" w:hAnsi="Times New Roman" w:cs="Times New Roman"/>
                <w:sz w:val="16"/>
                <w:szCs w:val="16"/>
              </w:rPr>
              <w:t>0.01</w:t>
            </w:r>
          </w:p>
        </w:tc>
      </w:tr>
    </w:tbl>
    <w:p w14:paraId="53A62C18" w14:textId="77777777" w:rsidR="00042B1E" w:rsidRPr="00FB6271" w:rsidRDefault="00042B1E" w:rsidP="00042B1E">
      <w:pPr>
        <w:rPr>
          <w:rFonts w:ascii="Times New Roman" w:hAnsi="Times New Roman" w:cs="Times New Roman"/>
          <w:b/>
          <w:bCs/>
          <w:sz w:val="20"/>
          <w:szCs w:val="20"/>
        </w:rPr>
      </w:pPr>
      <w:r w:rsidRPr="00FB6271">
        <w:rPr>
          <w:rFonts w:ascii="Times New Roman" w:hAnsi="Times New Roman" w:cs="Times New Roman"/>
          <w:b/>
          <w:bCs/>
          <w:sz w:val="20"/>
          <w:szCs w:val="20"/>
        </w:rPr>
        <w:t>Supplemental Table 1. Baseline characteristics of PSM patients treated with sedation or no-sedation (n=306,262)</w:t>
      </w:r>
    </w:p>
    <w:p w14:paraId="28F6699D" w14:textId="77777777" w:rsidR="00042B1E" w:rsidRPr="00FB6271" w:rsidRDefault="00042B1E" w:rsidP="00042B1E">
      <w:pPr>
        <w:rPr>
          <w:rFonts w:ascii="Times New Roman" w:hAnsi="Times New Roman" w:cs="Times New Roman"/>
          <w:sz w:val="20"/>
          <w:szCs w:val="20"/>
        </w:rPr>
      </w:pPr>
      <w:r w:rsidRPr="00FB6271">
        <w:rPr>
          <w:rFonts w:ascii="Times New Roman" w:hAnsi="Times New Roman" w:cs="Times New Roman"/>
          <w:sz w:val="20"/>
          <w:szCs w:val="20"/>
          <w:vertAlign w:val="superscript"/>
        </w:rPr>
        <w:t>a</w:t>
      </w:r>
      <w:r w:rsidRPr="00FB6271">
        <w:rPr>
          <w:rFonts w:ascii="Times New Roman" w:hAnsi="Times New Roman" w:cs="Times New Roman"/>
          <w:sz w:val="20"/>
          <w:szCs w:val="20"/>
        </w:rPr>
        <w:t xml:space="preserve"> Drink History: people who have ever used any type of alcohol </w:t>
      </w:r>
    </w:p>
    <w:p w14:paraId="103E7E29" w14:textId="77777777" w:rsidR="00042B1E" w:rsidRPr="00FB6271" w:rsidRDefault="00042B1E" w:rsidP="00042B1E">
      <w:pPr>
        <w:rPr>
          <w:rFonts w:ascii="Times New Roman" w:hAnsi="Times New Roman" w:cs="Times New Roman"/>
          <w:sz w:val="20"/>
          <w:szCs w:val="20"/>
        </w:rPr>
      </w:pPr>
      <w:r w:rsidRPr="00FB6271">
        <w:rPr>
          <w:rFonts w:ascii="Times New Roman" w:hAnsi="Times New Roman" w:cs="Times New Roman"/>
          <w:sz w:val="20"/>
          <w:szCs w:val="20"/>
          <w:vertAlign w:val="superscript"/>
        </w:rPr>
        <w:t>b</w:t>
      </w:r>
      <w:r w:rsidRPr="00FB6271">
        <w:rPr>
          <w:rFonts w:ascii="Times New Roman" w:hAnsi="Times New Roman" w:cs="Times New Roman"/>
          <w:sz w:val="20"/>
          <w:szCs w:val="20"/>
        </w:rPr>
        <w:t xml:space="preserve"> Smoke History: people who have ever used any type of tobacco </w:t>
      </w:r>
    </w:p>
    <w:p w14:paraId="487AA15E" w14:textId="07947A63" w:rsidR="00042B1E" w:rsidRPr="00FB6271" w:rsidRDefault="00042B1E" w:rsidP="00042B1E">
      <w:pPr>
        <w:rPr>
          <w:rFonts w:ascii="Times New Roman" w:hAnsi="Times New Roman" w:cs="Times New Roman"/>
          <w:sz w:val="20"/>
          <w:szCs w:val="20"/>
        </w:rPr>
      </w:pPr>
      <w:r w:rsidRPr="00FB6271">
        <w:rPr>
          <w:rFonts w:ascii="Times New Roman" w:hAnsi="Times New Roman" w:cs="Times New Roman"/>
          <w:sz w:val="20"/>
          <w:szCs w:val="20"/>
          <w:vertAlign w:val="superscript"/>
        </w:rPr>
        <w:t>c</w:t>
      </w:r>
      <w:r w:rsidRPr="00FB6271">
        <w:rPr>
          <w:rFonts w:ascii="Times New Roman" w:hAnsi="Times New Roman" w:cs="Times New Roman"/>
          <w:sz w:val="20"/>
          <w:szCs w:val="20"/>
        </w:rPr>
        <w:t xml:space="preserve"> H</w:t>
      </w:r>
      <w:r w:rsidRPr="00FB6271">
        <w:rPr>
          <w:rFonts w:ascii="Times New Roman" w:hAnsi="Times New Roman" w:cs="Times New Roman"/>
          <w:i/>
          <w:iCs/>
          <w:sz w:val="20"/>
          <w:szCs w:val="20"/>
        </w:rPr>
        <w:t>p</w:t>
      </w:r>
      <w:r w:rsidRPr="00FB6271">
        <w:rPr>
          <w:rFonts w:ascii="Times New Roman" w:hAnsi="Times New Roman" w:cs="Times New Roman"/>
          <w:sz w:val="20"/>
          <w:szCs w:val="20"/>
        </w:rPr>
        <w:t xml:space="preserve"> infection: current </w:t>
      </w:r>
      <w:r w:rsidR="0097448F" w:rsidRPr="0097448F">
        <w:rPr>
          <w:rFonts w:ascii="Times New Roman" w:hAnsi="Times New Roman" w:cs="Times New Roman"/>
          <w:sz w:val="20"/>
          <w:szCs w:val="20"/>
        </w:rPr>
        <w:t>Helicobacter pylori</w:t>
      </w:r>
      <w:r w:rsidRPr="00FB6271">
        <w:rPr>
          <w:rFonts w:ascii="Times New Roman" w:hAnsi="Times New Roman" w:cs="Times New Roman"/>
          <w:sz w:val="20"/>
          <w:szCs w:val="20"/>
        </w:rPr>
        <w:t xml:space="preserve"> infected people</w:t>
      </w:r>
    </w:p>
    <w:p w14:paraId="238D6F03" w14:textId="77777777" w:rsidR="00042B1E" w:rsidRPr="00FB6271" w:rsidRDefault="00042B1E" w:rsidP="00042B1E">
      <w:pPr>
        <w:rPr>
          <w:rFonts w:ascii="Times New Roman" w:hAnsi="Times New Roman" w:cs="Times New Roman"/>
          <w:sz w:val="20"/>
          <w:szCs w:val="20"/>
        </w:rPr>
      </w:pPr>
      <w:r w:rsidRPr="00FB6271">
        <w:rPr>
          <w:rFonts w:ascii="Times New Roman" w:hAnsi="Times New Roman" w:cs="Times New Roman"/>
          <w:sz w:val="20"/>
          <w:szCs w:val="20"/>
          <w:vertAlign w:val="superscript"/>
        </w:rPr>
        <w:t>d</w:t>
      </w:r>
      <w:r w:rsidRPr="00FB6271">
        <w:rPr>
          <w:rFonts w:ascii="Times New Roman" w:hAnsi="Times New Roman" w:cs="Times New Roman"/>
          <w:sz w:val="20"/>
          <w:szCs w:val="20"/>
        </w:rPr>
        <w:t xml:space="preserve"> Poverty: patients whose choice of endoscopy is influenced by financial problems (data collected from questionnaire)</w:t>
      </w:r>
      <w:bookmarkStart w:id="0" w:name="_GoBack"/>
      <w:bookmarkEnd w:id="0"/>
    </w:p>
    <w:p w14:paraId="03E89418" w14:textId="77777777" w:rsidR="00042B1E" w:rsidRPr="00FB6271" w:rsidRDefault="00042B1E" w:rsidP="00042B1E">
      <w:pPr>
        <w:rPr>
          <w:rFonts w:ascii="Times New Roman" w:hAnsi="Times New Roman" w:cs="Times New Roman"/>
          <w:sz w:val="20"/>
          <w:szCs w:val="20"/>
        </w:rPr>
      </w:pPr>
      <w:r w:rsidRPr="00FB6271">
        <w:rPr>
          <w:rFonts w:ascii="Times New Roman" w:hAnsi="Times New Roman" w:cs="Times New Roman"/>
          <w:sz w:val="20"/>
          <w:szCs w:val="20"/>
          <w:vertAlign w:val="superscript"/>
        </w:rPr>
        <w:t>e</w:t>
      </w:r>
      <w:r w:rsidRPr="00FB6271">
        <w:rPr>
          <w:rFonts w:ascii="Times New Roman" w:hAnsi="Times New Roman" w:cs="Times New Roman"/>
          <w:sz w:val="20"/>
          <w:szCs w:val="20"/>
        </w:rPr>
        <w:t xml:space="preserve"> High risk area: Come from high risk areas in China</w:t>
      </w:r>
      <w:r w:rsidRPr="00FB6271">
        <w:rPr>
          <w:rFonts w:ascii="Times New Roman" w:hAnsi="Times New Roman" w:cs="Times New Roman"/>
          <w:sz w:val="20"/>
          <w:szCs w:val="20"/>
        </w:rPr>
        <w:fldChar w:fldCharType="begin" w:fldLock="1"/>
      </w:r>
      <w:r w:rsidRPr="00FB6271">
        <w:rPr>
          <w:rFonts w:ascii="Times New Roman" w:hAnsi="Times New Roman" w:cs="Times New Roman"/>
          <w:sz w:val="20"/>
          <w:szCs w:val="20"/>
        </w:rPr>
        <w:instrText>ADDIN CSL_CITATION {"citationItems":[{"id":"ITEM-1","itemData":{"author":[{"dropping-particle":"","family":"He Jie, Zhao Ping","given":"Chen Wanqing","non-dropping-particle":"","parse-names":false,"suffix":""}],"container-title":"Beijing: Military Medical Science Press","id":"ITEM-1","issued":{"date-parts":[["2012"]]},"title":"China tumor registration report in 2012[M]","type":"article-journal"},"uris":["http://www.mendeley.com/documents/?uuid=6f36bec3-569e-4f19-81d9-987d3e14cc08"]},{"id":"ITEM-2","itemData":{"author":[{"dropping-particle":"","family":"He","given":"Jie","non-dropping-particle":"","parse-names":false,"suffix":""}],"container-title":"CHINA ONCOLOGY","id":"ITEM-2","issued":{"date-parts":[["2011"]]},"title":"The epidemiology, current status of management, challenge and future strategy for esophageal cancer in China","type":"article-journal"},"uris":["http://www.mendeley.com/documents/?uuid=89c6b3fb-27ba-4a15-9475-8d1d190183b2"]}],"mendeley":{"formattedCitation":"&lt;sup&gt;12,13&lt;/sup&gt;","plainTextFormattedCitation":"12,13","previouslyFormattedCitation":"&lt;sup&gt;12,13&lt;/sup&gt;"},"properties":{"noteIndex":0},"schema":"https://github.com/citation-style-language/schema/raw/master/csl-citation.json"}</w:instrText>
      </w:r>
      <w:r w:rsidRPr="00FB6271">
        <w:rPr>
          <w:rFonts w:ascii="Times New Roman" w:hAnsi="Times New Roman" w:cs="Times New Roman"/>
          <w:sz w:val="20"/>
          <w:szCs w:val="20"/>
        </w:rPr>
        <w:fldChar w:fldCharType="separate"/>
      </w:r>
      <w:r w:rsidRPr="00FB6271">
        <w:rPr>
          <w:rFonts w:ascii="Times New Roman" w:hAnsi="Times New Roman" w:cs="Times New Roman"/>
          <w:noProof/>
          <w:sz w:val="20"/>
          <w:szCs w:val="20"/>
          <w:vertAlign w:val="superscript"/>
        </w:rPr>
        <w:t>12,13</w:t>
      </w:r>
      <w:r w:rsidRPr="00FB6271">
        <w:rPr>
          <w:rFonts w:ascii="Times New Roman" w:hAnsi="Times New Roman" w:cs="Times New Roman"/>
          <w:sz w:val="20"/>
          <w:szCs w:val="20"/>
        </w:rPr>
        <w:fldChar w:fldCharType="end"/>
      </w:r>
    </w:p>
    <w:p w14:paraId="0C861392" w14:textId="77777777" w:rsidR="00042B1E" w:rsidRPr="00FB6271" w:rsidRDefault="00042B1E" w:rsidP="00042B1E">
      <w:pPr>
        <w:rPr>
          <w:rFonts w:ascii="Times New Roman" w:hAnsi="Times New Roman" w:cs="Times New Roman"/>
          <w:sz w:val="20"/>
          <w:szCs w:val="20"/>
        </w:rPr>
      </w:pPr>
      <w:r w:rsidRPr="00FB6271">
        <w:rPr>
          <w:rFonts w:ascii="Times New Roman" w:hAnsi="Times New Roman" w:cs="Times New Roman"/>
          <w:sz w:val="20"/>
          <w:szCs w:val="20"/>
          <w:vertAlign w:val="superscript"/>
        </w:rPr>
        <w:t>f</w:t>
      </w:r>
      <w:r w:rsidRPr="00FB6271">
        <w:rPr>
          <w:rFonts w:ascii="Times New Roman" w:hAnsi="Times New Roman" w:cs="Times New Roman"/>
          <w:sz w:val="20"/>
          <w:szCs w:val="20"/>
        </w:rPr>
        <w:t xml:space="preserve"> </w:t>
      </w:r>
      <w:r w:rsidRPr="00FB6271">
        <w:rPr>
          <w:rFonts w:ascii="Times New Roman" w:hAnsi="Times New Roman" w:cs="Times New Roman" w:hint="eastAsia"/>
          <w:sz w:val="20"/>
          <w:szCs w:val="20"/>
        </w:rPr>
        <w:t>S</w:t>
      </w:r>
      <w:r w:rsidRPr="00FB6271">
        <w:rPr>
          <w:rFonts w:ascii="Times New Roman" w:hAnsi="Times New Roman" w:cs="Times New Roman"/>
          <w:sz w:val="20"/>
          <w:szCs w:val="20"/>
        </w:rPr>
        <w:t>D: Standard Difference</w:t>
      </w:r>
    </w:p>
    <w:p w14:paraId="0EA97A05" w14:textId="77777777" w:rsidR="00042B1E" w:rsidRPr="00FB6271" w:rsidRDefault="00042B1E" w:rsidP="00042B1E">
      <w:pPr>
        <w:rPr>
          <w:rFonts w:ascii="Times New Roman" w:hAnsi="Times New Roman" w:cs="Times New Roman"/>
          <w:sz w:val="20"/>
          <w:szCs w:val="20"/>
        </w:rPr>
      </w:pPr>
      <w:r w:rsidRPr="00FB6271">
        <w:rPr>
          <w:rFonts w:ascii="Times New Roman" w:hAnsi="Times New Roman" w:cs="Times New Roman"/>
          <w:sz w:val="20"/>
          <w:szCs w:val="20"/>
          <w:vertAlign w:val="superscript"/>
        </w:rPr>
        <w:t>g</w:t>
      </w:r>
      <w:r w:rsidRPr="00FB6271">
        <w:rPr>
          <w:rFonts w:ascii="Times New Roman" w:hAnsi="Times New Roman" w:cs="Times New Roman"/>
          <w:sz w:val="20"/>
          <w:szCs w:val="20"/>
        </w:rPr>
        <w:t xml:space="preserve"> Volume: the number of EGD carried out by endoscopists annually</w:t>
      </w:r>
    </w:p>
    <w:p w14:paraId="16BACB37" w14:textId="77777777" w:rsidR="00042B1E" w:rsidRPr="005F6DE5" w:rsidRDefault="00042B1E" w:rsidP="00042B1E">
      <w:pPr>
        <w:rPr>
          <w:rFonts w:ascii="Times New Roman" w:hAnsi="Times New Roman" w:cs="Times New Roman"/>
          <w:sz w:val="20"/>
          <w:szCs w:val="20"/>
        </w:rPr>
      </w:pPr>
      <w:r w:rsidRPr="00FB6271">
        <w:rPr>
          <w:rFonts w:ascii="Times New Roman" w:hAnsi="Times New Roman" w:cs="Times New Roman"/>
          <w:sz w:val="20"/>
          <w:szCs w:val="20"/>
          <w:vertAlign w:val="superscript"/>
        </w:rPr>
        <w:t>h</w:t>
      </w:r>
      <w:r w:rsidRPr="00FB6271">
        <w:rPr>
          <w:rFonts w:ascii="Times New Roman" w:hAnsi="Times New Roman" w:cs="Times New Roman"/>
          <w:sz w:val="20"/>
          <w:szCs w:val="20"/>
        </w:rPr>
        <w:t xml:space="preserve"> Experience: years since completing EGDs independently</w:t>
      </w:r>
    </w:p>
    <w:p w14:paraId="7B446E7D" w14:textId="06F5245C" w:rsidR="00E6754D" w:rsidRDefault="0097448F" w:rsidP="00042B1E">
      <w:pPr>
        <w:rPr>
          <w:rFonts w:ascii="Times New Roman" w:hAnsi="Times New Roman" w:cs="Times New Roman"/>
          <w:sz w:val="20"/>
          <w:szCs w:val="20"/>
        </w:rPr>
      </w:pPr>
      <w:r w:rsidRPr="005F6DE5">
        <w:rPr>
          <w:rFonts w:ascii="Times New Roman" w:hAnsi="Times New Roman" w:cs="Times New Roman"/>
          <w:sz w:val="20"/>
          <w:szCs w:val="20"/>
        </w:rPr>
        <w:t>BMI: Body Mass Index</w:t>
      </w:r>
    </w:p>
    <w:p w14:paraId="05809C97" w14:textId="7C52EC82" w:rsidR="00D65B30" w:rsidRPr="00D65B30" w:rsidRDefault="00D65B30" w:rsidP="00042B1E">
      <w:pPr>
        <w:rPr>
          <w:rFonts w:ascii="Times New Roman" w:hAnsi="Times New Roman" w:cs="Times New Roman"/>
          <w:sz w:val="20"/>
          <w:szCs w:val="20"/>
        </w:rPr>
      </w:pPr>
      <w:r w:rsidRPr="00D65B30">
        <w:rPr>
          <w:rFonts w:ascii="Times New Roman" w:hAnsi="Times New Roman" w:cs="Times New Roman"/>
          <w:sz w:val="20"/>
          <w:szCs w:val="20"/>
        </w:rPr>
        <w:t>PSM: Propensity Score Matching</w:t>
      </w:r>
    </w:p>
    <w:sectPr w:rsidR="00D65B30" w:rsidRPr="00D65B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7CC5" w14:textId="77777777" w:rsidR="00D45E4E" w:rsidRDefault="00D45E4E" w:rsidP="001E58AE">
      <w:r>
        <w:separator/>
      </w:r>
    </w:p>
  </w:endnote>
  <w:endnote w:type="continuationSeparator" w:id="0">
    <w:p w14:paraId="75D6E92A" w14:textId="77777777" w:rsidR="00D45E4E" w:rsidRDefault="00D45E4E" w:rsidP="001E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9374" w14:textId="77777777" w:rsidR="00D45E4E" w:rsidRDefault="00D45E4E" w:rsidP="001E58AE">
      <w:r>
        <w:separator/>
      </w:r>
    </w:p>
  </w:footnote>
  <w:footnote w:type="continuationSeparator" w:id="0">
    <w:p w14:paraId="5BE48B20" w14:textId="77777777" w:rsidR="00D45E4E" w:rsidRDefault="00D45E4E" w:rsidP="001E5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97345"/>
    <w:multiLevelType w:val="hybridMultilevel"/>
    <w:tmpl w:val="2CAC110E"/>
    <w:lvl w:ilvl="0" w:tplc="389E74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B"/>
    <w:rsid w:val="000078B6"/>
    <w:rsid w:val="000130E0"/>
    <w:rsid w:val="00013866"/>
    <w:rsid w:val="000152BF"/>
    <w:rsid w:val="00015EA7"/>
    <w:rsid w:val="00020C72"/>
    <w:rsid w:val="000237C4"/>
    <w:rsid w:val="00025C6C"/>
    <w:rsid w:val="0002613B"/>
    <w:rsid w:val="000269EE"/>
    <w:rsid w:val="000272E4"/>
    <w:rsid w:val="0003294A"/>
    <w:rsid w:val="000356B5"/>
    <w:rsid w:val="00037376"/>
    <w:rsid w:val="000429BD"/>
    <w:rsid w:val="00042B1E"/>
    <w:rsid w:val="00044F75"/>
    <w:rsid w:val="00045023"/>
    <w:rsid w:val="00047931"/>
    <w:rsid w:val="00047DEA"/>
    <w:rsid w:val="00050AEA"/>
    <w:rsid w:val="00050F64"/>
    <w:rsid w:val="00055363"/>
    <w:rsid w:val="000610B4"/>
    <w:rsid w:val="000624BF"/>
    <w:rsid w:val="00062E33"/>
    <w:rsid w:val="00064B44"/>
    <w:rsid w:val="000724AE"/>
    <w:rsid w:val="000738B3"/>
    <w:rsid w:val="000756C0"/>
    <w:rsid w:val="000769BB"/>
    <w:rsid w:val="00077D7D"/>
    <w:rsid w:val="00081E0A"/>
    <w:rsid w:val="000821DB"/>
    <w:rsid w:val="00082C1D"/>
    <w:rsid w:val="00086F08"/>
    <w:rsid w:val="00091837"/>
    <w:rsid w:val="00092F9A"/>
    <w:rsid w:val="00096C90"/>
    <w:rsid w:val="000A0FB7"/>
    <w:rsid w:val="000A1D11"/>
    <w:rsid w:val="000A2253"/>
    <w:rsid w:val="000A4452"/>
    <w:rsid w:val="000A48D9"/>
    <w:rsid w:val="000A5D5D"/>
    <w:rsid w:val="000A6AF9"/>
    <w:rsid w:val="000A74B8"/>
    <w:rsid w:val="000A76CB"/>
    <w:rsid w:val="000B0022"/>
    <w:rsid w:val="000B0C2F"/>
    <w:rsid w:val="000B1D86"/>
    <w:rsid w:val="000B28DF"/>
    <w:rsid w:val="000B44D8"/>
    <w:rsid w:val="000B4883"/>
    <w:rsid w:val="000B6102"/>
    <w:rsid w:val="000B6FEE"/>
    <w:rsid w:val="000B7124"/>
    <w:rsid w:val="000B768A"/>
    <w:rsid w:val="000B7947"/>
    <w:rsid w:val="000C0658"/>
    <w:rsid w:val="000C1A0F"/>
    <w:rsid w:val="000C3AF9"/>
    <w:rsid w:val="000C4B44"/>
    <w:rsid w:val="000C56E0"/>
    <w:rsid w:val="000C6767"/>
    <w:rsid w:val="000C6F3F"/>
    <w:rsid w:val="000D3C66"/>
    <w:rsid w:val="000D5DE4"/>
    <w:rsid w:val="000E21FA"/>
    <w:rsid w:val="000E3533"/>
    <w:rsid w:val="000E5BDE"/>
    <w:rsid w:val="000E6D1B"/>
    <w:rsid w:val="000E70DC"/>
    <w:rsid w:val="000F0353"/>
    <w:rsid w:val="000F1F47"/>
    <w:rsid w:val="000F206F"/>
    <w:rsid w:val="000F2817"/>
    <w:rsid w:val="000F3BA5"/>
    <w:rsid w:val="000F55BA"/>
    <w:rsid w:val="000F6957"/>
    <w:rsid w:val="001045B8"/>
    <w:rsid w:val="00111B28"/>
    <w:rsid w:val="00112CE3"/>
    <w:rsid w:val="00115CEE"/>
    <w:rsid w:val="0011700C"/>
    <w:rsid w:val="00117933"/>
    <w:rsid w:val="00122E8B"/>
    <w:rsid w:val="00124FA3"/>
    <w:rsid w:val="00130214"/>
    <w:rsid w:val="0013439C"/>
    <w:rsid w:val="00135B67"/>
    <w:rsid w:val="001370C0"/>
    <w:rsid w:val="00137F3A"/>
    <w:rsid w:val="00141470"/>
    <w:rsid w:val="0014612B"/>
    <w:rsid w:val="0014663C"/>
    <w:rsid w:val="00151733"/>
    <w:rsid w:val="00151F2B"/>
    <w:rsid w:val="00156F8F"/>
    <w:rsid w:val="001607CF"/>
    <w:rsid w:val="00164B93"/>
    <w:rsid w:val="00166B20"/>
    <w:rsid w:val="00172A3E"/>
    <w:rsid w:val="0018358A"/>
    <w:rsid w:val="00185EA8"/>
    <w:rsid w:val="001875E5"/>
    <w:rsid w:val="00191019"/>
    <w:rsid w:val="001929A7"/>
    <w:rsid w:val="001970AF"/>
    <w:rsid w:val="00197A69"/>
    <w:rsid w:val="00197BBF"/>
    <w:rsid w:val="001A2399"/>
    <w:rsid w:val="001A5A2C"/>
    <w:rsid w:val="001A6F68"/>
    <w:rsid w:val="001A7D15"/>
    <w:rsid w:val="001B0599"/>
    <w:rsid w:val="001B3156"/>
    <w:rsid w:val="001B3B77"/>
    <w:rsid w:val="001B3DED"/>
    <w:rsid w:val="001B3E41"/>
    <w:rsid w:val="001B530D"/>
    <w:rsid w:val="001B576E"/>
    <w:rsid w:val="001B59A2"/>
    <w:rsid w:val="001C292A"/>
    <w:rsid w:val="001C2CDB"/>
    <w:rsid w:val="001D1AE6"/>
    <w:rsid w:val="001D3D43"/>
    <w:rsid w:val="001D477C"/>
    <w:rsid w:val="001D5B63"/>
    <w:rsid w:val="001D6338"/>
    <w:rsid w:val="001D6C73"/>
    <w:rsid w:val="001D7DF6"/>
    <w:rsid w:val="001E00F3"/>
    <w:rsid w:val="001E58AE"/>
    <w:rsid w:val="001E74E0"/>
    <w:rsid w:val="001F130E"/>
    <w:rsid w:val="001F1871"/>
    <w:rsid w:val="001F77AE"/>
    <w:rsid w:val="0020018E"/>
    <w:rsid w:val="00200208"/>
    <w:rsid w:val="002024DF"/>
    <w:rsid w:val="00205E9D"/>
    <w:rsid w:val="002065C3"/>
    <w:rsid w:val="0021025C"/>
    <w:rsid w:val="0021077D"/>
    <w:rsid w:val="00211C9A"/>
    <w:rsid w:val="00212A0F"/>
    <w:rsid w:val="0021590D"/>
    <w:rsid w:val="002167E5"/>
    <w:rsid w:val="00220020"/>
    <w:rsid w:val="002200DE"/>
    <w:rsid w:val="002207C1"/>
    <w:rsid w:val="0022159B"/>
    <w:rsid w:val="0022418B"/>
    <w:rsid w:val="00224660"/>
    <w:rsid w:val="00225C0B"/>
    <w:rsid w:val="00226377"/>
    <w:rsid w:val="00226CF3"/>
    <w:rsid w:val="00230E18"/>
    <w:rsid w:val="00240F52"/>
    <w:rsid w:val="00243C84"/>
    <w:rsid w:val="00244089"/>
    <w:rsid w:val="00245003"/>
    <w:rsid w:val="002471B3"/>
    <w:rsid w:val="00256F67"/>
    <w:rsid w:val="00260B4F"/>
    <w:rsid w:val="00262AE2"/>
    <w:rsid w:val="00264AEE"/>
    <w:rsid w:val="00272516"/>
    <w:rsid w:val="00273CB2"/>
    <w:rsid w:val="0027639D"/>
    <w:rsid w:val="00277C3D"/>
    <w:rsid w:val="0028015F"/>
    <w:rsid w:val="00280288"/>
    <w:rsid w:val="002878F6"/>
    <w:rsid w:val="00287984"/>
    <w:rsid w:val="00293D15"/>
    <w:rsid w:val="002943E8"/>
    <w:rsid w:val="00295AB7"/>
    <w:rsid w:val="002A35E6"/>
    <w:rsid w:val="002A39A5"/>
    <w:rsid w:val="002A56C0"/>
    <w:rsid w:val="002A5C7F"/>
    <w:rsid w:val="002A767C"/>
    <w:rsid w:val="002A7700"/>
    <w:rsid w:val="002B0EF9"/>
    <w:rsid w:val="002C0977"/>
    <w:rsid w:val="002C20A5"/>
    <w:rsid w:val="002C2D20"/>
    <w:rsid w:val="002C5FB2"/>
    <w:rsid w:val="002C7ADE"/>
    <w:rsid w:val="002D2D38"/>
    <w:rsid w:val="002D3CE4"/>
    <w:rsid w:val="002D4BBF"/>
    <w:rsid w:val="002D5705"/>
    <w:rsid w:val="002D58C7"/>
    <w:rsid w:val="002D5B34"/>
    <w:rsid w:val="002E04BD"/>
    <w:rsid w:val="002E6368"/>
    <w:rsid w:val="002F270C"/>
    <w:rsid w:val="00301509"/>
    <w:rsid w:val="003030FF"/>
    <w:rsid w:val="0031083B"/>
    <w:rsid w:val="00311C7A"/>
    <w:rsid w:val="00313175"/>
    <w:rsid w:val="00315BC1"/>
    <w:rsid w:val="0031627D"/>
    <w:rsid w:val="00316B06"/>
    <w:rsid w:val="003203F3"/>
    <w:rsid w:val="00323BEA"/>
    <w:rsid w:val="00326346"/>
    <w:rsid w:val="00326764"/>
    <w:rsid w:val="003279D6"/>
    <w:rsid w:val="00330CBF"/>
    <w:rsid w:val="003326F7"/>
    <w:rsid w:val="00334E72"/>
    <w:rsid w:val="003352EE"/>
    <w:rsid w:val="00335C72"/>
    <w:rsid w:val="003401BF"/>
    <w:rsid w:val="00344CAB"/>
    <w:rsid w:val="00346030"/>
    <w:rsid w:val="0034603D"/>
    <w:rsid w:val="00346846"/>
    <w:rsid w:val="003511DE"/>
    <w:rsid w:val="003553ED"/>
    <w:rsid w:val="00356535"/>
    <w:rsid w:val="003603BC"/>
    <w:rsid w:val="00360FD1"/>
    <w:rsid w:val="00361012"/>
    <w:rsid w:val="00363BB5"/>
    <w:rsid w:val="003707B7"/>
    <w:rsid w:val="00370A0E"/>
    <w:rsid w:val="0037194B"/>
    <w:rsid w:val="00371CF4"/>
    <w:rsid w:val="003739D6"/>
    <w:rsid w:val="00375576"/>
    <w:rsid w:val="00376230"/>
    <w:rsid w:val="003774A7"/>
    <w:rsid w:val="00380D4A"/>
    <w:rsid w:val="003857B4"/>
    <w:rsid w:val="00391F3A"/>
    <w:rsid w:val="003929F5"/>
    <w:rsid w:val="0039752B"/>
    <w:rsid w:val="00397FC8"/>
    <w:rsid w:val="003A02A7"/>
    <w:rsid w:val="003A2DEC"/>
    <w:rsid w:val="003A3542"/>
    <w:rsid w:val="003A3C74"/>
    <w:rsid w:val="003A4382"/>
    <w:rsid w:val="003A589F"/>
    <w:rsid w:val="003A6B8A"/>
    <w:rsid w:val="003A7E8A"/>
    <w:rsid w:val="003B116D"/>
    <w:rsid w:val="003B11B6"/>
    <w:rsid w:val="003B3D36"/>
    <w:rsid w:val="003B50E4"/>
    <w:rsid w:val="003C521A"/>
    <w:rsid w:val="003C5632"/>
    <w:rsid w:val="003C591B"/>
    <w:rsid w:val="003C595F"/>
    <w:rsid w:val="003D0577"/>
    <w:rsid w:val="003D2B3D"/>
    <w:rsid w:val="003D3104"/>
    <w:rsid w:val="003E364C"/>
    <w:rsid w:val="003E3F7C"/>
    <w:rsid w:val="003E4497"/>
    <w:rsid w:val="003E4A1B"/>
    <w:rsid w:val="003F1833"/>
    <w:rsid w:val="003F329C"/>
    <w:rsid w:val="003F4AB6"/>
    <w:rsid w:val="003F58AC"/>
    <w:rsid w:val="003F6909"/>
    <w:rsid w:val="003F69F4"/>
    <w:rsid w:val="00401B18"/>
    <w:rsid w:val="00403CE2"/>
    <w:rsid w:val="00404843"/>
    <w:rsid w:val="004067A5"/>
    <w:rsid w:val="00406D6E"/>
    <w:rsid w:val="004121B8"/>
    <w:rsid w:val="00422874"/>
    <w:rsid w:val="00423948"/>
    <w:rsid w:val="00423963"/>
    <w:rsid w:val="00426125"/>
    <w:rsid w:val="00432555"/>
    <w:rsid w:val="00437A19"/>
    <w:rsid w:val="00440398"/>
    <w:rsid w:val="00440735"/>
    <w:rsid w:val="004421F7"/>
    <w:rsid w:val="00442BEB"/>
    <w:rsid w:val="00443822"/>
    <w:rsid w:val="00443D9F"/>
    <w:rsid w:val="00444630"/>
    <w:rsid w:val="00450B7D"/>
    <w:rsid w:val="00451A96"/>
    <w:rsid w:val="00453429"/>
    <w:rsid w:val="00454A21"/>
    <w:rsid w:val="00456ABD"/>
    <w:rsid w:val="00456BF5"/>
    <w:rsid w:val="00456D91"/>
    <w:rsid w:val="00464830"/>
    <w:rsid w:val="00464DA4"/>
    <w:rsid w:val="0046545B"/>
    <w:rsid w:val="0047093A"/>
    <w:rsid w:val="00472845"/>
    <w:rsid w:val="004827F9"/>
    <w:rsid w:val="004844E7"/>
    <w:rsid w:val="00484F02"/>
    <w:rsid w:val="004869CA"/>
    <w:rsid w:val="004910F0"/>
    <w:rsid w:val="00491B60"/>
    <w:rsid w:val="00492880"/>
    <w:rsid w:val="0049303B"/>
    <w:rsid w:val="004974E9"/>
    <w:rsid w:val="004A00FB"/>
    <w:rsid w:val="004A09A4"/>
    <w:rsid w:val="004A41C5"/>
    <w:rsid w:val="004A6775"/>
    <w:rsid w:val="004B0EE1"/>
    <w:rsid w:val="004B3E7D"/>
    <w:rsid w:val="004B7592"/>
    <w:rsid w:val="004C45AC"/>
    <w:rsid w:val="004C5BB0"/>
    <w:rsid w:val="004C67F0"/>
    <w:rsid w:val="004D003B"/>
    <w:rsid w:val="004D0B75"/>
    <w:rsid w:val="004D5A13"/>
    <w:rsid w:val="004D733D"/>
    <w:rsid w:val="004D7790"/>
    <w:rsid w:val="004E03CB"/>
    <w:rsid w:val="004E09C6"/>
    <w:rsid w:val="004E0ECD"/>
    <w:rsid w:val="004E1249"/>
    <w:rsid w:val="004E132C"/>
    <w:rsid w:val="004E4441"/>
    <w:rsid w:val="004E515F"/>
    <w:rsid w:val="004E576B"/>
    <w:rsid w:val="004F7AD5"/>
    <w:rsid w:val="005010AF"/>
    <w:rsid w:val="00505C09"/>
    <w:rsid w:val="00507727"/>
    <w:rsid w:val="00507860"/>
    <w:rsid w:val="00511554"/>
    <w:rsid w:val="0051222B"/>
    <w:rsid w:val="00521A8B"/>
    <w:rsid w:val="00522978"/>
    <w:rsid w:val="00522EBF"/>
    <w:rsid w:val="00523549"/>
    <w:rsid w:val="00523BCF"/>
    <w:rsid w:val="00525B3A"/>
    <w:rsid w:val="00530048"/>
    <w:rsid w:val="00531C0A"/>
    <w:rsid w:val="00533388"/>
    <w:rsid w:val="005342B3"/>
    <w:rsid w:val="005366C8"/>
    <w:rsid w:val="00541883"/>
    <w:rsid w:val="00544B2F"/>
    <w:rsid w:val="005464BF"/>
    <w:rsid w:val="00553E47"/>
    <w:rsid w:val="005546CF"/>
    <w:rsid w:val="00561D56"/>
    <w:rsid w:val="00562102"/>
    <w:rsid w:val="005721F1"/>
    <w:rsid w:val="00572291"/>
    <w:rsid w:val="00573F2E"/>
    <w:rsid w:val="0057575D"/>
    <w:rsid w:val="0057594F"/>
    <w:rsid w:val="005761F6"/>
    <w:rsid w:val="00576AE4"/>
    <w:rsid w:val="00576C06"/>
    <w:rsid w:val="005805DC"/>
    <w:rsid w:val="00587B05"/>
    <w:rsid w:val="00592C6D"/>
    <w:rsid w:val="00593282"/>
    <w:rsid w:val="005A2127"/>
    <w:rsid w:val="005A4274"/>
    <w:rsid w:val="005A59D6"/>
    <w:rsid w:val="005B0B04"/>
    <w:rsid w:val="005B202E"/>
    <w:rsid w:val="005B23CF"/>
    <w:rsid w:val="005B3667"/>
    <w:rsid w:val="005B393C"/>
    <w:rsid w:val="005B6333"/>
    <w:rsid w:val="005C01C8"/>
    <w:rsid w:val="005C4739"/>
    <w:rsid w:val="005D19E4"/>
    <w:rsid w:val="005D5738"/>
    <w:rsid w:val="005D6A08"/>
    <w:rsid w:val="005D78F7"/>
    <w:rsid w:val="005D7F58"/>
    <w:rsid w:val="005E3D41"/>
    <w:rsid w:val="005F0E44"/>
    <w:rsid w:val="005F3443"/>
    <w:rsid w:val="005F4EA7"/>
    <w:rsid w:val="005F6DE5"/>
    <w:rsid w:val="005F77FF"/>
    <w:rsid w:val="006023C6"/>
    <w:rsid w:val="0060479B"/>
    <w:rsid w:val="006049BB"/>
    <w:rsid w:val="00607368"/>
    <w:rsid w:val="00607502"/>
    <w:rsid w:val="0061570D"/>
    <w:rsid w:val="0061686E"/>
    <w:rsid w:val="00617A1D"/>
    <w:rsid w:val="00617BA0"/>
    <w:rsid w:val="006202F6"/>
    <w:rsid w:val="00622031"/>
    <w:rsid w:val="00625C9B"/>
    <w:rsid w:val="00626765"/>
    <w:rsid w:val="00627E3F"/>
    <w:rsid w:val="00630D8D"/>
    <w:rsid w:val="0063162E"/>
    <w:rsid w:val="006371B8"/>
    <w:rsid w:val="006402AE"/>
    <w:rsid w:val="006420B1"/>
    <w:rsid w:val="006428B9"/>
    <w:rsid w:val="006437DA"/>
    <w:rsid w:val="00644364"/>
    <w:rsid w:val="0064535D"/>
    <w:rsid w:val="00645F93"/>
    <w:rsid w:val="00647F00"/>
    <w:rsid w:val="0065183E"/>
    <w:rsid w:val="00652144"/>
    <w:rsid w:val="0065226F"/>
    <w:rsid w:val="00654F11"/>
    <w:rsid w:val="00655C2D"/>
    <w:rsid w:val="00662735"/>
    <w:rsid w:val="00667BE0"/>
    <w:rsid w:val="00667BF2"/>
    <w:rsid w:val="006705EE"/>
    <w:rsid w:val="00671B06"/>
    <w:rsid w:val="00671B72"/>
    <w:rsid w:val="006721E8"/>
    <w:rsid w:val="00673299"/>
    <w:rsid w:val="006739DD"/>
    <w:rsid w:val="006742C2"/>
    <w:rsid w:val="006769F2"/>
    <w:rsid w:val="00681F76"/>
    <w:rsid w:val="00682078"/>
    <w:rsid w:val="006861CC"/>
    <w:rsid w:val="0068663C"/>
    <w:rsid w:val="0069076F"/>
    <w:rsid w:val="00690CB4"/>
    <w:rsid w:val="00692207"/>
    <w:rsid w:val="00694740"/>
    <w:rsid w:val="006962C0"/>
    <w:rsid w:val="00696A77"/>
    <w:rsid w:val="006A3DEB"/>
    <w:rsid w:val="006A7C0F"/>
    <w:rsid w:val="006B047E"/>
    <w:rsid w:val="006B12E1"/>
    <w:rsid w:val="006B197A"/>
    <w:rsid w:val="006B5157"/>
    <w:rsid w:val="006B5CF0"/>
    <w:rsid w:val="006B69F3"/>
    <w:rsid w:val="006B6A85"/>
    <w:rsid w:val="006B7562"/>
    <w:rsid w:val="006C05A9"/>
    <w:rsid w:val="006C0F6F"/>
    <w:rsid w:val="006C3B5E"/>
    <w:rsid w:val="006C4321"/>
    <w:rsid w:val="006D1091"/>
    <w:rsid w:val="006D34F7"/>
    <w:rsid w:val="006D5017"/>
    <w:rsid w:val="006D61BE"/>
    <w:rsid w:val="006D759A"/>
    <w:rsid w:val="006E0F48"/>
    <w:rsid w:val="006E7855"/>
    <w:rsid w:val="006F0669"/>
    <w:rsid w:val="006F2D13"/>
    <w:rsid w:val="006F3256"/>
    <w:rsid w:val="006F3DAF"/>
    <w:rsid w:val="006F4FAF"/>
    <w:rsid w:val="006F6AD4"/>
    <w:rsid w:val="006F72BC"/>
    <w:rsid w:val="00705905"/>
    <w:rsid w:val="00706AF2"/>
    <w:rsid w:val="0071167D"/>
    <w:rsid w:val="0072745E"/>
    <w:rsid w:val="0073007C"/>
    <w:rsid w:val="007300DF"/>
    <w:rsid w:val="0073423F"/>
    <w:rsid w:val="00734A78"/>
    <w:rsid w:val="00735D79"/>
    <w:rsid w:val="007367A9"/>
    <w:rsid w:val="00740884"/>
    <w:rsid w:val="007423C7"/>
    <w:rsid w:val="007453E1"/>
    <w:rsid w:val="00747A8F"/>
    <w:rsid w:val="00755417"/>
    <w:rsid w:val="00755721"/>
    <w:rsid w:val="00755D04"/>
    <w:rsid w:val="00757153"/>
    <w:rsid w:val="00757881"/>
    <w:rsid w:val="00764833"/>
    <w:rsid w:val="00764EF2"/>
    <w:rsid w:val="00765577"/>
    <w:rsid w:val="00766E0C"/>
    <w:rsid w:val="00770DA9"/>
    <w:rsid w:val="00770FD5"/>
    <w:rsid w:val="007721B1"/>
    <w:rsid w:val="007800FD"/>
    <w:rsid w:val="00781A46"/>
    <w:rsid w:val="007835D1"/>
    <w:rsid w:val="00784995"/>
    <w:rsid w:val="00786098"/>
    <w:rsid w:val="00787413"/>
    <w:rsid w:val="007904AA"/>
    <w:rsid w:val="007908F3"/>
    <w:rsid w:val="007957F8"/>
    <w:rsid w:val="00795977"/>
    <w:rsid w:val="00795BEA"/>
    <w:rsid w:val="00797E51"/>
    <w:rsid w:val="007A017A"/>
    <w:rsid w:val="007A29B0"/>
    <w:rsid w:val="007A59A1"/>
    <w:rsid w:val="007A66B3"/>
    <w:rsid w:val="007A72AC"/>
    <w:rsid w:val="007B038E"/>
    <w:rsid w:val="007B2593"/>
    <w:rsid w:val="007C138C"/>
    <w:rsid w:val="007C2889"/>
    <w:rsid w:val="007C480A"/>
    <w:rsid w:val="007C5F19"/>
    <w:rsid w:val="007C6101"/>
    <w:rsid w:val="007D4B2C"/>
    <w:rsid w:val="007E0190"/>
    <w:rsid w:val="007E0B7D"/>
    <w:rsid w:val="007E1AA0"/>
    <w:rsid w:val="007E1C97"/>
    <w:rsid w:val="007E4D88"/>
    <w:rsid w:val="00800505"/>
    <w:rsid w:val="0080206A"/>
    <w:rsid w:val="00803CFC"/>
    <w:rsid w:val="00805B45"/>
    <w:rsid w:val="00806462"/>
    <w:rsid w:val="008130F3"/>
    <w:rsid w:val="008212B3"/>
    <w:rsid w:val="00821D6D"/>
    <w:rsid w:val="0082389B"/>
    <w:rsid w:val="00825312"/>
    <w:rsid w:val="008268FB"/>
    <w:rsid w:val="00831211"/>
    <w:rsid w:val="00832BC2"/>
    <w:rsid w:val="0083571F"/>
    <w:rsid w:val="00842DE1"/>
    <w:rsid w:val="00842DEF"/>
    <w:rsid w:val="008456F2"/>
    <w:rsid w:val="008458C7"/>
    <w:rsid w:val="0084614A"/>
    <w:rsid w:val="00847D5E"/>
    <w:rsid w:val="008511D7"/>
    <w:rsid w:val="00852E9A"/>
    <w:rsid w:val="00853B70"/>
    <w:rsid w:val="00854EC2"/>
    <w:rsid w:val="008577DB"/>
    <w:rsid w:val="00862D81"/>
    <w:rsid w:val="00863AA0"/>
    <w:rsid w:val="00865A3D"/>
    <w:rsid w:val="00872F35"/>
    <w:rsid w:val="00876828"/>
    <w:rsid w:val="00876C9A"/>
    <w:rsid w:val="0087729D"/>
    <w:rsid w:val="008772F4"/>
    <w:rsid w:val="00877E04"/>
    <w:rsid w:val="00881DB5"/>
    <w:rsid w:val="00882054"/>
    <w:rsid w:val="008836D9"/>
    <w:rsid w:val="00884B0D"/>
    <w:rsid w:val="0089063B"/>
    <w:rsid w:val="008927B5"/>
    <w:rsid w:val="00897715"/>
    <w:rsid w:val="008977D5"/>
    <w:rsid w:val="008A21F4"/>
    <w:rsid w:val="008A2F8F"/>
    <w:rsid w:val="008A3A1A"/>
    <w:rsid w:val="008A4E18"/>
    <w:rsid w:val="008B0697"/>
    <w:rsid w:val="008B16F0"/>
    <w:rsid w:val="008B3BF9"/>
    <w:rsid w:val="008B6F83"/>
    <w:rsid w:val="008C041A"/>
    <w:rsid w:val="008C15AC"/>
    <w:rsid w:val="008C1702"/>
    <w:rsid w:val="008C3525"/>
    <w:rsid w:val="008C49E5"/>
    <w:rsid w:val="008C7F02"/>
    <w:rsid w:val="008D25B6"/>
    <w:rsid w:val="008E208C"/>
    <w:rsid w:val="008E6867"/>
    <w:rsid w:val="008E6F7D"/>
    <w:rsid w:val="008E71E8"/>
    <w:rsid w:val="008F0BCD"/>
    <w:rsid w:val="008F1BE9"/>
    <w:rsid w:val="008F3D3D"/>
    <w:rsid w:val="008F449E"/>
    <w:rsid w:val="008F484E"/>
    <w:rsid w:val="00900132"/>
    <w:rsid w:val="0090105C"/>
    <w:rsid w:val="00902985"/>
    <w:rsid w:val="00902C67"/>
    <w:rsid w:val="00905083"/>
    <w:rsid w:val="00911833"/>
    <w:rsid w:val="00913873"/>
    <w:rsid w:val="0091567A"/>
    <w:rsid w:val="00916D53"/>
    <w:rsid w:val="009171B3"/>
    <w:rsid w:val="00922AA0"/>
    <w:rsid w:val="00924396"/>
    <w:rsid w:val="00925F3E"/>
    <w:rsid w:val="00927884"/>
    <w:rsid w:val="009300D0"/>
    <w:rsid w:val="00930B30"/>
    <w:rsid w:val="009406AB"/>
    <w:rsid w:val="00940D55"/>
    <w:rsid w:val="00952A06"/>
    <w:rsid w:val="009551DC"/>
    <w:rsid w:val="009573FB"/>
    <w:rsid w:val="00957E3E"/>
    <w:rsid w:val="00960692"/>
    <w:rsid w:val="00964141"/>
    <w:rsid w:val="00965F87"/>
    <w:rsid w:val="00971537"/>
    <w:rsid w:val="009730A7"/>
    <w:rsid w:val="0097448F"/>
    <w:rsid w:val="00977BB8"/>
    <w:rsid w:val="00982504"/>
    <w:rsid w:val="00982CEF"/>
    <w:rsid w:val="00987072"/>
    <w:rsid w:val="009877C6"/>
    <w:rsid w:val="00990D28"/>
    <w:rsid w:val="00992104"/>
    <w:rsid w:val="00992C4B"/>
    <w:rsid w:val="00994936"/>
    <w:rsid w:val="00994D62"/>
    <w:rsid w:val="009950F3"/>
    <w:rsid w:val="009959E4"/>
    <w:rsid w:val="00995B46"/>
    <w:rsid w:val="00997C3D"/>
    <w:rsid w:val="009A0956"/>
    <w:rsid w:val="009A249B"/>
    <w:rsid w:val="009A25D1"/>
    <w:rsid w:val="009A2D87"/>
    <w:rsid w:val="009A49CA"/>
    <w:rsid w:val="009A4B6A"/>
    <w:rsid w:val="009A64A1"/>
    <w:rsid w:val="009A7235"/>
    <w:rsid w:val="009B06D7"/>
    <w:rsid w:val="009B1886"/>
    <w:rsid w:val="009B1BDD"/>
    <w:rsid w:val="009B51B5"/>
    <w:rsid w:val="009B584F"/>
    <w:rsid w:val="009B7BE5"/>
    <w:rsid w:val="009B7F84"/>
    <w:rsid w:val="009C0DF3"/>
    <w:rsid w:val="009C3077"/>
    <w:rsid w:val="009C69D4"/>
    <w:rsid w:val="009C707D"/>
    <w:rsid w:val="009D2064"/>
    <w:rsid w:val="009D3CCE"/>
    <w:rsid w:val="009D4562"/>
    <w:rsid w:val="009D77B6"/>
    <w:rsid w:val="009E0DFC"/>
    <w:rsid w:val="009F0104"/>
    <w:rsid w:val="009F094C"/>
    <w:rsid w:val="009F19D7"/>
    <w:rsid w:val="009F21C9"/>
    <w:rsid w:val="009F2C8A"/>
    <w:rsid w:val="009F7C18"/>
    <w:rsid w:val="009F7D7F"/>
    <w:rsid w:val="00A0061B"/>
    <w:rsid w:val="00A048CD"/>
    <w:rsid w:val="00A05156"/>
    <w:rsid w:val="00A072E8"/>
    <w:rsid w:val="00A1014D"/>
    <w:rsid w:val="00A122C0"/>
    <w:rsid w:val="00A21387"/>
    <w:rsid w:val="00A23770"/>
    <w:rsid w:val="00A240F3"/>
    <w:rsid w:val="00A25AAE"/>
    <w:rsid w:val="00A26C10"/>
    <w:rsid w:val="00A340A8"/>
    <w:rsid w:val="00A34BD8"/>
    <w:rsid w:val="00A35B90"/>
    <w:rsid w:val="00A37B07"/>
    <w:rsid w:val="00A40325"/>
    <w:rsid w:val="00A422BD"/>
    <w:rsid w:val="00A44155"/>
    <w:rsid w:val="00A4520D"/>
    <w:rsid w:val="00A45CBF"/>
    <w:rsid w:val="00A469C1"/>
    <w:rsid w:val="00A520BB"/>
    <w:rsid w:val="00A536B2"/>
    <w:rsid w:val="00A54ACF"/>
    <w:rsid w:val="00A5663F"/>
    <w:rsid w:val="00A61062"/>
    <w:rsid w:val="00A61FB5"/>
    <w:rsid w:val="00A6342C"/>
    <w:rsid w:val="00A639E7"/>
    <w:rsid w:val="00A673CB"/>
    <w:rsid w:val="00A718FB"/>
    <w:rsid w:val="00A75535"/>
    <w:rsid w:val="00A765A3"/>
    <w:rsid w:val="00A80831"/>
    <w:rsid w:val="00A853FD"/>
    <w:rsid w:val="00A8611C"/>
    <w:rsid w:val="00A86E0E"/>
    <w:rsid w:val="00A874FF"/>
    <w:rsid w:val="00A90779"/>
    <w:rsid w:val="00A91A17"/>
    <w:rsid w:val="00A92EF7"/>
    <w:rsid w:val="00A93670"/>
    <w:rsid w:val="00A95292"/>
    <w:rsid w:val="00AA16F0"/>
    <w:rsid w:val="00AA1D18"/>
    <w:rsid w:val="00AA1DD8"/>
    <w:rsid w:val="00AA20FB"/>
    <w:rsid w:val="00AA2D21"/>
    <w:rsid w:val="00AA3964"/>
    <w:rsid w:val="00AA3EF6"/>
    <w:rsid w:val="00AA5447"/>
    <w:rsid w:val="00AA5467"/>
    <w:rsid w:val="00AB184E"/>
    <w:rsid w:val="00AB4EBF"/>
    <w:rsid w:val="00AC026A"/>
    <w:rsid w:val="00AC25F2"/>
    <w:rsid w:val="00AC69AD"/>
    <w:rsid w:val="00AC6EFC"/>
    <w:rsid w:val="00AD1BFF"/>
    <w:rsid w:val="00AD2049"/>
    <w:rsid w:val="00AD5C98"/>
    <w:rsid w:val="00AD6C7E"/>
    <w:rsid w:val="00AE2A3F"/>
    <w:rsid w:val="00AE388B"/>
    <w:rsid w:val="00AE38E8"/>
    <w:rsid w:val="00AE3C57"/>
    <w:rsid w:val="00AE7236"/>
    <w:rsid w:val="00AF0321"/>
    <w:rsid w:val="00AF1FCA"/>
    <w:rsid w:val="00AF339D"/>
    <w:rsid w:val="00AF38F2"/>
    <w:rsid w:val="00AF4A35"/>
    <w:rsid w:val="00AF4F13"/>
    <w:rsid w:val="00AF53FB"/>
    <w:rsid w:val="00AF75D1"/>
    <w:rsid w:val="00B00BAC"/>
    <w:rsid w:val="00B06B8A"/>
    <w:rsid w:val="00B12838"/>
    <w:rsid w:val="00B13067"/>
    <w:rsid w:val="00B13425"/>
    <w:rsid w:val="00B15CF1"/>
    <w:rsid w:val="00B2007A"/>
    <w:rsid w:val="00B21775"/>
    <w:rsid w:val="00B237A0"/>
    <w:rsid w:val="00B24737"/>
    <w:rsid w:val="00B24A1D"/>
    <w:rsid w:val="00B25429"/>
    <w:rsid w:val="00B25A03"/>
    <w:rsid w:val="00B312BE"/>
    <w:rsid w:val="00B323D8"/>
    <w:rsid w:val="00B33368"/>
    <w:rsid w:val="00B35EB3"/>
    <w:rsid w:val="00B363B7"/>
    <w:rsid w:val="00B3713A"/>
    <w:rsid w:val="00B40FB2"/>
    <w:rsid w:val="00B428C6"/>
    <w:rsid w:val="00B43467"/>
    <w:rsid w:val="00B44EDE"/>
    <w:rsid w:val="00B453EB"/>
    <w:rsid w:val="00B47E3C"/>
    <w:rsid w:val="00B47F3F"/>
    <w:rsid w:val="00B5376A"/>
    <w:rsid w:val="00B6318A"/>
    <w:rsid w:val="00B76622"/>
    <w:rsid w:val="00B80FC5"/>
    <w:rsid w:val="00B82D8C"/>
    <w:rsid w:val="00B85FB3"/>
    <w:rsid w:val="00B91677"/>
    <w:rsid w:val="00B94750"/>
    <w:rsid w:val="00B96A39"/>
    <w:rsid w:val="00BA4E37"/>
    <w:rsid w:val="00BA704B"/>
    <w:rsid w:val="00BB0641"/>
    <w:rsid w:val="00BB1366"/>
    <w:rsid w:val="00BB1505"/>
    <w:rsid w:val="00BB51C9"/>
    <w:rsid w:val="00BB70A1"/>
    <w:rsid w:val="00BB79EE"/>
    <w:rsid w:val="00BB7E32"/>
    <w:rsid w:val="00BC0481"/>
    <w:rsid w:val="00BC426D"/>
    <w:rsid w:val="00BC546D"/>
    <w:rsid w:val="00BC5F83"/>
    <w:rsid w:val="00BC7136"/>
    <w:rsid w:val="00BD0051"/>
    <w:rsid w:val="00BD1921"/>
    <w:rsid w:val="00BD51BA"/>
    <w:rsid w:val="00BD64C3"/>
    <w:rsid w:val="00BE1B29"/>
    <w:rsid w:val="00BE593B"/>
    <w:rsid w:val="00BE60A7"/>
    <w:rsid w:val="00BE7C8F"/>
    <w:rsid w:val="00BF53DD"/>
    <w:rsid w:val="00C01457"/>
    <w:rsid w:val="00C01CC5"/>
    <w:rsid w:val="00C0590E"/>
    <w:rsid w:val="00C05F1F"/>
    <w:rsid w:val="00C1091F"/>
    <w:rsid w:val="00C122DD"/>
    <w:rsid w:val="00C12BEC"/>
    <w:rsid w:val="00C16B8C"/>
    <w:rsid w:val="00C17164"/>
    <w:rsid w:val="00C177E3"/>
    <w:rsid w:val="00C17B4B"/>
    <w:rsid w:val="00C229FA"/>
    <w:rsid w:val="00C278C9"/>
    <w:rsid w:val="00C300C5"/>
    <w:rsid w:val="00C30A69"/>
    <w:rsid w:val="00C3426A"/>
    <w:rsid w:val="00C375AD"/>
    <w:rsid w:val="00C377C1"/>
    <w:rsid w:val="00C378EE"/>
    <w:rsid w:val="00C41318"/>
    <w:rsid w:val="00C42ABB"/>
    <w:rsid w:val="00C4358B"/>
    <w:rsid w:val="00C5219D"/>
    <w:rsid w:val="00C53826"/>
    <w:rsid w:val="00C55A21"/>
    <w:rsid w:val="00C56054"/>
    <w:rsid w:val="00C60C5B"/>
    <w:rsid w:val="00C70C0B"/>
    <w:rsid w:val="00C72DF6"/>
    <w:rsid w:val="00C758A7"/>
    <w:rsid w:val="00C765CF"/>
    <w:rsid w:val="00C77C0F"/>
    <w:rsid w:val="00C80AA2"/>
    <w:rsid w:val="00C8114A"/>
    <w:rsid w:val="00C81C9C"/>
    <w:rsid w:val="00C81ECB"/>
    <w:rsid w:val="00C86381"/>
    <w:rsid w:val="00C904A6"/>
    <w:rsid w:val="00C92C8D"/>
    <w:rsid w:val="00C93CDA"/>
    <w:rsid w:val="00C93FC8"/>
    <w:rsid w:val="00C95C65"/>
    <w:rsid w:val="00C97BCE"/>
    <w:rsid w:val="00CA4490"/>
    <w:rsid w:val="00CA5C45"/>
    <w:rsid w:val="00CB2D3A"/>
    <w:rsid w:val="00CB55F4"/>
    <w:rsid w:val="00CB6C58"/>
    <w:rsid w:val="00CC41F3"/>
    <w:rsid w:val="00CC5BAE"/>
    <w:rsid w:val="00CD53FB"/>
    <w:rsid w:val="00CE1FA4"/>
    <w:rsid w:val="00CE3B12"/>
    <w:rsid w:val="00CE4788"/>
    <w:rsid w:val="00CE728E"/>
    <w:rsid w:val="00CE7E52"/>
    <w:rsid w:val="00CF258B"/>
    <w:rsid w:val="00CF412A"/>
    <w:rsid w:val="00CF69D2"/>
    <w:rsid w:val="00CF79C9"/>
    <w:rsid w:val="00D0135B"/>
    <w:rsid w:val="00D01EE9"/>
    <w:rsid w:val="00D02942"/>
    <w:rsid w:val="00D04949"/>
    <w:rsid w:val="00D06920"/>
    <w:rsid w:val="00D07F36"/>
    <w:rsid w:val="00D1367E"/>
    <w:rsid w:val="00D145AE"/>
    <w:rsid w:val="00D1673B"/>
    <w:rsid w:val="00D17066"/>
    <w:rsid w:val="00D21B37"/>
    <w:rsid w:val="00D236AE"/>
    <w:rsid w:val="00D24091"/>
    <w:rsid w:val="00D2613B"/>
    <w:rsid w:val="00D277F0"/>
    <w:rsid w:val="00D30095"/>
    <w:rsid w:val="00D3088C"/>
    <w:rsid w:val="00D32AD2"/>
    <w:rsid w:val="00D3300E"/>
    <w:rsid w:val="00D36DE5"/>
    <w:rsid w:val="00D370CA"/>
    <w:rsid w:val="00D40E96"/>
    <w:rsid w:val="00D41605"/>
    <w:rsid w:val="00D45E4E"/>
    <w:rsid w:val="00D479E6"/>
    <w:rsid w:val="00D50300"/>
    <w:rsid w:val="00D50CFF"/>
    <w:rsid w:val="00D5310D"/>
    <w:rsid w:val="00D53E75"/>
    <w:rsid w:val="00D600DC"/>
    <w:rsid w:val="00D6106F"/>
    <w:rsid w:val="00D614C4"/>
    <w:rsid w:val="00D61A65"/>
    <w:rsid w:val="00D65B30"/>
    <w:rsid w:val="00D67668"/>
    <w:rsid w:val="00D73742"/>
    <w:rsid w:val="00D74114"/>
    <w:rsid w:val="00D745CD"/>
    <w:rsid w:val="00D76E4A"/>
    <w:rsid w:val="00D77364"/>
    <w:rsid w:val="00D81E49"/>
    <w:rsid w:val="00D84CDA"/>
    <w:rsid w:val="00D85118"/>
    <w:rsid w:val="00D85BCC"/>
    <w:rsid w:val="00D86935"/>
    <w:rsid w:val="00D87193"/>
    <w:rsid w:val="00D9041B"/>
    <w:rsid w:val="00D94278"/>
    <w:rsid w:val="00D95AE6"/>
    <w:rsid w:val="00D96B56"/>
    <w:rsid w:val="00D979EB"/>
    <w:rsid w:val="00DA009F"/>
    <w:rsid w:val="00DA5E88"/>
    <w:rsid w:val="00DB0B1F"/>
    <w:rsid w:val="00DB1F82"/>
    <w:rsid w:val="00DB3798"/>
    <w:rsid w:val="00DB3E40"/>
    <w:rsid w:val="00DB6F7E"/>
    <w:rsid w:val="00DB7C0C"/>
    <w:rsid w:val="00DC06FF"/>
    <w:rsid w:val="00DC2752"/>
    <w:rsid w:val="00DC349E"/>
    <w:rsid w:val="00DC42EE"/>
    <w:rsid w:val="00DD0A69"/>
    <w:rsid w:val="00DD258B"/>
    <w:rsid w:val="00DD6DCA"/>
    <w:rsid w:val="00DD7F7F"/>
    <w:rsid w:val="00DE5394"/>
    <w:rsid w:val="00DE62FF"/>
    <w:rsid w:val="00DE7114"/>
    <w:rsid w:val="00DE7A25"/>
    <w:rsid w:val="00DF36D7"/>
    <w:rsid w:val="00DF4DF2"/>
    <w:rsid w:val="00DF5EE4"/>
    <w:rsid w:val="00DF6D8C"/>
    <w:rsid w:val="00E05681"/>
    <w:rsid w:val="00E10747"/>
    <w:rsid w:val="00E10A27"/>
    <w:rsid w:val="00E10D9B"/>
    <w:rsid w:val="00E11076"/>
    <w:rsid w:val="00E117F3"/>
    <w:rsid w:val="00E1197C"/>
    <w:rsid w:val="00E126E8"/>
    <w:rsid w:val="00E16C71"/>
    <w:rsid w:val="00E201BF"/>
    <w:rsid w:val="00E220D5"/>
    <w:rsid w:val="00E239EC"/>
    <w:rsid w:val="00E24249"/>
    <w:rsid w:val="00E26001"/>
    <w:rsid w:val="00E276CD"/>
    <w:rsid w:val="00E27BCD"/>
    <w:rsid w:val="00E318C6"/>
    <w:rsid w:val="00E34A75"/>
    <w:rsid w:val="00E34EA4"/>
    <w:rsid w:val="00E36648"/>
    <w:rsid w:val="00E36C24"/>
    <w:rsid w:val="00E4154F"/>
    <w:rsid w:val="00E42D22"/>
    <w:rsid w:val="00E42E4E"/>
    <w:rsid w:val="00E43AA7"/>
    <w:rsid w:val="00E4476C"/>
    <w:rsid w:val="00E458B3"/>
    <w:rsid w:val="00E4687F"/>
    <w:rsid w:val="00E47098"/>
    <w:rsid w:val="00E53383"/>
    <w:rsid w:val="00E551B5"/>
    <w:rsid w:val="00E570B6"/>
    <w:rsid w:val="00E571BA"/>
    <w:rsid w:val="00E574E0"/>
    <w:rsid w:val="00E61B85"/>
    <w:rsid w:val="00E62F31"/>
    <w:rsid w:val="00E6384A"/>
    <w:rsid w:val="00E64F59"/>
    <w:rsid w:val="00E6502C"/>
    <w:rsid w:val="00E6754D"/>
    <w:rsid w:val="00E70B15"/>
    <w:rsid w:val="00E7150C"/>
    <w:rsid w:val="00E74184"/>
    <w:rsid w:val="00E77351"/>
    <w:rsid w:val="00E801C8"/>
    <w:rsid w:val="00E80F56"/>
    <w:rsid w:val="00E83946"/>
    <w:rsid w:val="00E84BEB"/>
    <w:rsid w:val="00E84D6C"/>
    <w:rsid w:val="00E85357"/>
    <w:rsid w:val="00E85F0D"/>
    <w:rsid w:val="00E87556"/>
    <w:rsid w:val="00E92E34"/>
    <w:rsid w:val="00E94F1E"/>
    <w:rsid w:val="00E977BB"/>
    <w:rsid w:val="00EA2ECB"/>
    <w:rsid w:val="00EA3F03"/>
    <w:rsid w:val="00EA7486"/>
    <w:rsid w:val="00EB2984"/>
    <w:rsid w:val="00EB4E75"/>
    <w:rsid w:val="00EB5E65"/>
    <w:rsid w:val="00EC0FC2"/>
    <w:rsid w:val="00EC23A7"/>
    <w:rsid w:val="00EC25F8"/>
    <w:rsid w:val="00EC3075"/>
    <w:rsid w:val="00EC36FD"/>
    <w:rsid w:val="00EC48E4"/>
    <w:rsid w:val="00ED2EA8"/>
    <w:rsid w:val="00ED4EC1"/>
    <w:rsid w:val="00ED6FE2"/>
    <w:rsid w:val="00ED709E"/>
    <w:rsid w:val="00ED78E8"/>
    <w:rsid w:val="00EE0438"/>
    <w:rsid w:val="00EE080B"/>
    <w:rsid w:val="00EE1CDE"/>
    <w:rsid w:val="00EE20C0"/>
    <w:rsid w:val="00EE3A17"/>
    <w:rsid w:val="00EE3DF6"/>
    <w:rsid w:val="00EE3FB0"/>
    <w:rsid w:val="00EE4492"/>
    <w:rsid w:val="00EE69A8"/>
    <w:rsid w:val="00EF1A66"/>
    <w:rsid w:val="00EF228B"/>
    <w:rsid w:val="00EF232A"/>
    <w:rsid w:val="00EF5C63"/>
    <w:rsid w:val="00F01139"/>
    <w:rsid w:val="00F02F07"/>
    <w:rsid w:val="00F05679"/>
    <w:rsid w:val="00F06B3B"/>
    <w:rsid w:val="00F10F42"/>
    <w:rsid w:val="00F174F7"/>
    <w:rsid w:val="00F20115"/>
    <w:rsid w:val="00F202A6"/>
    <w:rsid w:val="00F2145F"/>
    <w:rsid w:val="00F22704"/>
    <w:rsid w:val="00F2355C"/>
    <w:rsid w:val="00F25D1E"/>
    <w:rsid w:val="00F3089D"/>
    <w:rsid w:val="00F35BDB"/>
    <w:rsid w:val="00F36D25"/>
    <w:rsid w:val="00F36FF8"/>
    <w:rsid w:val="00F37A01"/>
    <w:rsid w:val="00F37A6E"/>
    <w:rsid w:val="00F431B5"/>
    <w:rsid w:val="00F43AB3"/>
    <w:rsid w:val="00F44C94"/>
    <w:rsid w:val="00F46CFF"/>
    <w:rsid w:val="00F47CD2"/>
    <w:rsid w:val="00F54FD9"/>
    <w:rsid w:val="00F552F8"/>
    <w:rsid w:val="00F5574E"/>
    <w:rsid w:val="00F5758A"/>
    <w:rsid w:val="00F616A6"/>
    <w:rsid w:val="00F61FBC"/>
    <w:rsid w:val="00F63E40"/>
    <w:rsid w:val="00F64800"/>
    <w:rsid w:val="00F64A3C"/>
    <w:rsid w:val="00F65A22"/>
    <w:rsid w:val="00F711F0"/>
    <w:rsid w:val="00F7240E"/>
    <w:rsid w:val="00F756BC"/>
    <w:rsid w:val="00F76EC3"/>
    <w:rsid w:val="00F775CA"/>
    <w:rsid w:val="00F812F2"/>
    <w:rsid w:val="00F825F7"/>
    <w:rsid w:val="00F83170"/>
    <w:rsid w:val="00F834B8"/>
    <w:rsid w:val="00F83B11"/>
    <w:rsid w:val="00F8506B"/>
    <w:rsid w:val="00F85C0A"/>
    <w:rsid w:val="00F8646A"/>
    <w:rsid w:val="00F87C7B"/>
    <w:rsid w:val="00F9043E"/>
    <w:rsid w:val="00F934B6"/>
    <w:rsid w:val="00F95361"/>
    <w:rsid w:val="00FA0763"/>
    <w:rsid w:val="00FA0FEA"/>
    <w:rsid w:val="00FA126E"/>
    <w:rsid w:val="00FA2134"/>
    <w:rsid w:val="00FA427F"/>
    <w:rsid w:val="00FA595D"/>
    <w:rsid w:val="00FA67E4"/>
    <w:rsid w:val="00FA759C"/>
    <w:rsid w:val="00FB07DE"/>
    <w:rsid w:val="00FB247E"/>
    <w:rsid w:val="00FB3130"/>
    <w:rsid w:val="00FB3960"/>
    <w:rsid w:val="00FB3A7F"/>
    <w:rsid w:val="00FB4A7D"/>
    <w:rsid w:val="00FB6271"/>
    <w:rsid w:val="00FC0CA5"/>
    <w:rsid w:val="00FC15E4"/>
    <w:rsid w:val="00FC1715"/>
    <w:rsid w:val="00FC2887"/>
    <w:rsid w:val="00FC5953"/>
    <w:rsid w:val="00FC72A8"/>
    <w:rsid w:val="00FD0568"/>
    <w:rsid w:val="00FD0F38"/>
    <w:rsid w:val="00FD46D0"/>
    <w:rsid w:val="00FD7764"/>
    <w:rsid w:val="00FE1ED9"/>
    <w:rsid w:val="00FE24E1"/>
    <w:rsid w:val="00FE35DE"/>
    <w:rsid w:val="00FE5EAD"/>
    <w:rsid w:val="00FF2917"/>
    <w:rsid w:val="00FF2FF6"/>
    <w:rsid w:val="00FF53E2"/>
    <w:rsid w:val="00FF6108"/>
    <w:rsid w:val="00FF6D01"/>
    <w:rsid w:val="00FF6FD6"/>
    <w:rsid w:val="00FF7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41FA5"/>
  <w15:chartTrackingRefBased/>
  <w15:docId w15:val="{4E7008F8-01FD-46D0-94AF-D76D5DBD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2396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2396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220D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167E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23963"/>
    <w:rPr>
      <w:b/>
      <w:bCs/>
      <w:kern w:val="44"/>
      <w:sz w:val="44"/>
      <w:szCs w:val="44"/>
    </w:rPr>
  </w:style>
  <w:style w:type="character" w:customStyle="1" w:styleId="20">
    <w:name w:val="标题 2 字符"/>
    <w:basedOn w:val="a0"/>
    <w:link w:val="2"/>
    <w:uiPriority w:val="9"/>
    <w:rsid w:val="00423963"/>
    <w:rPr>
      <w:rFonts w:asciiTheme="majorHAnsi" w:eastAsiaTheme="majorEastAsia" w:hAnsiTheme="majorHAnsi" w:cstheme="majorBidi"/>
      <w:b/>
      <w:bCs/>
      <w:sz w:val="32"/>
      <w:szCs w:val="32"/>
    </w:rPr>
  </w:style>
  <w:style w:type="paragraph" w:styleId="a3">
    <w:name w:val="Subtitle"/>
    <w:basedOn w:val="a"/>
    <w:next w:val="a"/>
    <w:link w:val="a4"/>
    <w:uiPriority w:val="11"/>
    <w:qFormat/>
    <w:rsid w:val="00423963"/>
    <w:pPr>
      <w:spacing w:before="240" w:after="60" w:line="312" w:lineRule="auto"/>
      <w:jc w:val="center"/>
      <w:outlineLvl w:val="1"/>
    </w:pPr>
    <w:rPr>
      <w:b/>
      <w:bCs/>
      <w:kern w:val="28"/>
      <w:sz w:val="32"/>
      <w:szCs w:val="32"/>
    </w:rPr>
  </w:style>
  <w:style w:type="character" w:customStyle="1" w:styleId="a4">
    <w:name w:val="副标题 字符"/>
    <w:basedOn w:val="a0"/>
    <w:link w:val="a3"/>
    <w:uiPriority w:val="11"/>
    <w:rsid w:val="00423963"/>
    <w:rPr>
      <w:b/>
      <w:bCs/>
      <w:kern w:val="28"/>
      <w:sz w:val="32"/>
      <w:szCs w:val="32"/>
    </w:rPr>
  </w:style>
  <w:style w:type="character" w:styleId="a5">
    <w:name w:val="annotation reference"/>
    <w:basedOn w:val="a0"/>
    <w:uiPriority w:val="99"/>
    <w:semiHidden/>
    <w:unhideWhenUsed/>
    <w:rsid w:val="00531C0A"/>
    <w:rPr>
      <w:sz w:val="21"/>
      <w:szCs w:val="21"/>
    </w:rPr>
  </w:style>
  <w:style w:type="paragraph" w:styleId="a6">
    <w:name w:val="annotation text"/>
    <w:basedOn w:val="a"/>
    <w:link w:val="a7"/>
    <w:uiPriority w:val="99"/>
    <w:semiHidden/>
    <w:unhideWhenUsed/>
    <w:rsid w:val="00531C0A"/>
    <w:pPr>
      <w:jc w:val="left"/>
    </w:pPr>
  </w:style>
  <w:style w:type="character" w:customStyle="1" w:styleId="a7">
    <w:name w:val="批注文字 字符"/>
    <w:basedOn w:val="a0"/>
    <w:link w:val="a6"/>
    <w:uiPriority w:val="99"/>
    <w:semiHidden/>
    <w:rsid w:val="00531C0A"/>
  </w:style>
  <w:style w:type="paragraph" w:styleId="a8">
    <w:name w:val="annotation subject"/>
    <w:basedOn w:val="a6"/>
    <w:next w:val="a6"/>
    <w:link w:val="a9"/>
    <w:uiPriority w:val="99"/>
    <w:semiHidden/>
    <w:unhideWhenUsed/>
    <w:rsid w:val="00531C0A"/>
    <w:rPr>
      <w:b/>
      <w:bCs/>
    </w:rPr>
  </w:style>
  <w:style w:type="character" w:customStyle="1" w:styleId="a9">
    <w:name w:val="批注主题 字符"/>
    <w:basedOn w:val="a7"/>
    <w:link w:val="a8"/>
    <w:uiPriority w:val="99"/>
    <w:semiHidden/>
    <w:rsid w:val="00531C0A"/>
    <w:rPr>
      <w:b/>
      <w:bCs/>
    </w:rPr>
  </w:style>
  <w:style w:type="paragraph" w:styleId="aa">
    <w:name w:val="Balloon Text"/>
    <w:basedOn w:val="a"/>
    <w:link w:val="ab"/>
    <w:uiPriority w:val="99"/>
    <w:semiHidden/>
    <w:unhideWhenUsed/>
    <w:rsid w:val="00531C0A"/>
    <w:rPr>
      <w:sz w:val="18"/>
      <w:szCs w:val="18"/>
    </w:rPr>
  </w:style>
  <w:style w:type="character" w:customStyle="1" w:styleId="ab">
    <w:name w:val="批注框文本 字符"/>
    <w:basedOn w:val="a0"/>
    <w:link w:val="aa"/>
    <w:uiPriority w:val="99"/>
    <w:semiHidden/>
    <w:rsid w:val="00531C0A"/>
    <w:rPr>
      <w:sz w:val="18"/>
      <w:szCs w:val="18"/>
    </w:rPr>
  </w:style>
  <w:style w:type="character" w:customStyle="1" w:styleId="30">
    <w:name w:val="标题 3 字符"/>
    <w:basedOn w:val="a0"/>
    <w:link w:val="3"/>
    <w:uiPriority w:val="9"/>
    <w:rsid w:val="00E220D5"/>
    <w:rPr>
      <w:b/>
      <w:bCs/>
      <w:sz w:val="32"/>
      <w:szCs w:val="32"/>
    </w:rPr>
  </w:style>
  <w:style w:type="paragraph" w:styleId="ac">
    <w:name w:val="header"/>
    <w:basedOn w:val="a"/>
    <w:link w:val="ad"/>
    <w:uiPriority w:val="99"/>
    <w:unhideWhenUsed/>
    <w:rsid w:val="001E58A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1E58AE"/>
    <w:rPr>
      <w:sz w:val="18"/>
      <w:szCs w:val="18"/>
    </w:rPr>
  </w:style>
  <w:style w:type="paragraph" w:styleId="ae">
    <w:name w:val="footer"/>
    <w:basedOn w:val="a"/>
    <w:link w:val="af"/>
    <w:uiPriority w:val="99"/>
    <w:unhideWhenUsed/>
    <w:rsid w:val="001E58AE"/>
    <w:pPr>
      <w:tabs>
        <w:tab w:val="center" w:pos="4153"/>
        <w:tab w:val="right" w:pos="8306"/>
      </w:tabs>
      <w:snapToGrid w:val="0"/>
      <w:jc w:val="left"/>
    </w:pPr>
    <w:rPr>
      <w:sz w:val="18"/>
      <w:szCs w:val="18"/>
    </w:rPr>
  </w:style>
  <w:style w:type="character" w:customStyle="1" w:styleId="af">
    <w:name w:val="页脚 字符"/>
    <w:basedOn w:val="a0"/>
    <w:link w:val="ae"/>
    <w:uiPriority w:val="99"/>
    <w:rsid w:val="001E58AE"/>
    <w:rPr>
      <w:sz w:val="18"/>
      <w:szCs w:val="18"/>
    </w:rPr>
  </w:style>
  <w:style w:type="paragraph" w:customStyle="1" w:styleId="p">
    <w:name w:val="p"/>
    <w:basedOn w:val="a"/>
    <w:rsid w:val="0090105C"/>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rsid w:val="002167E5"/>
    <w:rPr>
      <w:rFonts w:asciiTheme="majorHAnsi" w:eastAsiaTheme="majorEastAsia" w:hAnsiTheme="majorHAnsi" w:cstheme="majorBidi"/>
      <w:b/>
      <w:bCs/>
      <w:sz w:val="28"/>
      <w:szCs w:val="28"/>
    </w:rPr>
  </w:style>
  <w:style w:type="character" w:styleId="af0">
    <w:name w:val="Placeholder Text"/>
    <w:basedOn w:val="a0"/>
    <w:uiPriority w:val="99"/>
    <w:semiHidden/>
    <w:rsid w:val="00BC0481"/>
    <w:rPr>
      <w:color w:val="808080"/>
    </w:rPr>
  </w:style>
  <w:style w:type="paragraph" w:styleId="af1">
    <w:name w:val="Revision"/>
    <w:hidden/>
    <w:uiPriority w:val="99"/>
    <w:semiHidden/>
    <w:rsid w:val="00151F2B"/>
  </w:style>
  <w:style w:type="table" w:styleId="21">
    <w:name w:val="Plain Table 2"/>
    <w:aliases w:val="三线表"/>
    <w:basedOn w:val="a1"/>
    <w:uiPriority w:val="42"/>
    <w:rsid w:val="00987072"/>
    <w:tblPr>
      <w:tblStyleRowBandSize w:val="1"/>
      <w:tblStyleColBandSize w:val="1"/>
      <w:tblBorders>
        <w:top w:val="single" w:sz="18" w:space="0" w:color="auto"/>
        <w:bottom w:val="single" w:sz="18" w:space="0" w:color="auto"/>
      </w:tblBorders>
    </w:tblPr>
    <w:tblStylePr w:type="firstRow">
      <w:rPr>
        <w:b/>
        <w:bCs/>
      </w:rPr>
      <w:tblPr/>
      <w:tcPr>
        <w:tcBorders>
          <w:bottom w:val="single" w:sz="18" w:space="0" w:color="auto"/>
        </w:tcBorders>
      </w:tcPr>
    </w:tblStylePr>
    <w:tblStylePr w:type="lastRow">
      <w:rPr>
        <w:b/>
        <w:bCs/>
      </w:rPr>
      <w:tblPr/>
      <w:tcPr>
        <w:tcBorders>
          <w:top w:val="single" w:sz="6" w:space="0" w:color="auto"/>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6" w:space="0" w:color="auto"/>
          <w:bottom w:val="single" w:sz="6" w:space="0" w:color="auto"/>
        </w:tcBorders>
      </w:tcPr>
    </w:tblStylePr>
  </w:style>
  <w:style w:type="table" w:styleId="af2">
    <w:name w:val="Table Grid"/>
    <w:basedOn w:val="a1"/>
    <w:uiPriority w:val="39"/>
    <w:rsid w:val="0029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FF61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Hyperlink"/>
    <w:basedOn w:val="a0"/>
    <w:uiPriority w:val="99"/>
    <w:semiHidden/>
    <w:unhideWhenUsed/>
    <w:rsid w:val="00403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591">
      <w:bodyDiv w:val="1"/>
      <w:marLeft w:val="0"/>
      <w:marRight w:val="0"/>
      <w:marTop w:val="0"/>
      <w:marBottom w:val="0"/>
      <w:divBdr>
        <w:top w:val="none" w:sz="0" w:space="0" w:color="auto"/>
        <w:left w:val="none" w:sz="0" w:space="0" w:color="auto"/>
        <w:bottom w:val="none" w:sz="0" w:space="0" w:color="auto"/>
        <w:right w:val="none" w:sz="0" w:space="0" w:color="auto"/>
      </w:divBdr>
    </w:div>
    <w:div w:id="16391013">
      <w:bodyDiv w:val="1"/>
      <w:marLeft w:val="0"/>
      <w:marRight w:val="0"/>
      <w:marTop w:val="0"/>
      <w:marBottom w:val="0"/>
      <w:divBdr>
        <w:top w:val="none" w:sz="0" w:space="0" w:color="auto"/>
        <w:left w:val="none" w:sz="0" w:space="0" w:color="auto"/>
        <w:bottom w:val="none" w:sz="0" w:space="0" w:color="auto"/>
        <w:right w:val="none" w:sz="0" w:space="0" w:color="auto"/>
      </w:divBdr>
      <w:divsChild>
        <w:div w:id="4939846">
          <w:marLeft w:val="0"/>
          <w:marRight w:val="0"/>
          <w:marTop w:val="0"/>
          <w:marBottom w:val="0"/>
          <w:divBdr>
            <w:top w:val="none" w:sz="0" w:space="0" w:color="auto"/>
            <w:left w:val="none" w:sz="0" w:space="0" w:color="auto"/>
            <w:bottom w:val="none" w:sz="0" w:space="0" w:color="auto"/>
            <w:right w:val="none" w:sz="0" w:space="0" w:color="auto"/>
          </w:divBdr>
        </w:div>
      </w:divsChild>
    </w:div>
    <w:div w:id="47611070">
      <w:bodyDiv w:val="1"/>
      <w:marLeft w:val="0"/>
      <w:marRight w:val="0"/>
      <w:marTop w:val="0"/>
      <w:marBottom w:val="0"/>
      <w:divBdr>
        <w:top w:val="none" w:sz="0" w:space="0" w:color="auto"/>
        <w:left w:val="none" w:sz="0" w:space="0" w:color="auto"/>
        <w:bottom w:val="none" w:sz="0" w:space="0" w:color="auto"/>
        <w:right w:val="none" w:sz="0" w:space="0" w:color="auto"/>
      </w:divBdr>
    </w:div>
    <w:div w:id="54547772">
      <w:bodyDiv w:val="1"/>
      <w:marLeft w:val="0"/>
      <w:marRight w:val="0"/>
      <w:marTop w:val="0"/>
      <w:marBottom w:val="0"/>
      <w:divBdr>
        <w:top w:val="none" w:sz="0" w:space="0" w:color="auto"/>
        <w:left w:val="none" w:sz="0" w:space="0" w:color="auto"/>
        <w:bottom w:val="none" w:sz="0" w:space="0" w:color="auto"/>
        <w:right w:val="none" w:sz="0" w:space="0" w:color="auto"/>
      </w:divBdr>
    </w:div>
    <w:div w:id="58406991">
      <w:bodyDiv w:val="1"/>
      <w:marLeft w:val="0"/>
      <w:marRight w:val="0"/>
      <w:marTop w:val="0"/>
      <w:marBottom w:val="0"/>
      <w:divBdr>
        <w:top w:val="none" w:sz="0" w:space="0" w:color="auto"/>
        <w:left w:val="none" w:sz="0" w:space="0" w:color="auto"/>
        <w:bottom w:val="none" w:sz="0" w:space="0" w:color="auto"/>
        <w:right w:val="none" w:sz="0" w:space="0" w:color="auto"/>
      </w:divBdr>
    </w:div>
    <w:div w:id="80493380">
      <w:bodyDiv w:val="1"/>
      <w:marLeft w:val="0"/>
      <w:marRight w:val="0"/>
      <w:marTop w:val="0"/>
      <w:marBottom w:val="0"/>
      <w:divBdr>
        <w:top w:val="none" w:sz="0" w:space="0" w:color="auto"/>
        <w:left w:val="none" w:sz="0" w:space="0" w:color="auto"/>
        <w:bottom w:val="none" w:sz="0" w:space="0" w:color="auto"/>
        <w:right w:val="none" w:sz="0" w:space="0" w:color="auto"/>
      </w:divBdr>
    </w:div>
    <w:div w:id="110168731">
      <w:bodyDiv w:val="1"/>
      <w:marLeft w:val="0"/>
      <w:marRight w:val="0"/>
      <w:marTop w:val="0"/>
      <w:marBottom w:val="0"/>
      <w:divBdr>
        <w:top w:val="none" w:sz="0" w:space="0" w:color="auto"/>
        <w:left w:val="none" w:sz="0" w:space="0" w:color="auto"/>
        <w:bottom w:val="none" w:sz="0" w:space="0" w:color="auto"/>
        <w:right w:val="none" w:sz="0" w:space="0" w:color="auto"/>
      </w:divBdr>
    </w:div>
    <w:div w:id="159543571">
      <w:bodyDiv w:val="1"/>
      <w:marLeft w:val="0"/>
      <w:marRight w:val="0"/>
      <w:marTop w:val="0"/>
      <w:marBottom w:val="0"/>
      <w:divBdr>
        <w:top w:val="none" w:sz="0" w:space="0" w:color="auto"/>
        <w:left w:val="none" w:sz="0" w:space="0" w:color="auto"/>
        <w:bottom w:val="none" w:sz="0" w:space="0" w:color="auto"/>
        <w:right w:val="none" w:sz="0" w:space="0" w:color="auto"/>
      </w:divBdr>
    </w:div>
    <w:div w:id="164249109">
      <w:bodyDiv w:val="1"/>
      <w:marLeft w:val="0"/>
      <w:marRight w:val="0"/>
      <w:marTop w:val="0"/>
      <w:marBottom w:val="0"/>
      <w:divBdr>
        <w:top w:val="none" w:sz="0" w:space="0" w:color="auto"/>
        <w:left w:val="none" w:sz="0" w:space="0" w:color="auto"/>
        <w:bottom w:val="none" w:sz="0" w:space="0" w:color="auto"/>
        <w:right w:val="none" w:sz="0" w:space="0" w:color="auto"/>
      </w:divBdr>
    </w:div>
    <w:div w:id="225989807">
      <w:bodyDiv w:val="1"/>
      <w:marLeft w:val="0"/>
      <w:marRight w:val="0"/>
      <w:marTop w:val="0"/>
      <w:marBottom w:val="0"/>
      <w:divBdr>
        <w:top w:val="none" w:sz="0" w:space="0" w:color="auto"/>
        <w:left w:val="none" w:sz="0" w:space="0" w:color="auto"/>
        <w:bottom w:val="none" w:sz="0" w:space="0" w:color="auto"/>
        <w:right w:val="none" w:sz="0" w:space="0" w:color="auto"/>
      </w:divBdr>
      <w:divsChild>
        <w:div w:id="109862825">
          <w:marLeft w:val="547"/>
          <w:marRight w:val="0"/>
          <w:marTop w:val="200"/>
          <w:marBottom w:val="0"/>
          <w:divBdr>
            <w:top w:val="none" w:sz="0" w:space="0" w:color="auto"/>
            <w:left w:val="none" w:sz="0" w:space="0" w:color="auto"/>
            <w:bottom w:val="none" w:sz="0" w:space="0" w:color="auto"/>
            <w:right w:val="none" w:sz="0" w:space="0" w:color="auto"/>
          </w:divBdr>
        </w:div>
      </w:divsChild>
    </w:div>
    <w:div w:id="282420633">
      <w:bodyDiv w:val="1"/>
      <w:marLeft w:val="0"/>
      <w:marRight w:val="0"/>
      <w:marTop w:val="0"/>
      <w:marBottom w:val="0"/>
      <w:divBdr>
        <w:top w:val="none" w:sz="0" w:space="0" w:color="auto"/>
        <w:left w:val="none" w:sz="0" w:space="0" w:color="auto"/>
        <w:bottom w:val="none" w:sz="0" w:space="0" w:color="auto"/>
        <w:right w:val="none" w:sz="0" w:space="0" w:color="auto"/>
      </w:divBdr>
    </w:div>
    <w:div w:id="312609612">
      <w:bodyDiv w:val="1"/>
      <w:marLeft w:val="0"/>
      <w:marRight w:val="0"/>
      <w:marTop w:val="0"/>
      <w:marBottom w:val="0"/>
      <w:divBdr>
        <w:top w:val="none" w:sz="0" w:space="0" w:color="auto"/>
        <w:left w:val="none" w:sz="0" w:space="0" w:color="auto"/>
        <w:bottom w:val="none" w:sz="0" w:space="0" w:color="auto"/>
        <w:right w:val="none" w:sz="0" w:space="0" w:color="auto"/>
      </w:divBdr>
    </w:div>
    <w:div w:id="350766273">
      <w:bodyDiv w:val="1"/>
      <w:marLeft w:val="0"/>
      <w:marRight w:val="0"/>
      <w:marTop w:val="0"/>
      <w:marBottom w:val="0"/>
      <w:divBdr>
        <w:top w:val="none" w:sz="0" w:space="0" w:color="auto"/>
        <w:left w:val="none" w:sz="0" w:space="0" w:color="auto"/>
        <w:bottom w:val="none" w:sz="0" w:space="0" w:color="auto"/>
        <w:right w:val="none" w:sz="0" w:space="0" w:color="auto"/>
      </w:divBdr>
    </w:div>
    <w:div w:id="421148628">
      <w:bodyDiv w:val="1"/>
      <w:marLeft w:val="0"/>
      <w:marRight w:val="0"/>
      <w:marTop w:val="0"/>
      <w:marBottom w:val="0"/>
      <w:divBdr>
        <w:top w:val="none" w:sz="0" w:space="0" w:color="auto"/>
        <w:left w:val="none" w:sz="0" w:space="0" w:color="auto"/>
        <w:bottom w:val="none" w:sz="0" w:space="0" w:color="auto"/>
        <w:right w:val="none" w:sz="0" w:space="0" w:color="auto"/>
      </w:divBdr>
    </w:div>
    <w:div w:id="431366550">
      <w:bodyDiv w:val="1"/>
      <w:marLeft w:val="0"/>
      <w:marRight w:val="0"/>
      <w:marTop w:val="0"/>
      <w:marBottom w:val="0"/>
      <w:divBdr>
        <w:top w:val="none" w:sz="0" w:space="0" w:color="auto"/>
        <w:left w:val="none" w:sz="0" w:space="0" w:color="auto"/>
        <w:bottom w:val="none" w:sz="0" w:space="0" w:color="auto"/>
        <w:right w:val="none" w:sz="0" w:space="0" w:color="auto"/>
      </w:divBdr>
    </w:div>
    <w:div w:id="443185771">
      <w:bodyDiv w:val="1"/>
      <w:marLeft w:val="0"/>
      <w:marRight w:val="0"/>
      <w:marTop w:val="0"/>
      <w:marBottom w:val="0"/>
      <w:divBdr>
        <w:top w:val="none" w:sz="0" w:space="0" w:color="auto"/>
        <w:left w:val="none" w:sz="0" w:space="0" w:color="auto"/>
        <w:bottom w:val="none" w:sz="0" w:space="0" w:color="auto"/>
        <w:right w:val="none" w:sz="0" w:space="0" w:color="auto"/>
      </w:divBdr>
    </w:div>
    <w:div w:id="483930164">
      <w:bodyDiv w:val="1"/>
      <w:marLeft w:val="0"/>
      <w:marRight w:val="0"/>
      <w:marTop w:val="0"/>
      <w:marBottom w:val="0"/>
      <w:divBdr>
        <w:top w:val="none" w:sz="0" w:space="0" w:color="auto"/>
        <w:left w:val="none" w:sz="0" w:space="0" w:color="auto"/>
        <w:bottom w:val="none" w:sz="0" w:space="0" w:color="auto"/>
        <w:right w:val="none" w:sz="0" w:space="0" w:color="auto"/>
      </w:divBdr>
    </w:div>
    <w:div w:id="497307844">
      <w:bodyDiv w:val="1"/>
      <w:marLeft w:val="0"/>
      <w:marRight w:val="0"/>
      <w:marTop w:val="0"/>
      <w:marBottom w:val="0"/>
      <w:divBdr>
        <w:top w:val="none" w:sz="0" w:space="0" w:color="auto"/>
        <w:left w:val="none" w:sz="0" w:space="0" w:color="auto"/>
        <w:bottom w:val="none" w:sz="0" w:space="0" w:color="auto"/>
        <w:right w:val="none" w:sz="0" w:space="0" w:color="auto"/>
      </w:divBdr>
    </w:div>
    <w:div w:id="612247458">
      <w:bodyDiv w:val="1"/>
      <w:marLeft w:val="0"/>
      <w:marRight w:val="0"/>
      <w:marTop w:val="0"/>
      <w:marBottom w:val="0"/>
      <w:divBdr>
        <w:top w:val="none" w:sz="0" w:space="0" w:color="auto"/>
        <w:left w:val="none" w:sz="0" w:space="0" w:color="auto"/>
        <w:bottom w:val="none" w:sz="0" w:space="0" w:color="auto"/>
        <w:right w:val="none" w:sz="0" w:space="0" w:color="auto"/>
      </w:divBdr>
    </w:div>
    <w:div w:id="615061776">
      <w:bodyDiv w:val="1"/>
      <w:marLeft w:val="0"/>
      <w:marRight w:val="0"/>
      <w:marTop w:val="0"/>
      <w:marBottom w:val="0"/>
      <w:divBdr>
        <w:top w:val="none" w:sz="0" w:space="0" w:color="auto"/>
        <w:left w:val="none" w:sz="0" w:space="0" w:color="auto"/>
        <w:bottom w:val="none" w:sz="0" w:space="0" w:color="auto"/>
        <w:right w:val="none" w:sz="0" w:space="0" w:color="auto"/>
      </w:divBdr>
    </w:div>
    <w:div w:id="707296099">
      <w:bodyDiv w:val="1"/>
      <w:marLeft w:val="0"/>
      <w:marRight w:val="0"/>
      <w:marTop w:val="0"/>
      <w:marBottom w:val="0"/>
      <w:divBdr>
        <w:top w:val="none" w:sz="0" w:space="0" w:color="auto"/>
        <w:left w:val="none" w:sz="0" w:space="0" w:color="auto"/>
        <w:bottom w:val="none" w:sz="0" w:space="0" w:color="auto"/>
        <w:right w:val="none" w:sz="0" w:space="0" w:color="auto"/>
      </w:divBdr>
    </w:div>
    <w:div w:id="730469143">
      <w:bodyDiv w:val="1"/>
      <w:marLeft w:val="0"/>
      <w:marRight w:val="0"/>
      <w:marTop w:val="0"/>
      <w:marBottom w:val="0"/>
      <w:divBdr>
        <w:top w:val="none" w:sz="0" w:space="0" w:color="auto"/>
        <w:left w:val="none" w:sz="0" w:space="0" w:color="auto"/>
        <w:bottom w:val="none" w:sz="0" w:space="0" w:color="auto"/>
        <w:right w:val="none" w:sz="0" w:space="0" w:color="auto"/>
      </w:divBdr>
    </w:div>
    <w:div w:id="793255351">
      <w:bodyDiv w:val="1"/>
      <w:marLeft w:val="0"/>
      <w:marRight w:val="0"/>
      <w:marTop w:val="0"/>
      <w:marBottom w:val="0"/>
      <w:divBdr>
        <w:top w:val="none" w:sz="0" w:space="0" w:color="auto"/>
        <w:left w:val="none" w:sz="0" w:space="0" w:color="auto"/>
        <w:bottom w:val="none" w:sz="0" w:space="0" w:color="auto"/>
        <w:right w:val="none" w:sz="0" w:space="0" w:color="auto"/>
      </w:divBdr>
    </w:div>
    <w:div w:id="801192749">
      <w:bodyDiv w:val="1"/>
      <w:marLeft w:val="0"/>
      <w:marRight w:val="0"/>
      <w:marTop w:val="0"/>
      <w:marBottom w:val="0"/>
      <w:divBdr>
        <w:top w:val="none" w:sz="0" w:space="0" w:color="auto"/>
        <w:left w:val="none" w:sz="0" w:space="0" w:color="auto"/>
        <w:bottom w:val="none" w:sz="0" w:space="0" w:color="auto"/>
        <w:right w:val="none" w:sz="0" w:space="0" w:color="auto"/>
      </w:divBdr>
      <w:divsChild>
        <w:div w:id="1991131709">
          <w:marLeft w:val="0"/>
          <w:marRight w:val="0"/>
          <w:marTop w:val="0"/>
          <w:marBottom w:val="0"/>
          <w:divBdr>
            <w:top w:val="none" w:sz="0" w:space="0" w:color="auto"/>
            <w:left w:val="none" w:sz="0" w:space="0" w:color="auto"/>
            <w:bottom w:val="none" w:sz="0" w:space="0" w:color="auto"/>
            <w:right w:val="none" w:sz="0" w:space="0" w:color="auto"/>
          </w:divBdr>
        </w:div>
      </w:divsChild>
    </w:div>
    <w:div w:id="844981059">
      <w:bodyDiv w:val="1"/>
      <w:marLeft w:val="0"/>
      <w:marRight w:val="0"/>
      <w:marTop w:val="0"/>
      <w:marBottom w:val="0"/>
      <w:divBdr>
        <w:top w:val="none" w:sz="0" w:space="0" w:color="auto"/>
        <w:left w:val="none" w:sz="0" w:space="0" w:color="auto"/>
        <w:bottom w:val="none" w:sz="0" w:space="0" w:color="auto"/>
        <w:right w:val="none" w:sz="0" w:space="0" w:color="auto"/>
      </w:divBdr>
    </w:div>
    <w:div w:id="873805216">
      <w:bodyDiv w:val="1"/>
      <w:marLeft w:val="0"/>
      <w:marRight w:val="0"/>
      <w:marTop w:val="0"/>
      <w:marBottom w:val="0"/>
      <w:divBdr>
        <w:top w:val="none" w:sz="0" w:space="0" w:color="auto"/>
        <w:left w:val="none" w:sz="0" w:space="0" w:color="auto"/>
        <w:bottom w:val="none" w:sz="0" w:space="0" w:color="auto"/>
        <w:right w:val="none" w:sz="0" w:space="0" w:color="auto"/>
      </w:divBdr>
      <w:divsChild>
        <w:div w:id="1104423476">
          <w:marLeft w:val="0"/>
          <w:marRight w:val="0"/>
          <w:marTop w:val="0"/>
          <w:marBottom w:val="0"/>
          <w:divBdr>
            <w:top w:val="none" w:sz="0" w:space="0" w:color="auto"/>
            <w:left w:val="none" w:sz="0" w:space="0" w:color="auto"/>
            <w:bottom w:val="none" w:sz="0" w:space="0" w:color="auto"/>
            <w:right w:val="none" w:sz="0" w:space="0" w:color="auto"/>
          </w:divBdr>
        </w:div>
        <w:div w:id="525486590">
          <w:marLeft w:val="0"/>
          <w:marRight w:val="0"/>
          <w:marTop w:val="0"/>
          <w:marBottom w:val="0"/>
          <w:divBdr>
            <w:top w:val="none" w:sz="0" w:space="0" w:color="auto"/>
            <w:left w:val="none" w:sz="0" w:space="0" w:color="auto"/>
            <w:bottom w:val="none" w:sz="0" w:space="0" w:color="auto"/>
            <w:right w:val="none" w:sz="0" w:space="0" w:color="auto"/>
          </w:divBdr>
        </w:div>
      </w:divsChild>
    </w:div>
    <w:div w:id="917055558">
      <w:bodyDiv w:val="1"/>
      <w:marLeft w:val="0"/>
      <w:marRight w:val="0"/>
      <w:marTop w:val="0"/>
      <w:marBottom w:val="0"/>
      <w:divBdr>
        <w:top w:val="none" w:sz="0" w:space="0" w:color="auto"/>
        <w:left w:val="none" w:sz="0" w:space="0" w:color="auto"/>
        <w:bottom w:val="none" w:sz="0" w:space="0" w:color="auto"/>
        <w:right w:val="none" w:sz="0" w:space="0" w:color="auto"/>
      </w:divBdr>
    </w:div>
    <w:div w:id="939917941">
      <w:bodyDiv w:val="1"/>
      <w:marLeft w:val="0"/>
      <w:marRight w:val="0"/>
      <w:marTop w:val="0"/>
      <w:marBottom w:val="0"/>
      <w:divBdr>
        <w:top w:val="none" w:sz="0" w:space="0" w:color="auto"/>
        <w:left w:val="none" w:sz="0" w:space="0" w:color="auto"/>
        <w:bottom w:val="none" w:sz="0" w:space="0" w:color="auto"/>
        <w:right w:val="none" w:sz="0" w:space="0" w:color="auto"/>
      </w:divBdr>
    </w:div>
    <w:div w:id="1053307170">
      <w:bodyDiv w:val="1"/>
      <w:marLeft w:val="0"/>
      <w:marRight w:val="0"/>
      <w:marTop w:val="0"/>
      <w:marBottom w:val="0"/>
      <w:divBdr>
        <w:top w:val="none" w:sz="0" w:space="0" w:color="auto"/>
        <w:left w:val="none" w:sz="0" w:space="0" w:color="auto"/>
        <w:bottom w:val="none" w:sz="0" w:space="0" w:color="auto"/>
        <w:right w:val="none" w:sz="0" w:space="0" w:color="auto"/>
      </w:divBdr>
    </w:div>
    <w:div w:id="1084760420">
      <w:bodyDiv w:val="1"/>
      <w:marLeft w:val="0"/>
      <w:marRight w:val="0"/>
      <w:marTop w:val="0"/>
      <w:marBottom w:val="0"/>
      <w:divBdr>
        <w:top w:val="none" w:sz="0" w:space="0" w:color="auto"/>
        <w:left w:val="none" w:sz="0" w:space="0" w:color="auto"/>
        <w:bottom w:val="none" w:sz="0" w:space="0" w:color="auto"/>
        <w:right w:val="none" w:sz="0" w:space="0" w:color="auto"/>
      </w:divBdr>
    </w:div>
    <w:div w:id="1222056536">
      <w:bodyDiv w:val="1"/>
      <w:marLeft w:val="0"/>
      <w:marRight w:val="0"/>
      <w:marTop w:val="0"/>
      <w:marBottom w:val="0"/>
      <w:divBdr>
        <w:top w:val="none" w:sz="0" w:space="0" w:color="auto"/>
        <w:left w:val="none" w:sz="0" w:space="0" w:color="auto"/>
        <w:bottom w:val="none" w:sz="0" w:space="0" w:color="auto"/>
        <w:right w:val="none" w:sz="0" w:space="0" w:color="auto"/>
      </w:divBdr>
    </w:div>
    <w:div w:id="1266108553">
      <w:bodyDiv w:val="1"/>
      <w:marLeft w:val="0"/>
      <w:marRight w:val="0"/>
      <w:marTop w:val="0"/>
      <w:marBottom w:val="0"/>
      <w:divBdr>
        <w:top w:val="none" w:sz="0" w:space="0" w:color="auto"/>
        <w:left w:val="none" w:sz="0" w:space="0" w:color="auto"/>
        <w:bottom w:val="none" w:sz="0" w:space="0" w:color="auto"/>
        <w:right w:val="none" w:sz="0" w:space="0" w:color="auto"/>
      </w:divBdr>
    </w:div>
    <w:div w:id="1288123181">
      <w:bodyDiv w:val="1"/>
      <w:marLeft w:val="0"/>
      <w:marRight w:val="0"/>
      <w:marTop w:val="0"/>
      <w:marBottom w:val="0"/>
      <w:divBdr>
        <w:top w:val="none" w:sz="0" w:space="0" w:color="auto"/>
        <w:left w:val="none" w:sz="0" w:space="0" w:color="auto"/>
        <w:bottom w:val="none" w:sz="0" w:space="0" w:color="auto"/>
        <w:right w:val="none" w:sz="0" w:space="0" w:color="auto"/>
      </w:divBdr>
    </w:div>
    <w:div w:id="1325209089">
      <w:bodyDiv w:val="1"/>
      <w:marLeft w:val="0"/>
      <w:marRight w:val="0"/>
      <w:marTop w:val="0"/>
      <w:marBottom w:val="0"/>
      <w:divBdr>
        <w:top w:val="none" w:sz="0" w:space="0" w:color="auto"/>
        <w:left w:val="none" w:sz="0" w:space="0" w:color="auto"/>
        <w:bottom w:val="none" w:sz="0" w:space="0" w:color="auto"/>
        <w:right w:val="none" w:sz="0" w:space="0" w:color="auto"/>
      </w:divBdr>
      <w:divsChild>
        <w:div w:id="1507212231">
          <w:marLeft w:val="547"/>
          <w:marRight w:val="0"/>
          <w:marTop w:val="0"/>
          <w:marBottom w:val="0"/>
          <w:divBdr>
            <w:top w:val="none" w:sz="0" w:space="0" w:color="auto"/>
            <w:left w:val="none" w:sz="0" w:space="0" w:color="auto"/>
            <w:bottom w:val="none" w:sz="0" w:space="0" w:color="auto"/>
            <w:right w:val="none" w:sz="0" w:space="0" w:color="auto"/>
          </w:divBdr>
        </w:div>
      </w:divsChild>
    </w:div>
    <w:div w:id="1337731610">
      <w:bodyDiv w:val="1"/>
      <w:marLeft w:val="0"/>
      <w:marRight w:val="0"/>
      <w:marTop w:val="0"/>
      <w:marBottom w:val="0"/>
      <w:divBdr>
        <w:top w:val="none" w:sz="0" w:space="0" w:color="auto"/>
        <w:left w:val="none" w:sz="0" w:space="0" w:color="auto"/>
        <w:bottom w:val="none" w:sz="0" w:space="0" w:color="auto"/>
        <w:right w:val="none" w:sz="0" w:space="0" w:color="auto"/>
      </w:divBdr>
      <w:divsChild>
        <w:div w:id="1566257271">
          <w:marLeft w:val="0"/>
          <w:marRight w:val="0"/>
          <w:marTop w:val="0"/>
          <w:marBottom w:val="0"/>
          <w:divBdr>
            <w:top w:val="none" w:sz="0" w:space="0" w:color="auto"/>
            <w:left w:val="none" w:sz="0" w:space="0" w:color="auto"/>
            <w:bottom w:val="none" w:sz="0" w:space="0" w:color="auto"/>
            <w:right w:val="none" w:sz="0" w:space="0" w:color="auto"/>
          </w:divBdr>
        </w:div>
      </w:divsChild>
    </w:div>
    <w:div w:id="1433207395">
      <w:bodyDiv w:val="1"/>
      <w:marLeft w:val="0"/>
      <w:marRight w:val="0"/>
      <w:marTop w:val="0"/>
      <w:marBottom w:val="0"/>
      <w:divBdr>
        <w:top w:val="none" w:sz="0" w:space="0" w:color="auto"/>
        <w:left w:val="none" w:sz="0" w:space="0" w:color="auto"/>
        <w:bottom w:val="none" w:sz="0" w:space="0" w:color="auto"/>
        <w:right w:val="none" w:sz="0" w:space="0" w:color="auto"/>
      </w:divBdr>
    </w:div>
    <w:div w:id="1495025267">
      <w:bodyDiv w:val="1"/>
      <w:marLeft w:val="0"/>
      <w:marRight w:val="0"/>
      <w:marTop w:val="0"/>
      <w:marBottom w:val="0"/>
      <w:divBdr>
        <w:top w:val="none" w:sz="0" w:space="0" w:color="auto"/>
        <w:left w:val="none" w:sz="0" w:space="0" w:color="auto"/>
        <w:bottom w:val="none" w:sz="0" w:space="0" w:color="auto"/>
        <w:right w:val="none" w:sz="0" w:space="0" w:color="auto"/>
      </w:divBdr>
      <w:divsChild>
        <w:div w:id="832374323">
          <w:marLeft w:val="547"/>
          <w:marRight w:val="0"/>
          <w:marTop w:val="0"/>
          <w:marBottom w:val="0"/>
          <w:divBdr>
            <w:top w:val="none" w:sz="0" w:space="0" w:color="auto"/>
            <w:left w:val="none" w:sz="0" w:space="0" w:color="auto"/>
            <w:bottom w:val="none" w:sz="0" w:space="0" w:color="auto"/>
            <w:right w:val="none" w:sz="0" w:space="0" w:color="auto"/>
          </w:divBdr>
        </w:div>
      </w:divsChild>
    </w:div>
    <w:div w:id="1508474572">
      <w:bodyDiv w:val="1"/>
      <w:marLeft w:val="0"/>
      <w:marRight w:val="0"/>
      <w:marTop w:val="0"/>
      <w:marBottom w:val="0"/>
      <w:divBdr>
        <w:top w:val="none" w:sz="0" w:space="0" w:color="auto"/>
        <w:left w:val="none" w:sz="0" w:space="0" w:color="auto"/>
        <w:bottom w:val="none" w:sz="0" w:space="0" w:color="auto"/>
        <w:right w:val="none" w:sz="0" w:space="0" w:color="auto"/>
      </w:divBdr>
    </w:div>
    <w:div w:id="1565069983">
      <w:bodyDiv w:val="1"/>
      <w:marLeft w:val="0"/>
      <w:marRight w:val="0"/>
      <w:marTop w:val="0"/>
      <w:marBottom w:val="0"/>
      <w:divBdr>
        <w:top w:val="none" w:sz="0" w:space="0" w:color="auto"/>
        <w:left w:val="none" w:sz="0" w:space="0" w:color="auto"/>
        <w:bottom w:val="none" w:sz="0" w:space="0" w:color="auto"/>
        <w:right w:val="none" w:sz="0" w:space="0" w:color="auto"/>
      </w:divBdr>
      <w:divsChild>
        <w:div w:id="1196114641">
          <w:marLeft w:val="547"/>
          <w:marRight w:val="0"/>
          <w:marTop w:val="0"/>
          <w:marBottom w:val="0"/>
          <w:divBdr>
            <w:top w:val="none" w:sz="0" w:space="0" w:color="auto"/>
            <w:left w:val="none" w:sz="0" w:space="0" w:color="auto"/>
            <w:bottom w:val="none" w:sz="0" w:space="0" w:color="auto"/>
            <w:right w:val="none" w:sz="0" w:space="0" w:color="auto"/>
          </w:divBdr>
        </w:div>
      </w:divsChild>
    </w:div>
    <w:div w:id="1569654876">
      <w:bodyDiv w:val="1"/>
      <w:marLeft w:val="0"/>
      <w:marRight w:val="0"/>
      <w:marTop w:val="0"/>
      <w:marBottom w:val="0"/>
      <w:divBdr>
        <w:top w:val="none" w:sz="0" w:space="0" w:color="auto"/>
        <w:left w:val="none" w:sz="0" w:space="0" w:color="auto"/>
        <w:bottom w:val="none" w:sz="0" w:space="0" w:color="auto"/>
        <w:right w:val="none" w:sz="0" w:space="0" w:color="auto"/>
      </w:divBdr>
    </w:div>
    <w:div w:id="1604535013">
      <w:bodyDiv w:val="1"/>
      <w:marLeft w:val="0"/>
      <w:marRight w:val="0"/>
      <w:marTop w:val="0"/>
      <w:marBottom w:val="0"/>
      <w:divBdr>
        <w:top w:val="none" w:sz="0" w:space="0" w:color="auto"/>
        <w:left w:val="none" w:sz="0" w:space="0" w:color="auto"/>
        <w:bottom w:val="none" w:sz="0" w:space="0" w:color="auto"/>
        <w:right w:val="none" w:sz="0" w:space="0" w:color="auto"/>
      </w:divBdr>
    </w:div>
    <w:div w:id="1660379978">
      <w:bodyDiv w:val="1"/>
      <w:marLeft w:val="0"/>
      <w:marRight w:val="0"/>
      <w:marTop w:val="0"/>
      <w:marBottom w:val="0"/>
      <w:divBdr>
        <w:top w:val="none" w:sz="0" w:space="0" w:color="auto"/>
        <w:left w:val="none" w:sz="0" w:space="0" w:color="auto"/>
        <w:bottom w:val="none" w:sz="0" w:space="0" w:color="auto"/>
        <w:right w:val="none" w:sz="0" w:space="0" w:color="auto"/>
      </w:divBdr>
    </w:div>
    <w:div w:id="1750229528">
      <w:bodyDiv w:val="1"/>
      <w:marLeft w:val="0"/>
      <w:marRight w:val="0"/>
      <w:marTop w:val="0"/>
      <w:marBottom w:val="0"/>
      <w:divBdr>
        <w:top w:val="none" w:sz="0" w:space="0" w:color="auto"/>
        <w:left w:val="none" w:sz="0" w:space="0" w:color="auto"/>
        <w:bottom w:val="none" w:sz="0" w:space="0" w:color="auto"/>
        <w:right w:val="none" w:sz="0" w:space="0" w:color="auto"/>
      </w:divBdr>
    </w:div>
    <w:div w:id="1769959042">
      <w:bodyDiv w:val="1"/>
      <w:marLeft w:val="0"/>
      <w:marRight w:val="0"/>
      <w:marTop w:val="0"/>
      <w:marBottom w:val="0"/>
      <w:divBdr>
        <w:top w:val="none" w:sz="0" w:space="0" w:color="auto"/>
        <w:left w:val="none" w:sz="0" w:space="0" w:color="auto"/>
        <w:bottom w:val="none" w:sz="0" w:space="0" w:color="auto"/>
        <w:right w:val="none" w:sz="0" w:space="0" w:color="auto"/>
      </w:divBdr>
    </w:div>
    <w:div w:id="1846088842">
      <w:bodyDiv w:val="1"/>
      <w:marLeft w:val="0"/>
      <w:marRight w:val="0"/>
      <w:marTop w:val="0"/>
      <w:marBottom w:val="0"/>
      <w:divBdr>
        <w:top w:val="none" w:sz="0" w:space="0" w:color="auto"/>
        <w:left w:val="none" w:sz="0" w:space="0" w:color="auto"/>
        <w:bottom w:val="none" w:sz="0" w:space="0" w:color="auto"/>
        <w:right w:val="none" w:sz="0" w:space="0" w:color="auto"/>
      </w:divBdr>
      <w:divsChild>
        <w:div w:id="1766655600">
          <w:marLeft w:val="480"/>
          <w:marRight w:val="0"/>
          <w:marTop w:val="0"/>
          <w:marBottom w:val="0"/>
          <w:divBdr>
            <w:top w:val="none" w:sz="0" w:space="0" w:color="auto"/>
            <w:left w:val="none" w:sz="0" w:space="0" w:color="auto"/>
            <w:bottom w:val="none" w:sz="0" w:space="0" w:color="auto"/>
            <w:right w:val="none" w:sz="0" w:space="0" w:color="auto"/>
          </w:divBdr>
        </w:div>
      </w:divsChild>
    </w:div>
    <w:div w:id="1883516736">
      <w:bodyDiv w:val="1"/>
      <w:marLeft w:val="0"/>
      <w:marRight w:val="0"/>
      <w:marTop w:val="0"/>
      <w:marBottom w:val="0"/>
      <w:divBdr>
        <w:top w:val="none" w:sz="0" w:space="0" w:color="auto"/>
        <w:left w:val="none" w:sz="0" w:space="0" w:color="auto"/>
        <w:bottom w:val="none" w:sz="0" w:space="0" w:color="auto"/>
        <w:right w:val="none" w:sz="0" w:space="0" w:color="auto"/>
      </w:divBdr>
    </w:div>
    <w:div w:id="1960140454">
      <w:bodyDiv w:val="1"/>
      <w:marLeft w:val="0"/>
      <w:marRight w:val="0"/>
      <w:marTop w:val="0"/>
      <w:marBottom w:val="0"/>
      <w:divBdr>
        <w:top w:val="none" w:sz="0" w:space="0" w:color="auto"/>
        <w:left w:val="none" w:sz="0" w:space="0" w:color="auto"/>
        <w:bottom w:val="none" w:sz="0" w:space="0" w:color="auto"/>
        <w:right w:val="none" w:sz="0" w:space="0" w:color="auto"/>
      </w:divBdr>
    </w:div>
    <w:div w:id="1966424522">
      <w:bodyDiv w:val="1"/>
      <w:marLeft w:val="0"/>
      <w:marRight w:val="0"/>
      <w:marTop w:val="0"/>
      <w:marBottom w:val="0"/>
      <w:divBdr>
        <w:top w:val="none" w:sz="0" w:space="0" w:color="auto"/>
        <w:left w:val="none" w:sz="0" w:space="0" w:color="auto"/>
        <w:bottom w:val="none" w:sz="0" w:space="0" w:color="auto"/>
        <w:right w:val="none" w:sz="0" w:space="0" w:color="auto"/>
      </w:divBdr>
      <w:divsChild>
        <w:div w:id="1403024899">
          <w:marLeft w:val="0"/>
          <w:marRight w:val="0"/>
          <w:marTop w:val="0"/>
          <w:marBottom w:val="0"/>
          <w:divBdr>
            <w:top w:val="none" w:sz="0" w:space="0" w:color="auto"/>
            <w:left w:val="none" w:sz="0" w:space="0" w:color="auto"/>
            <w:bottom w:val="none" w:sz="0" w:space="0" w:color="auto"/>
            <w:right w:val="none" w:sz="0" w:space="0" w:color="auto"/>
          </w:divBdr>
        </w:div>
      </w:divsChild>
    </w:div>
    <w:div w:id="2006206372">
      <w:bodyDiv w:val="1"/>
      <w:marLeft w:val="0"/>
      <w:marRight w:val="0"/>
      <w:marTop w:val="0"/>
      <w:marBottom w:val="0"/>
      <w:divBdr>
        <w:top w:val="none" w:sz="0" w:space="0" w:color="auto"/>
        <w:left w:val="none" w:sz="0" w:space="0" w:color="auto"/>
        <w:bottom w:val="none" w:sz="0" w:space="0" w:color="auto"/>
        <w:right w:val="none" w:sz="0" w:space="0" w:color="auto"/>
      </w:divBdr>
    </w:div>
    <w:div w:id="2011248062">
      <w:bodyDiv w:val="1"/>
      <w:marLeft w:val="0"/>
      <w:marRight w:val="0"/>
      <w:marTop w:val="0"/>
      <w:marBottom w:val="0"/>
      <w:divBdr>
        <w:top w:val="none" w:sz="0" w:space="0" w:color="auto"/>
        <w:left w:val="none" w:sz="0" w:space="0" w:color="auto"/>
        <w:bottom w:val="none" w:sz="0" w:space="0" w:color="auto"/>
        <w:right w:val="none" w:sz="0" w:space="0" w:color="auto"/>
      </w:divBdr>
      <w:divsChild>
        <w:div w:id="323510922">
          <w:marLeft w:val="480"/>
          <w:marRight w:val="0"/>
          <w:marTop w:val="0"/>
          <w:marBottom w:val="0"/>
          <w:divBdr>
            <w:top w:val="none" w:sz="0" w:space="0" w:color="auto"/>
            <w:left w:val="none" w:sz="0" w:space="0" w:color="auto"/>
            <w:bottom w:val="none" w:sz="0" w:space="0" w:color="auto"/>
            <w:right w:val="none" w:sz="0" w:space="0" w:color="auto"/>
          </w:divBdr>
        </w:div>
      </w:divsChild>
    </w:div>
    <w:div w:id="2045593037">
      <w:bodyDiv w:val="1"/>
      <w:marLeft w:val="0"/>
      <w:marRight w:val="0"/>
      <w:marTop w:val="0"/>
      <w:marBottom w:val="0"/>
      <w:divBdr>
        <w:top w:val="none" w:sz="0" w:space="0" w:color="auto"/>
        <w:left w:val="none" w:sz="0" w:space="0" w:color="auto"/>
        <w:bottom w:val="none" w:sz="0" w:space="0" w:color="auto"/>
        <w:right w:val="none" w:sz="0" w:space="0" w:color="auto"/>
      </w:divBdr>
    </w:div>
    <w:div w:id="2067798664">
      <w:bodyDiv w:val="1"/>
      <w:marLeft w:val="0"/>
      <w:marRight w:val="0"/>
      <w:marTop w:val="0"/>
      <w:marBottom w:val="0"/>
      <w:divBdr>
        <w:top w:val="none" w:sz="0" w:space="0" w:color="auto"/>
        <w:left w:val="none" w:sz="0" w:space="0" w:color="auto"/>
        <w:bottom w:val="none" w:sz="0" w:space="0" w:color="auto"/>
        <w:right w:val="none" w:sz="0" w:space="0" w:color="auto"/>
      </w:divBdr>
    </w:div>
    <w:div w:id="2089574975">
      <w:bodyDiv w:val="1"/>
      <w:marLeft w:val="0"/>
      <w:marRight w:val="0"/>
      <w:marTop w:val="0"/>
      <w:marBottom w:val="0"/>
      <w:divBdr>
        <w:top w:val="none" w:sz="0" w:space="0" w:color="auto"/>
        <w:left w:val="none" w:sz="0" w:space="0" w:color="auto"/>
        <w:bottom w:val="none" w:sz="0" w:space="0" w:color="auto"/>
        <w:right w:val="none" w:sz="0" w:space="0" w:color="auto"/>
      </w:divBdr>
    </w:div>
    <w:div w:id="21192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36BDA8-0680-4025-AAE4-65CE8A293304}">
  <we:reference id="wa104382081" version="1.7.0.0" store="zh-CN" storeType="OMEX"/>
  <we:alternateReferences>
    <we:reference id="wa104382081" version="1.7.0.0" store="WA104382081" storeType="OMEX"/>
  </we:alternateReferences>
  <we:properties>
    <we:property name="MENDELEY_CITATIONS" value="[{&quot;citationID&quot;:&quot;MENDELEY_CITATION_2e9cdab5-a8ff-47d5-9848-e55c014a75b7&quot;,&quot;citationItems&quot;:[{&quot;id&quot;:&quot;ecf133bb-e318-3de8-b79c-6455fc296af1&quot;,&quot;itemData&quot;:{&quot;type&quot;:&quot;article-journal&quot;,&quot;id&quot;:&quot;ecf133bb-e318-3de8-b79c-6455fc296af1&quot;,&quot;title&quot;:&quot;Guidelines for sedation and anesthesia in GI endoscopy.&quot;,&quot;author&quot;:[{&quot;family&quot;:&quot;ASGE Standards of Practice Committee&quot;,&quot;given&quot;:&quot;&quot;,&quot;parse-names&quot;:false,&quot;dropping-particle&quot;:&quot;&quot;,&quot;non-dropping-particle&quot;:&quot;&quot;},{&quot;family&quot;:&quot;Early&quot;,&quot;given&quot;:&quot;Dayna S&quot;,&quot;parse-names&quot;:false,&quot;dropping-particle&quot;:&quot;&quot;,&quot;non-dropping-particle&quot;:&quot;&quot;},{&quot;family&quot;:&quot;Lightdale&quot;,&quot;given&quot;:&quot;Jenifer R&quot;,&quot;parse-names&quot;:false,&quot;dropping-particle&quot;:&quot;&quot;,&quot;non-dropping-particle&quot;:&quot;&quot;},{&quot;family&quot;:&quot;Vargo&quot;,&quot;given&quot;:&quot;John J&quot;,&quot;parse-names&quot;:false,&quot;dropping-particle&quot;:&quot;&quot;,&quot;non-dropping-particle&quot;:&quot;&quot;},{&quot;family&quot;:&quot;Acosta&quot;,&quot;given&quot;:&quot;Ruben D&quot;,&quot;parse-names&quot;:false,&quot;dropping-particle&quot;:&quot;&quot;,&quot;non-dropping-particle&quot;:&quot;&quot;},{&quot;family&quot;:&quot;Chandrasekhara&quot;,&quot;given&quot;:&quot;Vinay&quot;,&quot;parse-names&quot;:false,&quot;dropping-particle&quot;:&quot;&quot;,&quot;non-dropping-particle&quot;:&quot;&quot;},{&quot;family&quot;:&quot;Chathadi&quot;,&quot;given&quot;:&quot;Krishnavel&quot;,&quot;parse-names&quot;:false,&quot;dropping-particle&quot;:&quot;v&quot;,&quot;non-dropping-particle&quot;:&quot;&quot;},{&quot;family&quot;:&quot;Evans&quot;,&quot;given&quot;:&quot;John A&quot;,&quot;parse-names&quot;:false,&quot;dropping-particle&quot;:&quot;&quot;,&quot;non-dropping-particle&quot;:&quot;&quot;},{&quot;family&quot;:&quot;Fisher&quot;,&quot;given&quot;:&quot;Deborah A&quot;,&quot;parse-names&quot;:false,&quot;dropping-particle&quot;:&quot;&quot;,&quot;non-dropping-particle&quot;:&quot;&quot;},{&quot;family&quot;:&quot;Fonkalsrud&quot;,&quot;given&quot;:&quot;Lisa&quot;,&quot;parse-names&quot;:false,&quot;dropping-particle&quot;:&quot;&quot;,&quot;non-dropping-particle&quot;:&quot;&quot;},{&quot;family&quot;:&quot;Hwang&quot;,&quot;given&quot;:&quot;Joo Ha&quot;,&quot;parse-names&quot;:false,&quot;dropping-particle&quot;:&quot;&quot;,&quot;non-dropping-particle&quot;:&quot;&quot;},{&quot;family&quot;:&quot;Khashab&quot;,&quot;given&quot;:&quot;Mouen A&quot;,&quot;parse-names&quot;:false,&quot;dropping-particle&quot;:&quot;&quot;,&quot;non-dropping-particle&quot;:&quot;&quot;},{&quot;family&quot;:&quot;Muthusamy&quot;,&quot;given&quot;:&quot;V Raman&quot;,&quot;parse-names&quot;:false,&quot;dropping-particle&quot;:&quot;&quot;,&quot;non-dropping-particle&quot;:&quot;&quot;},{&quot;family&quot;:&quot;Pasha&quot;,&quot;given&quot;:&quot;Shabana F&quot;,&quot;parse-names&quot;:false,&quot;dropping-particle&quot;:&quot;&quot;,&quot;non-dropping-particle&quot;:&quot;&quot;},{&quot;family&quot;:&quot;Saltzman&quot;,&quot;given&quot;:&quot;John R&quot;,&quot;parse-names&quot;:false,&quot;dropping-particle&quot;:&quot;&quot;,&quot;non-dropping-particle&quot;:&quot;&quot;},{&quot;family&quot;:&quot;Shergill&quot;,&quot;given&quot;:&quot;Amandeep K&quot;,&quot;parse-names&quot;:false,&quot;dropping-particle&quot;:&quot;&quot;,&quot;non-dropping-particle&quot;:&quot;&quot;},{&quot;family&quot;:&quot;Cash&quot;,&quot;given&quot;:&quot;Brooks D&quot;,&quot;parse-names&quot;:false,&quot;dropping-particle&quot;:&quot;&quot;,&quot;non-dropping-particle&quot;:&quot;&quot;},{&quot;family&quot;:&quot;DeWitt&quot;,&quot;given&quot;:&quot;John M&quot;,&quot;parse-names&quot;:false,&quot;dropping-particle&quot;:&quot;&quot;,&quot;non-dropping-particle&quot;:&quot;&quot;}],&quot;container-title&quot;:&quot;Gastrointestinal endoscopy&quot;,&quot;DOI&quot;:&quot;10.1016/j.gie.2017.07.018&quot;,&quot;ISSN&quot;:&quot;1097-6779&quot;,&quot;PMID&quot;:&quot;29306520&quot;,&quot;URL&quot;:&quot;http://www.ncbi.nlm.nih.gov/pubmed/29306520&quot;,&quot;issued&quot;:{&quot;date-parts&quot;:[[2018]]},&quot;page&quot;:&quot;327-337&quot;,&quot;issue&quot;:&quot;2&quot;,&quot;volume&quot;:&quot;87&quot;}}],&quot;properties&quot;:{&quot;noteIndex&quot;:0}},{&quot;citationID&quot;:&quot;MENDELEY_CITATION_eaed83ae-9344-4d90-9c0f-c86e3b296642&quot;,&quot;citationItems&quot;:[{&quot;id&quot;:&quot;68eb1ea3-3673-3fce-9286-98fc97fa387b&quot;,&quot;itemData&quot;:{&quot;type&quot;:&quot;article-journal&quot;,&quot;id&quot;:&quot;68eb1ea3-3673-3fce-9286-98fc97fa387b&quot;,&quot;title&quot;:&quot;Sedation versus no sedation in the performance of diagnostic upper gastrointestinal endoscopy: a Canadian randomized controlled cost-outcome study.&quot;,&quot;author&quot;:[{&quot;family&quot;:&quot;Abraham&quot;,&quot;given&quot;:&quot;Neena S&quot;,&quot;parse-names&quot;:false,&quot;dropping-particle&quot;:&quot;&quot;,&quot;non-dropping-particle&quot;:&quot;&quot;},{&quot;family&quot;:&quot;Fallone&quot;,&quot;given&quot;:&quot;Carlo A&quot;,&quot;parse-names&quot;:false,&quot;dropping-particle&quot;:&quot;&quot;,&quot;non-dropping-particle&quot;:&quot;&quot;},{&quot;family&quot;:&quot;Mayrand&quot;,&quot;given&quot;:&quot;Serge&quot;,&quot;parse-names&quot;:false,&quot;dropping-particle&quot;:&quot;&quot;,&quot;non-dropping-particle&quot;:&quot;&quot;},{&quot;family&quot;:&quot;Huang&quot;,&quot;given&quot;:&quot;Jack&quot;,&quot;parse-names&quot;:false,&quot;dropping-particle&quot;:&quot;&quot;,&quot;non-dropping-particle&quot;:&quot;&quot;},{&quot;family&quot;:&quot;Wieczorek&quot;,&quot;given&quot;:&quot;Paul&quot;,&quot;parse-names&quot;:false,&quot;dropping-particle&quot;:&quot;&quot;,&quot;non-dropping-particle&quot;:&quot;&quot;},{&quot;family&quot;:&quot;Barkun&quot;,&quot;given&quot;:&quot;Alan N&quot;,&quot;parse-names&quot;:false,&quot;dropping-particle&quot;:&quot;&quot;,&quot;non-dropping-particle&quot;:&quot;&quot;}],&quot;container-title&quot;:&quot;The American journal of gastroenterology&quot;,&quot;DOI&quot;:&quot;10.1111/j.1572-0241.2004.40157.x&quot;,&quot;ISSN&quot;:&quot;0002-9270&quot;,&quot;PMID&quot;:&quot;15330904&quot;,&quot;URL&quot;:&quot;http://www.ncbi.nlm.nih.gov/pubmed/15330904&quot;,&quot;issued&quot;:{&quot;date-parts&quot;:[[2004,9]]},&quot;page&quot;:&quot;1692-9&quot;,&quot;abstract&quot;:&quot;BACKGROUND Sedation is not required to perform a technically adequate gastroscopy (EGDE), but does improve patient satisfaction, comfort, and willingness to repeat particularly in the elderly and those with decreased pharyngeal sensitivity. The comparative cost-efficacy of sedation versus no sedation remains poorly characterized. AIM To compare the cost-efficacy of diagnostic EGDE with and without sedation in an adult ambulatory Canadian population. METHODS A double-blind randomized controlled trial assigned patients to sedation versus placebo. \&quot;Successful endoscopy\&quot; was considered an EGDE rated 4/4 in technical adequacy (1 = inadequate to 4 = totally adequate), and 1-2/5 in patient self-reported comfort (1 = acceptable to 5 = unacceptable). Secondary outcomes included recovery room time, patient satisfaction alone, and willingness to repeat the procedure. Cost data were obtained using a published, institutional activity-based costing methodology. Analysis was intention to treat using standard univariate and multivariate methods. RESULTS 419 patients (mean age 54.5, 48% male) were randomized (N = 210 active vs N = 209 placebo). Among patients randomized to active medication 76% of procedures were \&quot;successful\&quot; (placebo 46%), 79% were satisfied with their level of comfort (placebo 47%), and willingness to repeat was 81% (placebo 65%). We observed a 10% crossover rate from placebo to active medications. The use of sedation was the major determinant of successful endoscopy (OR = 3.8; 95% CI: 2.5-5.7), but contributed to an increased recovery room time (29 vs 15 min; p &lt; 0.0001). The expected cost of an additional successful endoscopy using sedation was $90.06 (CDN). In a planned subgroup analysis, among the elderly (&gt;75; N = 53) unsedated endoscopy became the dominant approach. Indeed, in this population, a trend was observed favoring the effectiveness of placebo (63%) versus active medication (57%) (OR = 0.75; 95% CI: 0.25-2.3) and was less costly resulting in $450 savings/unsedated EGDE. CONCLUSIONS In the average Canadian ambulatory adult population, sedated diagnostic EGDE is more costly but remains an efficacious strategy by increasing the rate of successful endoscopies, patient satisfaction, and willingness to repeat. However, among the elderly (&gt;75 yr), an unsedated strategy may be more cost-efficacious.&quot;,&quot;issue&quot;:&quot;9&quot;,&quot;volume&quot;:&quot;99&quot;}}],&quot;properties&quot;:{&quot;noteIndex&quot;:0}},{&quot;citationID&quot;:&quot;MENDELEY_CITATION_1e6b29f8-9ff8-4f7b-a614-2b177abec884&quot;,&quot;citationItems&quot;:[{&quot;id&quot;:&quot;edfb0d0c-e97f-3e2d-9b78-9dce543a0769&quot;,&quot;itemData&quot;:{&quot;type&quot;:&quot;article-journal&quot;,&quot;id&quot;:&quot;edfb0d0c-e97f-3e2d-9b78-9dce543a0769&quot;,&quot;title&quot;:&quot;A systematic review and meta-analysis of randomized, controlled trials of moderate sedation for routine endoscopic procedures.&quot;,&quot;author&quot;:[{&quot;family&quot;:&quot;McQuaid&quot;,&quot;given&quot;:&quot;Kenneth R&quot;,&quot;parse-names&quot;:false,&quot;dropping-particle&quot;:&quot;&quot;,&quot;non-dropping-particle&quot;:&quot;&quot;},{&quot;family&quot;:&quot;Laine&quot;,&quot;given&quot;:&quot;Loren&quot;,&quot;parse-names&quot;:false,&quot;dropping-particle&quot;:&quot;&quot;,&quot;non-dropping-particle&quot;:&quot;&quot;}],&quot;container-title&quot;:&quot;Gastrointestinal endoscopy&quot;,&quot;DOI&quot;:&quot;10.1016/j.gie.2007.12.046&quot;,&quot;ISSN&quot;:&quot;0016-5107&quot;,&quot;PMID&quot;:&quot;18440381&quot;,&quot;URL&quot;:&quot;http://www.ncbi.nlm.nih.gov/pubmed/18440381&quot;,&quot;issued&quot;:{&quot;date-parts&quot;:[[2008,5]]},&quot;page&quot;:&quot;910-23&quot;,&quot;abstract&quot;:&quot;BACKGROUND Numerous agents are available for moderate sedation in endoscopy. OBJECTIVE Our purpose was to compare efficacy, safety, and efficiency of agents used for moderate sedation in EGD or colonoscopy. DESIGN Systematic review of computerized bibliographic databases for randomized trials of moderate sedation that compared 2 active regimens or 1 active regimen with placebo or no sedation. PATIENTS Unselected adults undergoing EGD or colonoscopy with a goal of moderate sedation. MAIN OUTCOME MEASUREMENTS Sedation-related complications, patient assessments (satisfaction, pain, memory, willingness to repeat examination), physician assessments (satisfaction, level of sedation, patient cooperation, examination quality), and procedure-related efficiency outcomes (sedation, procedure, or recovery time). RESULTS Thirty-six studies (N = 3918 patients) were included. Sedation improved patient satisfaction (relative risk [RR] = 2.29, range 1.16-4.53) and willingness to repeat EGD (RR = 1.25, range 1.13-1.38) versus no sedation. Midazolam provided superior patient satisfaction to diazepam (RR = 1.18, range 1.07-1.29) and less frequent memory of EGD (RR = 0.57, range 0.50-0.60) versus diazepam. Adverse events and patient/physician assessments were not significantly different for midazolam (with or without narcotics) versus propofol except for slightly less patient satisfaction (RR = 0.90, range 0.83-0.97) and more frequent memory (RR = 3.00, range 1.25-7.21) with midazolam plus narcotics. Procedure times were similar, but sedation and recovery times were shorter with propofol than midazolam-based regimens. LIMITATIONS Marked variability in design, regimens tested, and outcomes assessed; relatively poor methodologic quality (Jadad score &lt;/=3 in 23/36 trials). CONCLUSIONS Moderate sedation provides a high level of physician and patient satisfaction and a low risk of serious adverse events with all currently available agents. Midazolam-based regimens have longer sedation and recovery times than does propofol.&quot;,&quot;issue&quot;:&quot;6&quot;,&quot;volume&quot;:&quot;67&quot;}}],&quot;properties&quot;:{&quot;noteIndex&quot;:0}},{&quot;citationID&quot;:&quot;MENDELEY_CITATION_e0fe904a-9deb-4b4e-b834-dfd96fcc5c37&quot;,&quot;citationItems&quot;:[{&quot;id&quot;:&quot;ecf133bb-e318-3de8-b79c-6455fc296af1&quot;,&quot;itemData&quot;:{&quot;type&quot;:&quot;article-journal&quot;,&quot;id&quot;:&quot;ecf133bb-e318-3de8-b79c-6455fc296af1&quot;,&quot;title&quot;:&quot;Guidelines for sedation and anesthesia in GI endoscopy.&quot;,&quot;author&quot;:[{&quot;family&quot;:&quot;ASGE Standards of Practice Committee&quot;,&quot;given&quot;:&quot;&quot;,&quot;parse-names&quot;:false,&quot;dropping-particle&quot;:&quot;&quot;,&quot;non-dropping-particle&quot;:&quot;&quot;},{&quot;family&quot;:&quot;Early&quot;,&quot;given&quot;:&quot;Dayna S&quot;,&quot;parse-names&quot;:false,&quot;dropping-particle&quot;:&quot;&quot;,&quot;non-dropping-particle&quot;:&quot;&quot;},{&quot;family&quot;:&quot;Lightdale&quot;,&quot;given&quot;:&quot;Jenifer R&quot;,&quot;parse-names&quot;:false,&quot;dropping-particle&quot;:&quot;&quot;,&quot;non-dropping-particle&quot;:&quot;&quot;},{&quot;family&quot;:&quot;Vargo&quot;,&quot;given&quot;:&quot;John J&quot;,&quot;parse-names&quot;:false,&quot;dropping-particle&quot;:&quot;&quot;,&quot;non-dropping-particle&quot;:&quot;&quot;},{&quot;family&quot;:&quot;Acosta&quot;,&quot;given&quot;:&quot;Ruben D&quot;,&quot;parse-names&quot;:false,&quot;dropping-particle&quot;:&quot;&quot;,&quot;non-dropping-particle&quot;:&quot;&quot;},{&quot;family&quot;:&quot;Chandrasekhara&quot;,&quot;given&quot;:&quot;Vinay&quot;,&quot;parse-names&quot;:false,&quot;dropping-particle&quot;:&quot;&quot;,&quot;non-dropping-particle&quot;:&quot;&quot;},{&quot;family&quot;:&quot;Chathadi&quot;,&quot;given&quot;:&quot;Krishnavel&quot;,&quot;parse-names&quot;:false,&quot;dropping-particle&quot;:&quot;v&quot;,&quot;non-dropping-particle&quot;:&quot;&quot;},{&quot;family&quot;:&quot;Evans&quot;,&quot;given&quot;:&quot;John A&quot;,&quot;parse-names&quot;:false,&quot;dropping-particle&quot;:&quot;&quot;,&quot;non-dropping-particle&quot;:&quot;&quot;},{&quot;family&quot;:&quot;Fisher&quot;,&quot;given&quot;:&quot;Deborah A&quot;,&quot;parse-names&quot;:false,&quot;dropping-particle&quot;:&quot;&quot;,&quot;non-dropping-particle&quot;:&quot;&quot;},{&quot;family&quot;:&quot;Fonkalsrud&quot;,&quot;given&quot;:&quot;Lisa&quot;,&quot;parse-names&quot;:false,&quot;dropping-particle&quot;:&quot;&quot;,&quot;non-dropping-particle&quot;:&quot;&quot;},{&quot;family&quot;:&quot;Hwang&quot;,&quot;given&quot;:&quot;Joo Ha&quot;,&quot;parse-names&quot;:false,&quot;dropping-particle&quot;:&quot;&quot;,&quot;non-dropping-particle&quot;:&quot;&quot;},{&quot;family&quot;:&quot;Khashab&quot;,&quot;given&quot;:&quot;Mouen A&quot;,&quot;parse-names&quot;:false,&quot;dropping-particle&quot;:&quot;&quot;,&quot;non-dropping-particle&quot;:&quot;&quot;},{&quot;family&quot;:&quot;Muthusamy&quot;,&quot;given&quot;:&quot;V Raman&quot;,&quot;parse-names&quot;:false,&quot;dropping-particle&quot;:&quot;&quot;,&quot;non-dropping-particle&quot;:&quot;&quot;},{&quot;family&quot;:&quot;Pasha&quot;,&quot;given&quot;:&quot;Shabana F&quot;,&quot;parse-names&quot;:false,&quot;dropping-particle&quot;:&quot;&quot;,&quot;non-dropping-particle&quot;:&quot;&quot;},{&quot;family&quot;:&quot;Saltzman&quot;,&quot;given&quot;:&quot;John R&quot;,&quot;parse-names&quot;:false,&quot;dropping-particle&quot;:&quot;&quot;,&quot;non-dropping-particle&quot;:&quot;&quot;},{&quot;family&quot;:&quot;Shergill&quot;,&quot;given&quot;:&quot;Amandeep K&quot;,&quot;parse-names&quot;:false,&quot;dropping-particle&quot;:&quot;&quot;,&quot;non-dropping-particle&quot;:&quot;&quot;},{&quot;family&quot;:&quot;Cash&quot;,&quot;given&quot;:&quot;Brooks D&quot;,&quot;parse-names&quot;:false,&quot;dropping-particle&quot;:&quot;&quot;,&quot;non-dropping-particle&quot;:&quot;&quot;},{&quot;family&quot;:&quot;DeWitt&quot;,&quot;given&quot;:&quot;John M&quot;,&quot;parse-names&quot;:false,&quot;dropping-particle&quot;:&quot;&quot;,&quot;non-dropping-particle&quot;:&quot;&quot;}],&quot;container-title&quot;:&quot;Gastrointestinal endoscopy&quot;,&quot;DOI&quot;:&quot;10.1016/j.gie.2017.07.018&quot;,&quot;ISSN&quot;:&quot;1097-6779&quot;,&quot;PMID&quot;:&quot;29306520&quot;,&quot;URL&quot;:&quot;http://www.ncbi.nlm.nih.gov/pubmed/29306520&quot;,&quot;issued&quot;:{&quot;date-parts&quot;:[[2018]]},&quot;page&quot;:&quot;327-337&quot;,&quot;issue&quot;:&quot;2&quot;,&quot;volume&quot;:&quot;87&quot;}}],&quot;properties&quot;:{&quot;noteIndex&quot;:0}},{&quot;citationID&quot;:&quot;MENDELEY_CITATION_6dd6ee77-0eff-4944-baa9-fa3d13242774&quot;,&quot;citationItems&quot;:[{&quot;id&quot;:&quot;68e8dd60-ee26-3c25-ab80-6b5d6439d3af&quot;,&quot;itemData&quot;:{&quot;type&quot;:&quot;article-journal&quot;,&quot;id&quot;:&quot;68e8dd60-ee26-3c25-ab80-6b5d6439d3af&quot;,&quot;title&quot;:&quot;Quality standards in upper gastrointestinal endoscopy: a position statement of the British Society of Gastroenterology (BSG) and Association of Upper Gastrointestinal Surgeons of Great Britain and Ireland (AUGIS).&quot;,&quot;author&quot;:[{&quot;family&quot;:&quot;Beg&quot;,&quot;given&quot;:&quot;Sabina&quot;,&quot;parse-names&quot;:false,&quot;dropping-particle&quot;:&quot;&quot;,&quot;non-dropping-particle&quot;:&quot;&quot;},{&quot;family&quot;:&quot;Ragunath&quot;,&quot;given&quot;:&quot;Krish&quot;,&quot;parse-names&quot;:false,&quot;dropping-particle&quot;:&quot;&quot;,&quot;non-dropping-particle&quot;:&quot;&quot;},{&quot;family&quot;:&quot;Wyman&quot;,&quot;given&quot;:&quot;Andrew&quot;,&quot;parse-names&quot;:false,&quot;dropping-particle&quot;:&quot;&quot;,&quot;non-dropping-particle&quot;:&quot;&quot;},{&quot;family&quot;:&quot;Banks&quot;,&quot;given&quot;:&quot;Matthew&quot;,&quot;parse-names&quot;:false,&quot;dropping-particle&quot;:&quot;&quot;,&quot;non-dropping-particle&quot;:&quot;&quot;},{&quot;family&quot;:&quot;Trudgill&quot;,&quot;given&quot;:&quot;Nigel&quot;,&quot;parse-names&quot;:false,&quot;dropping-particle&quot;:&quot;&quot;,&quot;non-dropping-particle&quot;:&quot;&quot;},{&quot;family&quot;:&quot;Pritchard&quot;,&quot;given&quot;:&quot;D Mark&quot;,&quot;parse-names&quot;:false,&quot;dropping-particle&quot;:&quot;&quot;,&quot;non-dropping-particle&quot;:&quot;&quot;},{&quot;family&quot;:&quot;Riley&quot;,&quot;given&quot;:&quot;Stuart&quot;,&quot;parse-names&quot;:false,&quot;dropping-particle&quot;:&quot;&quot;,&quot;non-dropping-particle&quot;:&quot;&quot;},{&quot;family&quot;:&quot;Anderson&quot;,&quot;given&quot;:&quot;John&quot;,&quot;parse-names&quot;:false,&quot;dropping-particle&quot;:&quot;&quot;,&quot;non-dropping-particle&quot;:&quot;&quot;},{&quot;family&quot;:&quot;Griffiths&quot;,&quot;given&quot;:&quot;Helen&quot;,&quot;parse-names&quot;:false,&quot;dropping-particle&quot;:&quot;&quot;,&quot;non-dropping-particle&quot;:&quot;&quot;},{&quot;family&quot;:&quot;Bhandari&quot;,&quot;given&quot;:&quot;Pradeep&quot;,&quot;parse-names&quot;:false,&quot;dropping-particle&quot;:&quot;&quot;,&quot;non-dropping-particle&quot;:&quot;&quot;},{&quot;family&quot;:&quot;Kaye&quot;,&quot;given&quot;:&quot;Phillip&quot;,&quot;parse-names&quot;:false,&quot;dropping-particle&quot;:&quot;&quot;,&quot;non-dropping-particle&quot;:&quot;&quot;},{&quot;family&quot;:&quot;Veitch&quot;,&quot;given&quot;:&quot;Andrew&quot;,&quot;parse-names&quot;:false,&quot;dropping-particle&quot;:&quot;&quot;,&quot;non-dropping-particle&quot;:&quot;&quot;}],&quot;container-title&quot;:&quot;Gut&quot;,&quot;DOI&quot;:&quot;10.1136/gutjnl-2017-314109&quot;,&quot;ISSN&quot;:&quot;1468-3288&quot;,&quot;PMID&quot;:&quot;28821598&quot;,&quot;URL&quot;:&quot;http://www.ncbi.nlm.nih.gov/pubmed/28821598&quot;,&quot;issued&quot;:{&quot;date-parts&quot;:[[2017]]},&quot;page&quot;:&quot;1886-1899&quot;,&quot;abstract&quot;:&quot;This document represents the first position statement produced by the British Society of Gastroenterology and Association of Upper Gastrointestinal Surgeons of Great Britain and Ireland, setting out the minimum expected standards in diagnostic upper gastrointestinal endoscopy. The need for this statement has arisen from the recognition that while technical competence can be rapidly acquired, in practice the performance of a high-quality examination is variable, with an unacceptably high rate of failure to diagnose cancer at endoscopy. The importance of detecting early neoplasia has taken on greater significance in this era of minimally invasive, organ-preserving endoscopic therapy. In this position statement we describe 38 recommendations to improve diagnostic endoscopy quality. Our goal is to emphasise practices that encourage mucosal inspection and lesion recognition, with the aim of optimising the early diagnosis of upper gastrointestinal disease and improving patient outcomes.&quot;,&quot;issue&quot;:&quot;11&quot;,&quot;volume&quot;:&quot;66&quot;}}],&quot;properties&quot;:{&quot;noteIndex&quot;:0}},{&quot;citationID&quot;:&quot;MENDELEY_CITATION_4ba6bfe4-f782-4734-8aa0-fa8691122643&quot;,&quot;citationItems&quot;:[{&quot;id&quot;:&quot;0911664f-6445-3edc-828d-ed144de4e9ab&quot;,&quot;itemData&quot;:{&quot;type&quot;:&quot;article-journal&quot;,&quot;id&quot;:&quot;0911664f-6445-3edc-828d-ed144de4e9ab&quot;,&quot;title&quot;:&quot;How commonly is upper gastrointestinal cancer missed at endoscopy? A meta-analysis.&quot;,&quot;author&quot;:[{&quot;family&quot;:&quot;Menon&quot;,&quot;given&quot;:&quot;Shyam&quot;,&quot;parse-names&quot;:false,&quot;dropping-particle&quot;:&quot;&quot;,&quot;non-dropping-particle&quot;:&quot;&quot;},{&quot;family&quot;:&quot;Trudgill&quot;,&quot;given&quot;:&quot;Nigel&quot;,&quot;parse-names&quot;:false,&quot;dropping-particle&quot;:&quot;&quot;,&quot;non-dropping-particle&quot;:&quot;&quot;}],&quot;container-title&quot;:&quot;Endoscopy international open&quot;,&quot;DOI&quot;:&quot;10.1055/s-0034-1365524&quot;,&quot;ISSN&quot;:&quot;2364-3722&quot;,&quot;PMID&quot;:&quot;26135259&quot;,&quot;URL&quot;:&quot;http://www.ncbi.nlm.nih.gov/pubmed/26135259&quot;,&quot;issued&quot;:{&quot;date-parts&quot;:[[2014,6]]},&quot;page&quot;:&quot;E46-50&quot;,&quot;abstract&quot;:&quot;BACKGROUND AND STUDY AIMS Upper gastrointestinal (UGI) cancer in the Western world usually presents at an advanced stage, when opportunities for curative therapy are limited. The failure to detect subtle, early-stage UGI cancer at endoscopy may contribute to a poor prognosis. We undertook a meta-analysis of studies of endoscopic miss rates for UGI cancer to quantify how often opportunities to diagnose cancer at an earlier stage are missed. PATIENTS AND METHODS A MEDLINE search was conducted to identify relevant studies, and a meta-analysis was conducted. \&quot;Missed\&quot; UGI cancer was defined as cancer that had not been diagnosed by UGI endoscopy performed within 3 years before the diagnosis. Random effects meta-analysis was used to determine the event rate of missed UGI cancer. RESULTS Ten studies were identified that included 3,787 patients with UGI cancer. Four hundred eighty-seven UGI cancers were missed at endoscopy within 3 years before diagnosis. Marked heterogeneity was observed between studies (I (2), 94.4 %; P &lt; 0.001). On random effects meta-analysis, the pooled miss rates were 6.4 % (95 % confidence interval [CI], 4.3 % - 9.5 %) within 1 year and 11.3 % (95 % CI, 7.5 % - 16.6 %) within 3 years before diagnosis. There appeared to be no difference between the miss rates of oesophageal (44 %) and gastric (51 %) cancer (P = 0.42). Conclusion It appears that 11.3 % of UGI cancers are missed at endoscopy up to 3 years before diagnosis. To ameliorate the poor prognosis of patients with UGI cancer in the Western world, efforts should be made to improve the quality of UGI endoscopy and create opportunities for earlier diagnosis.&quot;,&quot;issue&quot;:&quot;2&quot;,&quot;volume&quot;:&quot;2&quot;}}],&quot;properties&quot;:{&quot;noteIndex&quot;:0}}]"/>
    <we:property name="MENDELEY_CITATIONS_STYLE" value="&quot;https://www.zotero.org/styles/gastroenterolog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5567-5C70-458D-8CDC-EE0CBE98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嘉伟</dc:creator>
  <cp:keywords/>
  <dc:description/>
  <cp:lastModifiedBy>周 嘉伟</cp:lastModifiedBy>
  <cp:revision>3</cp:revision>
  <dcterms:created xsi:type="dcterms:W3CDTF">2020-12-07T05:12:00Z</dcterms:created>
  <dcterms:modified xsi:type="dcterms:W3CDTF">2020-12-07T05:12:00Z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http://www.zotero.org/styles/national-library-of-medicine-grant-proposals</vt:lpwstr>
  </property>
  <property fmtid="{D5CDD505-2E9C-101B-9397-08002B2CF9AE}" pid="19" name="Mendeley Recent Style Name 8_1">
    <vt:lpwstr>National Library of Medicine (grant proposals with PMCID/PMID)</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1830b6c4-a367-3980-9407-8fa1db49b758</vt:lpwstr>
  </property>
  <property fmtid="{D5CDD505-2E9C-101B-9397-08002B2CF9AE}" pid="24" name="Mendeley Citation Style_1">
    <vt:lpwstr>http://www.zotero.org/styles/national-library-of-medicine-grant-proposals</vt:lpwstr>
  </property>
</Properties>
</file>