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47" w:rsidRPr="00A16A77" w:rsidRDefault="00126347" w:rsidP="004A18F0">
      <w:pPr>
        <w:pStyle w:val="Textosinformato"/>
        <w:widowControl w:val="0"/>
        <w:spacing w:line="360" w:lineRule="auto"/>
        <w:ind w:left="1416" w:hanging="1416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A16A77">
        <w:rPr>
          <w:rFonts w:ascii="Arial" w:hAnsi="Arial" w:cs="Arial"/>
          <w:b/>
          <w:sz w:val="24"/>
          <w:szCs w:val="24"/>
          <w:lang w:val="en-GB"/>
        </w:rPr>
        <w:t>ONLINE SUPPLEMENTARY MATERIAL</w:t>
      </w:r>
    </w:p>
    <w:p w:rsidR="00126347" w:rsidRPr="00A16A77" w:rsidRDefault="00126347" w:rsidP="00126347">
      <w:pPr>
        <w:jc w:val="both"/>
        <w:rPr>
          <w:rFonts w:ascii="Arial" w:hAnsi="Arial" w:cs="Arial"/>
          <w:b/>
          <w:lang w:val="en-GB" w:eastAsia="es-ES"/>
        </w:rPr>
      </w:pPr>
    </w:p>
    <w:p w:rsidR="00126347" w:rsidRPr="00A16A77" w:rsidRDefault="00126347" w:rsidP="009F3916">
      <w:pPr>
        <w:pStyle w:val="Textosinformato"/>
        <w:widowControl w:val="0"/>
        <w:spacing w:after="240" w:line="432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A16A77">
        <w:rPr>
          <w:rFonts w:ascii="Arial" w:hAnsi="Arial" w:cs="Arial"/>
          <w:b/>
          <w:sz w:val="24"/>
          <w:szCs w:val="24"/>
          <w:lang w:val="en-GB"/>
        </w:rPr>
        <w:t xml:space="preserve">Supplementary file 1. </w:t>
      </w:r>
      <w:r w:rsidRPr="00A16A77">
        <w:rPr>
          <w:rFonts w:ascii="Arial" w:hAnsi="Arial" w:cs="Arial"/>
          <w:sz w:val="24"/>
          <w:szCs w:val="24"/>
          <w:lang w:val="en-GB"/>
        </w:rPr>
        <w:t>Contribution log</w:t>
      </w:r>
    </w:p>
    <w:p w:rsidR="00F91E20" w:rsidRPr="00A16A77" w:rsidRDefault="00F91E20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 xml:space="preserve">Inmaculada Santaella Agencia Sanitaria Costa del Sol Marbella SPAIN Acquired data, critically reviewed the manuscript draft, and approved the </w:t>
      </w:r>
      <w:bookmarkStart w:id="0" w:name="_GoBack"/>
      <w:bookmarkEnd w:id="0"/>
      <w:r w:rsidRPr="00A16A77">
        <w:rPr>
          <w:rFonts w:ascii="Arial" w:hAnsi="Arial" w:cs="Arial"/>
          <w:lang w:val="en-GB"/>
        </w:rPr>
        <w:t>submitted manuscript.</w:t>
      </w:r>
    </w:p>
    <w:p w:rsidR="00F91E20" w:rsidRPr="00A16A77" w:rsidRDefault="00F91E20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Nuria Fernandez Moreno Agencia Sanitaria Costa del Sol Marbella SPAIN Acquired data, critically reviewed the manuscript draft, and approved the submitted manuscript.</w:t>
      </w:r>
    </w:p>
    <w:p w:rsidR="00922BCB" w:rsidRPr="00A16A77" w:rsidRDefault="00922BCB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Horacio Alonso Galán Hospital de Donosti San Sebastian SPAIN Acquired data, critically reviewed the manuscript draft, and approved the submitted manuscript.</w:t>
      </w:r>
    </w:p>
    <w:p w:rsidR="00E231DC" w:rsidRPr="00A16A77" w:rsidRDefault="00E231DC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Ana Garre Hospital Univeraitario La Princesa Madrid SPAIN Acquired data, critically reviewed the manuscript draft, and approved the submitted manuscript.</w:t>
      </w:r>
    </w:p>
    <w:p w:rsidR="00702DEC" w:rsidRPr="00A16A77" w:rsidRDefault="00702DEC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Pilar Canelles Hospital General Universitario de Valencia Valencia SPAIN Acquired data, critically reviewed the manuscript draft, and approved the submitted manuscript.</w:t>
      </w:r>
    </w:p>
    <w:p w:rsidR="00702DEC" w:rsidRPr="00A16A77" w:rsidRDefault="00702DEC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Luis Ferrer Hospital General Universitario de Valencia Valencia SPAIN Acquired data, critically reviewed the manuscript draft, and approved the submitted manuscript.</w:t>
      </w:r>
    </w:p>
    <w:p w:rsidR="00702DEC" w:rsidRPr="00A16A77" w:rsidRDefault="00702DEC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Enrique Medina-Chulia Hospital General Universitario de Valencia Valencia SPAIN Acquired data, critically reviewed the manuscript draft, and approved the submitted manuscript.</w:t>
      </w:r>
    </w:p>
    <w:p w:rsidR="00CB5142" w:rsidRPr="00A16A77" w:rsidRDefault="00CB5142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Miroslav Vujasinovic Slovenj Gradec General Hospital Slovenj Gradec SLOVENIA Acquired data, critically reviewed the manuscript draft, and approved the submitted manuscript.</w:t>
      </w:r>
    </w:p>
    <w:p w:rsidR="004E4641" w:rsidRPr="00A16A77" w:rsidRDefault="004E4641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lastRenderedPageBreak/>
        <w:t>Luís Elvas Portuguese Oncology Institute Coimbra PORTUGAL Acquired data, critically reviewed the manuscript draft, and approved the submitted manuscript.</w:t>
      </w:r>
    </w:p>
    <w:p w:rsidR="004E4641" w:rsidRPr="00A16A77" w:rsidRDefault="004E4641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Susana Isabel Alves Portuguese Oncology Institute Coimbra PORTUGAL Acquired data, critically reviewed the manuscript draft, and approved the submitted manuscript.</w:t>
      </w:r>
    </w:p>
    <w:p w:rsidR="004E4641" w:rsidRPr="00A16A77" w:rsidRDefault="004E4641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Luís Elvas Portuguese Oncology Institute Coimbra PORTUGAL Acquired data, critically reviewed the manuscript draft, and approved the submitted manuscript.</w:t>
      </w:r>
    </w:p>
    <w:p w:rsidR="004E4641" w:rsidRPr="00A16A77" w:rsidRDefault="004E4641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Sandra Saraiva Portuguese Oncology Institute Coimbra PORTUGAL Acquired data, critically reviewed the manuscript draft, and approved the submitted manuscript.</w:t>
      </w:r>
    </w:p>
    <w:p w:rsidR="004E4641" w:rsidRPr="00A16A77" w:rsidRDefault="004E4641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Luís Elvas Portuguese Oncology Institute Coimbra PORTUGAL Acquired data, critically reviewed the manuscript draft, and approved the submitted manuscript.</w:t>
      </w:r>
    </w:p>
    <w:p w:rsidR="004E4641" w:rsidRPr="00A16A77" w:rsidRDefault="004E4641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Daniel Brito Portuguese Oncology Institute Coimbra PORTUGAL Acquired data, critically reviewed the manuscript draft, and approved the submitted manuscript.</w:t>
      </w:r>
    </w:p>
    <w:p w:rsidR="004E4641" w:rsidRPr="00A16A77" w:rsidRDefault="004E4641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Luís Elvas Portuguese Oncology Institute Coimbra PORTUGAL Acquired data, critically reviewed the manuscript draft, and approved the submitted manuscript.</w:t>
      </w:r>
    </w:p>
    <w:p w:rsidR="004E4641" w:rsidRPr="00A16A77" w:rsidRDefault="004E4641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Ana Teresa Cadime Portuguese Oncology Institute Coimbra PORTUGAL Acquired data, critically reviewed the manuscript draft, and approved the submitted manuscript.</w:t>
      </w:r>
    </w:p>
    <w:p w:rsidR="00431778" w:rsidRPr="00A16A77" w:rsidRDefault="00431778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Noelia Alcaide Hospital Clínico Universitario Valladolid SPAIN Acquired the data, critically reviewed the manuscript draft, and approved the submitted manuscript.</w:t>
      </w:r>
    </w:p>
    <w:p w:rsidR="00431778" w:rsidRPr="00A16A77" w:rsidRDefault="00431778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lastRenderedPageBreak/>
        <w:t>Benito Velayos Hospital Clínico Universitario Valladolid SPAIN Acquired the data, critically reviewed the manuscript draft, and approved the submitted manuscript.</w:t>
      </w:r>
    </w:p>
    <w:p w:rsidR="00431778" w:rsidRPr="00A16A77" w:rsidRDefault="00431778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Javier Santos-Fernández Hospital Clínico Universitario Valladolid SPAIN Acquired the data, critically reviewed the manuscript draft, and approved the submitted manuscript.</w:t>
      </w:r>
    </w:p>
    <w:p w:rsidR="00431778" w:rsidRPr="00A16A77" w:rsidRDefault="00431778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Tommaso Di Maira University Hospital La Fe Valencia SPAIN Acquired data, critically reviewed the manuscript draft, and approved the submitted manuscript.</w:t>
      </w:r>
    </w:p>
    <w:p w:rsidR="00431778" w:rsidRPr="00A16A77" w:rsidRDefault="00431778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Xavier Molina-Infante Hospital San Pedro Alcántara Cáceres SPAIN Acquired data, critically reviewed the manuscript draft, and approved the submitted manuscript.</w:t>
      </w:r>
    </w:p>
    <w:p w:rsidR="00431778" w:rsidRPr="00A16A77" w:rsidRDefault="00431778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Angel Lanas Hospital Clinico Lozano Blesa Zaragoza SPAIN Acquired data, critically reviewed the manuscript draft, and approved the submitted manuscript.</w:t>
      </w:r>
    </w:p>
    <w:p w:rsidR="00976CDC" w:rsidRPr="00A16A77" w:rsidRDefault="00976CDC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Elida Oblitas Susanibar Consorci Sanitari Terrassa Terrassa SPAIN Acquired data, critically reviewed the manuscript draft, and approved the submitted manuscript.</w:t>
      </w:r>
    </w:p>
    <w:p w:rsidR="00DB028B" w:rsidRPr="00A16A77" w:rsidRDefault="00DB028B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Pedro Almela Hospital General Universitario de Castellon Castellon SPAIN Acquired data, critically reviewed the manuscript draft, and approved the submitted manuscript.</w:t>
      </w:r>
    </w:p>
    <w:p w:rsidR="008936BC" w:rsidRPr="00A16A77" w:rsidRDefault="008936BC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Manuel Jimenez-Moreno Hospital Universitario de Burgos Burgos SPAIN Acquired data, critically reviewed the manuscript draft, and approved the submitted manuscript.</w:t>
      </w:r>
    </w:p>
    <w:p w:rsidR="00F2617A" w:rsidRPr="00A16A77" w:rsidRDefault="00F2617A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Rafael Ruiz -Zorrilla Lopez Hospital de Sierrallana Torrelavega SPAIN Acquired data, critically reviewed the manuscript draft, and approved the submitted manuscript.</w:t>
      </w:r>
    </w:p>
    <w:p w:rsidR="00C25290" w:rsidRPr="00A16A77" w:rsidRDefault="00C25290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lastRenderedPageBreak/>
        <w:t>Maria Anatolyevna Livzan Omsk state medical academy Omsk RUSSIA Acquired data, critically reviewed the manuscript draft, and approved the submitted manuscript.</w:t>
      </w:r>
    </w:p>
    <w:p w:rsidR="0012479B" w:rsidRPr="00A16A77" w:rsidRDefault="0012479B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Liliana Silvia Pozzati Mérida Hospital Mérida SPAIN Acquired data, critically reviewed the manuscript draft, and approved the submitted manuscript.</w:t>
      </w:r>
    </w:p>
    <w:p w:rsidR="0012479B" w:rsidRPr="00A16A77" w:rsidRDefault="0012479B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Josep Maria Botargues Hospital Universitari de Bellvitge L'Hospitalet de Llobregat SPAIN Acquired data, critically reviewed the manuscript draft, and approved the submitted manuscript.</w:t>
      </w:r>
    </w:p>
    <w:p w:rsidR="0012479B" w:rsidRPr="00A16A77" w:rsidRDefault="0012479B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 xml:space="preserve">Alain Huerta-Madrigal </w:t>
      </w:r>
      <w:r w:rsidR="004A18F0" w:rsidRPr="00A16A77">
        <w:rPr>
          <w:rFonts w:ascii="Arial" w:hAnsi="Arial" w:cs="Arial"/>
          <w:color w:val="222222"/>
          <w:shd w:val="clear" w:color="auto" w:fill="FFFFFF"/>
          <w:lang w:val="en-GB"/>
        </w:rPr>
        <w:t xml:space="preserve">Hospital de Galdakao Bizkaia SPAIN </w:t>
      </w:r>
      <w:r w:rsidRPr="00A16A77">
        <w:rPr>
          <w:rFonts w:ascii="Arial" w:hAnsi="Arial" w:cs="Arial"/>
          <w:lang w:val="en-GB"/>
        </w:rPr>
        <w:t>Acquired the data, critically reviewed the manuscript draft, and approved the submitted manuscript.</w:t>
      </w:r>
    </w:p>
    <w:p w:rsidR="0012479B" w:rsidRPr="00A16A77" w:rsidRDefault="0012479B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Eduardo Iyo Hospital Comarcal de Inca Mallorca SPAIN Acquired data, critically reviewed the manuscript draft, and approved the submitted manuscript.</w:t>
      </w:r>
    </w:p>
    <w:p w:rsidR="0012479B" w:rsidRPr="00A16A77" w:rsidRDefault="00040DEF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Cristobal de la Coba Hospital de Cabueñes Gijon SPAIN Acquired data, critically reviewed the manuscripts draft, and approved the submitted manuscript.</w:t>
      </w:r>
    </w:p>
    <w:p w:rsidR="007B0DBA" w:rsidRPr="00A16A77" w:rsidRDefault="007B0DBA" w:rsidP="007B0DBA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Dag Arne Lihaug Hoff Hospital of Alesund Alesund NORWAY Acquired data, critically reviewed the manuscripts draft, and approved the submitted manuscript.</w:t>
      </w:r>
    </w:p>
    <w:p w:rsidR="007B0DBA" w:rsidRPr="00A16A77" w:rsidRDefault="007B0DBA" w:rsidP="007B0DBA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Ingrid Prytz Berset Hospital of Alesund Alesund NORWAY Acquired data, critically reviewed the manuscripts draft, and approved the submitted manuscript.</w:t>
      </w:r>
    </w:p>
    <w:p w:rsidR="00040DEF" w:rsidRPr="00A16A77" w:rsidRDefault="00040DEF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Dan Dumitrascu Medical Department 2, University of Medicine and Pharmacy Iuliu Hatieganu Cluj Napoca ROMANIA Acquired data, critically reviewed the manuscript draft, and approved the submitted manuscript.</w:t>
      </w:r>
    </w:p>
    <w:p w:rsidR="00040DEF" w:rsidRPr="00A16A77" w:rsidRDefault="00040DEF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Sergey Gennadievich Burkov Outpatient clinic Moscow RUSSIA Acquired data, critically reviewed the manuscript draft, and approved the submitted manuscript.</w:t>
      </w:r>
    </w:p>
    <w:p w:rsidR="002D75B1" w:rsidRPr="00A16A77" w:rsidRDefault="002D75B1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lastRenderedPageBreak/>
        <w:t>Mercè Barenys Hospital de Viladecans Viladecans SPAIN Acquired data, critically reviewed the manuscript draft, and approved the submitted manuscript.</w:t>
      </w:r>
    </w:p>
    <w:p w:rsidR="002D75B1" w:rsidRPr="00A16A77" w:rsidRDefault="002D75B1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Charo Antón Hospital Clínico de Valencia SPAIN Acquired data, critically reviewed the manuscript draft, and approved the submitted manuscript.</w:t>
      </w:r>
    </w:p>
    <w:p w:rsidR="00040DEF" w:rsidRPr="00A16A77" w:rsidRDefault="002D75B1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Ian Beales Norfolk and Norwich University Hospital Norwich U.K. Acquired data, critically reviewed the manuscript draft, and approved the submitted manuscript.</w:t>
      </w:r>
    </w:p>
    <w:p w:rsidR="002D75B1" w:rsidRPr="00A16A77" w:rsidRDefault="002D75B1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Vendel Kristensen Lovisenberg Diakonale Hospital Oslo NORWAY Acquired data, critically reviewed the manuscript draft, and approved the submitted manuscript.</w:t>
      </w:r>
    </w:p>
    <w:p w:rsidR="002D75B1" w:rsidRPr="00A16A77" w:rsidRDefault="002D75B1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Stephan Brackmann</w:t>
      </w:r>
      <w:r w:rsidRPr="00A16A77">
        <w:rPr>
          <w:lang w:val="en-GB"/>
        </w:rPr>
        <w:t xml:space="preserve"> </w:t>
      </w:r>
      <w:r w:rsidRPr="00A16A77">
        <w:rPr>
          <w:rFonts w:ascii="Arial" w:hAnsi="Arial" w:cs="Arial"/>
          <w:lang w:val="en-GB"/>
        </w:rPr>
        <w:t>Lovisenberg Diakonale Hospital Oslo NORWAY Acquired data, critically reviewed the manuscript draft, and approved the submitted manuscript.</w:t>
      </w:r>
    </w:p>
    <w:p w:rsidR="00727D97" w:rsidRPr="00A16A77" w:rsidRDefault="00727D97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 xml:space="preserve">Rustam Abdulkhakov </w:t>
      </w:r>
      <w:r w:rsidR="00F67E43" w:rsidRPr="00A16A77">
        <w:rPr>
          <w:rFonts w:ascii="Arial" w:hAnsi="Arial" w:cs="Arial"/>
          <w:lang w:val="en-GB"/>
        </w:rPr>
        <w:t xml:space="preserve">Kazan State Medical University Kazan </w:t>
      </w:r>
      <w:r w:rsidRPr="00A16A77">
        <w:rPr>
          <w:rFonts w:ascii="Arial" w:hAnsi="Arial" w:cs="Arial"/>
          <w:lang w:val="en-GB"/>
        </w:rPr>
        <w:t>RUSSIA Acquired data, critically reviewed the manuscript draft, and approved the submitted manuscript.</w:t>
      </w:r>
    </w:p>
    <w:p w:rsidR="00727D97" w:rsidRPr="00A16A77" w:rsidRDefault="00F67E43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Doron Boltin Rabin Medical Center, Beilinson Campus</w:t>
      </w:r>
      <w:r w:rsidR="000B686C" w:rsidRPr="00A16A77">
        <w:rPr>
          <w:rFonts w:ascii="Arial" w:hAnsi="Arial" w:cs="Arial"/>
          <w:lang w:val="en-GB"/>
        </w:rPr>
        <w:t xml:space="preserve"> </w:t>
      </w:r>
      <w:r w:rsidR="000B686C" w:rsidRPr="00A16A77">
        <w:rPr>
          <w:rFonts w:ascii="Arial" w:hAnsi="Arial" w:cs="Arial"/>
          <w:color w:val="222222"/>
          <w:shd w:val="clear" w:color="auto" w:fill="FFFFFF"/>
          <w:lang w:val="en-GB"/>
        </w:rPr>
        <w:t>and the Sackler School of Medicine</w:t>
      </w:r>
      <w:r w:rsidR="000B686C" w:rsidRPr="00A16A77">
        <w:rPr>
          <w:rFonts w:ascii="Arial" w:hAnsi="Arial" w:cs="Arial"/>
          <w:lang w:val="en-GB"/>
        </w:rPr>
        <w:t xml:space="preserve"> Tel Aviv University </w:t>
      </w:r>
      <w:r w:rsidRPr="00A16A77">
        <w:rPr>
          <w:rFonts w:ascii="Arial" w:hAnsi="Arial" w:cs="Arial"/>
          <w:lang w:val="en-GB"/>
        </w:rPr>
        <w:t>ISRAEL Acquired data, critically reviewed the manuscript draft, and approved the submitted manuscript.</w:t>
      </w:r>
    </w:p>
    <w:p w:rsidR="00C54AB3" w:rsidRPr="00A16A77" w:rsidRDefault="00C54AB3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Marina Fedorovna Osipenko Novosibirsk State Medical University Novosibirsk RUSSIA Acquired data, critically reviewed the manuscript draft, and approved the submitted manuscript.</w:t>
      </w:r>
    </w:p>
    <w:p w:rsidR="002D75B1" w:rsidRPr="00A16A77" w:rsidRDefault="00C54AB3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Igor Bakulin North-western State Medical University St Petersburg RUSSIA Acquired data, critically reviewed the manuscript draft, and approved the submitted manuscript.</w:t>
      </w:r>
    </w:p>
    <w:p w:rsidR="00C54AB3" w:rsidRPr="00A16A77" w:rsidRDefault="00C54AB3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lastRenderedPageBreak/>
        <w:t>Natalia Valerievna Bakulina North-western State Medical University St Petersburg RUSSIA Acquired data, critically reviewed the manuscript draft, and approved the submitted manuscript</w:t>
      </w:r>
    </w:p>
    <w:p w:rsidR="00C54AB3" w:rsidRPr="00A16A77" w:rsidRDefault="00182C7C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Miguel Fernandez-Bermejo Clinica San Francisco Caceres SPAIN Acquired data, critically reviewed the manuscript draft, and approved the submitted manuscript</w:t>
      </w:r>
    </w:p>
    <w:p w:rsidR="00182C7C" w:rsidRPr="00A16A77" w:rsidRDefault="00182C7C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Teresa Angueira Hospital General de Tomelloso Ciudad Real SPAIN Acquired data, critically reviewed the manuscript draft, and approved the submitted manuscript.</w:t>
      </w:r>
    </w:p>
    <w:p w:rsidR="00182C7C" w:rsidRPr="00A16A77" w:rsidRDefault="00182C7C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Denise Elizabeth Brennan Trinity College Dublin Dublin IRELAND Acquired data, critically reviewed the manuscript draft, and approved the submitted manuscript.</w:t>
      </w:r>
    </w:p>
    <w:p w:rsidR="00182C7C" w:rsidRPr="00A16A77" w:rsidRDefault="00182C7C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Sinead Smith Trinity College Dublin Dublin IRELAND Acquired data, critically reviewed the manuscript draft, and approved the submitted manuscript.</w:t>
      </w:r>
    </w:p>
    <w:p w:rsidR="00040DEF" w:rsidRPr="00A16A77" w:rsidRDefault="00ED1C16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Rosa Rosania Otto-von-Guericke University Hospital Magdeburg GERMANY Acquired data, critically reviewed the manuscript draft, and approved the submitted manuscript.</w:t>
      </w:r>
    </w:p>
    <w:p w:rsidR="00ED1C16" w:rsidRPr="00A16A77" w:rsidRDefault="009F4E96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Peter Malfertheiner Otto-von-Guericke University Hospital Magdeburg GERMANY Acquired data, critically reviewed the manuscript draft, and approved the submitted manuscript.</w:t>
      </w:r>
    </w:p>
    <w:p w:rsidR="007936A4" w:rsidRPr="00A16A77" w:rsidRDefault="007936A4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Ana Campillo Hospital Reina Sofia Tudela SPAIN Acquired data, critically reviewed the manuscript draft, and approved the submitted manuscript.</w:t>
      </w:r>
    </w:p>
    <w:p w:rsidR="007936A4" w:rsidRPr="00A16A77" w:rsidRDefault="00451DFF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Oscar Núñez Hospital Universitario Sanitas La Moraleja Madrid SPAIN Acquired data, critically reviewed the manuscript draft, and approved the submitted manuscript</w:t>
      </w:r>
      <w:r w:rsidR="00627718" w:rsidRPr="00A16A77">
        <w:rPr>
          <w:rFonts w:ascii="Arial" w:hAnsi="Arial" w:cs="Arial"/>
          <w:lang w:val="en-GB"/>
        </w:rPr>
        <w:t>.</w:t>
      </w:r>
    </w:p>
    <w:p w:rsidR="00627718" w:rsidRPr="00A16A77" w:rsidRDefault="00627718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Aiman Silkanovna Sarsenbaeva Gastroenterological center Chelyabinsk RUSSIA Acquired data, critically reviewed the manuscript draft, and approved the submitted manuscript.</w:t>
      </w:r>
    </w:p>
    <w:p w:rsidR="00C82A1F" w:rsidRPr="00A16A77" w:rsidRDefault="00C82A1F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lastRenderedPageBreak/>
        <w:t>Zaza Beniashvili Rabin Medical Center, Hospital Ha Sharon Petah Tikva ISRAEL Acquired data, critically reviewed the manuscript draft, and approved the submitted manuscript.</w:t>
      </w:r>
    </w:p>
    <w:p w:rsidR="00C82A1F" w:rsidRPr="00A16A77" w:rsidRDefault="00C82A1F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Ramon Pajares Hospital Universitario Infanta Sofía San Sebastian de los Reyes SPAIN Acquired data, critically reviewed the manuscript draft, and approved the submitted manuscript.</w:t>
      </w:r>
    </w:p>
    <w:p w:rsidR="0054336A" w:rsidRPr="00A16A77" w:rsidRDefault="0054336A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 xml:space="preserve">Victor Asparuhov Kamburov </w:t>
      </w:r>
      <w:r w:rsidR="002745F7" w:rsidRPr="00A16A77">
        <w:rPr>
          <w:rFonts w:ascii="Arial" w:hAnsi="Arial" w:cs="Arial"/>
          <w:lang w:val="en-GB"/>
        </w:rPr>
        <w:t xml:space="preserve">BalkanMed Medical Center </w:t>
      </w:r>
      <w:r w:rsidRPr="00A16A77">
        <w:rPr>
          <w:rFonts w:ascii="Arial" w:hAnsi="Arial" w:cs="Arial"/>
          <w:lang w:val="en-GB"/>
        </w:rPr>
        <w:t>Sofia BULGARIA Acquired data, critically reviewed the manuscript draft, and approved the submitted manuscript.</w:t>
      </w:r>
    </w:p>
    <w:p w:rsidR="0054336A" w:rsidRPr="00A16A77" w:rsidRDefault="0054336A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Alicia Algaba Hospital Universitario de Fuenlabrada Madrid SPAIN Acquired data, critically reviewed the manuscript draft, and approved the submitted manuscript.</w:t>
      </w:r>
    </w:p>
    <w:p w:rsidR="0054336A" w:rsidRPr="00A16A77" w:rsidRDefault="0054336A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Fernando Bermejo Hospital Universitario de Fuenlabrada Madrid SPAIN Acquired data, critically reviewed the manuscript draft, and approved the submitted manuscript.</w:t>
      </w:r>
    </w:p>
    <w:p w:rsidR="0054336A" w:rsidRPr="00A16A77" w:rsidRDefault="0054336A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Adi Lahat-zok Chaim Sheba medical center and Sackler School of Medicine, Tel Aviv University ISRAEL Acquired data, critically reviewed the manuscript draft, and approved the submitted manuscript.</w:t>
      </w:r>
    </w:p>
    <w:p w:rsidR="00627718" w:rsidRPr="00A16A77" w:rsidRDefault="0054336A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Jose Luis Dominguez Jimenez Hospital Alto Guadalquivir Andujar SPAIN Acquired data, critically reviewed the manuscript draft, and approved the submitted manuscript.</w:t>
      </w:r>
    </w:p>
    <w:p w:rsidR="008C3F70" w:rsidRPr="00A16A77" w:rsidRDefault="008C3F70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Barbara Gómez Hospital de Mataró Barcelona SPAIN Acquired data, critically reviewed the manuscript draft, and approved the submitted manuscript.</w:t>
      </w:r>
    </w:p>
    <w:p w:rsidR="008C3F70" w:rsidRPr="00A16A77" w:rsidRDefault="008C3F70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Llucia Tito Hospital de Mataró Barcelona SPAIN Acquired data, critically reviewed the manuscript draft, and approved the submitted manuscript.</w:t>
      </w:r>
    </w:p>
    <w:p w:rsidR="00560CC9" w:rsidRPr="00A16A77" w:rsidRDefault="00560CC9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Dragan Jurcic University Hospital Sveti Duh Zagreb CROATIA Acquired data, critically reviewed the manuscript draft, and approved the submitted manuscript.</w:t>
      </w:r>
    </w:p>
    <w:p w:rsidR="00560CC9" w:rsidRPr="00A16A77" w:rsidRDefault="00560CC9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lastRenderedPageBreak/>
        <w:t>Marinko Marusic University Hospital Sveti Duh Zagreb CROATIA Acquired data, critically reviewed the manuscript draft, and approved the submitted manuscript.</w:t>
      </w:r>
    </w:p>
    <w:p w:rsidR="009535DF" w:rsidRPr="00A16A77" w:rsidRDefault="009535DF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s-ES"/>
        </w:rPr>
        <w:t xml:space="preserve">Xavier Calvet Corporació Sanitària Universitària Parc Taulí. CIBERehd, Instituto de Salud Carlos III Departament de Medicina. </w:t>
      </w:r>
      <w:r w:rsidRPr="00A16A77">
        <w:rPr>
          <w:rFonts w:ascii="Arial" w:hAnsi="Arial" w:cs="Arial"/>
          <w:lang w:val="en-GB"/>
        </w:rPr>
        <w:t>Universitat Autònoma de Barcelona Sabadell SPAIN Acquired data, critically reviewed the manuscript draft, and approved the submitted manuscript.</w:t>
      </w:r>
    </w:p>
    <w:p w:rsidR="009535DF" w:rsidRPr="00A16A77" w:rsidRDefault="009535DF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s-ES"/>
        </w:rPr>
        <w:t xml:space="preserve">Ariadna Figuerola Corporació Sanitària Universitària Parc Taulí. </w:t>
      </w:r>
      <w:r w:rsidRPr="00A16A77">
        <w:rPr>
          <w:rFonts w:ascii="Arial" w:hAnsi="Arial" w:cs="Arial"/>
          <w:lang w:val="en-GB"/>
        </w:rPr>
        <w:t>CIBERehd, Instituto de Salud Carlos III Departament de Medicina. Universitat Autònoma de Barcelona Sabadell SPAIN Acquired data, critically reviewed the manuscript draft, and approved the submitted manuscript.</w:t>
      </w:r>
    </w:p>
    <w:p w:rsidR="00880A83" w:rsidRPr="00A16A77" w:rsidRDefault="00880A83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Gerardo Nardone University Federico II Naples ITALY Acquired data, critically reviewed the manuscript draft, and approved the submitted manuscript.</w:t>
      </w:r>
    </w:p>
    <w:p w:rsidR="00880A83" w:rsidRPr="00A16A77" w:rsidRDefault="00880A83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Alba Rocco University Federico II Naples ITALY Acquired data, critically reviewed the manuscript draft, and approved the submitted manuscript.</w:t>
      </w:r>
    </w:p>
    <w:p w:rsidR="00880A83" w:rsidRPr="00A16A77" w:rsidRDefault="00880A83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Edurne Amorena Complejo Hospitalario de Navarra Pamplona SPAIN Acquired data, critically reviewed the manuscript draft, and approved the submitted manuscript.</w:t>
      </w:r>
    </w:p>
    <w:p w:rsidR="00880A83" w:rsidRPr="00A16A77" w:rsidRDefault="00880A83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Fermin Estremera Complejo Hospitalario de Navarra Pamplona SPAIN Acquired data, critically reviewed the manuscript draft, and approved the submitted manuscript.</w:t>
      </w:r>
    </w:p>
    <w:p w:rsidR="00AA489E" w:rsidRPr="00A16A77" w:rsidRDefault="00AA489E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Pilar Sánchez-Pobre Hospital Clinico San Carlos Madrid SPAIN Acquired data, critically reviewed the manuscript draft, and approved the submitted manuscript.</w:t>
      </w:r>
    </w:p>
    <w:p w:rsidR="00AA489E" w:rsidRPr="00A16A77" w:rsidRDefault="00AA489E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Albert Tomàs Consorci Sanitari del Garraf Sant Pere de Ribes SPAIN Acquired data, critically reviewed the manuscript draft, and approved the submitted manuscript.</w:t>
      </w:r>
    </w:p>
    <w:p w:rsidR="00AA489E" w:rsidRPr="00A16A77" w:rsidRDefault="00AA489E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lastRenderedPageBreak/>
        <w:t>Ekaterina Yuryevna Plotnikova Kemerovo State Medical Academy Kuzbass Regional Hepatology Center Kemerovo RUSSIA Acquired data, critically reviewed the manuscript draft, and approved the submitted manuscript.</w:t>
      </w:r>
    </w:p>
    <w:p w:rsidR="00AA489E" w:rsidRPr="00A16A77" w:rsidRDefault="00AA489E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Francisco Jose Martinez Cerezo Hospital Sant Joan Reus SPAIN Acquired data, critically reviewed the manuscript draft, and approved the submitted manuscript.</w:t>
      </w:r>
    </w:p>
    <w:p w:rsidR="007A2FBA" w:rsidRPr="00A16A77" w:rsidRDefault="007A2FBA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Laszlo Czako First Medical Clinic Szeged HUNGARY Acquired data, critically reviewed the manuscript draft, and approved the submitted manuscript.</w:t>
      </w:r>
    </w:p>
    <w:p w:rsidR="0060605B" w:rsidRPr="00A16A77" w:rsidRDefault="0060605B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Marco Romano Università degli Studi della Campania "Luigi Vanvitelli" Napoli ITALY Acquired data, critically reviewed the manuscript draft, and approved the submitted manuscript.</w:t>
      </w:r>
    </w:p>
    <w:p w:rsidR="0054336A" w:rsidRPr="00A16A77" w:rsidRDefault="0060605B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Antonietta Gerarda Gravina Università degli Studi della Campania "Luigi Vanvitelli" Napoli ITALY Acquired data, critically reviewed the manuscript draft, and approved the submitted manuscript.</w:t>
      </w:r>
    </w:p>
    <w:p w:rsidR="005A44B5" w:rsidRPr="00A16A77" w:rsidRDefault="005A44B5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Fazia Mana UZ Brussel Jette BELGIUM Acquired data, critically reviewed the manuscript draft, and approved the submitted manuscript.</w:t>
      </w:r>
    </w:p>
    <w:p w:rsidR="005A44B5" w:rsidRPr="00A16A77" w:rsidRDefault="005A44B5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Christella Ukunda UZ Brussel Jette BELGIUM Acquired data, critically reviewed the manuscript draft, and approved the submitted manuscript.</w:t>
      </w:r>
    </w:p>
    <w:p w:rsidR="005D0CB6" w:rsidRPr="00A16A77" w:rsidRDefault="005D0CB6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Javier Alcedo Hospital de Barbastro Huesca SPAIN Acquired data, critically reviewed the manuscript draft, and approved the submitted manuscript.</w:t>
      </w:r>
    </w:p>
    <w:p w:rsidR="005D0CB6" w:rsidRPr="00A16A77" w:rsidRDefault="005D0CB6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Tatyana Vasilyevna Zhestkova Ryazan State Medical University Ryazan RUSSIA Acquired data, critically reviewed the manuscript draft, and approved the submitted manuscript.</w:t>
      </w:r>
    </w:p>
    <w:p w:rsidR="0060605B" w:rsidRPr="00A16A77" w:rsidRDefault="005D0CB6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Liya Nikolaevna Belousova North-Western State Medical University n.a. I.I.Mechnicov Saint-Petersburg RUSSIA Acquired data, critically reviewed the manuscript draft, and approved the submitted manuscript.</w:t>
      </w:r>
    </w:p>
    <w:p w:rsidR="00BE697B" w:rsidRPr="00A16A77" w:rsidRDefault="00BE697B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lastRenderedPageBreak/>
        <w:t>Larissa Tarasova Chuvash State University named after I.N. Ulyanov, the chair of faculty therapy Cheboksary RUSSIA Acquired data, critically reviewed the manuscript draft, and approved the submitted manuscript.</w:t>
      </w:r>
    </w:p>
    <w:p w:rsidR="00BE697B" w:rsidRPr="00A16A77" w:rsidRDefault="00BE697B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Ludmila Grigorieva Chuvash State University named after I.N. Ulyanov, the chair of faculty therapy Cheboksary RUSSIA Acquired data, critically reviewed the manuscript draft, and approved the submitted manuscript.</w:t>
      </w:r>
    </w:p>
    <w:p w:rsidR="003C1A72" w:rsidRPr="00A16A77" w:rsidRDefault="003C1A72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Diego Burgos Santamaría Hospital Universitario Ramón y Cajal, Instituto Ramón y Cajal De Investigación Sanitaria (IRYCIS), Universidad de Alcalá, Madrid SPAIN Acquired data, critically reviewed the manuscript draft, and approved the submitted manuscript.</w:t>
      </w:r>
    </w:p>
    <w:p w:rsidR="003B77A3" w:rsidRPr="00A16A77" w:rsidRDefault="003B77A3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Natalia Baryshnikova Fisrt St-Petersburg Pavlov State Medical University St-Petersburg RUSSIA Acquired data, critically reviewed the manuscript draft, and approved the submitted manuscript.</w:t>
      </w:r>
    </w:p>
    <w:p w:rsidR="003B77A3" w:rsidRPr="00A16A77" w:rsidRDefault="003B77A3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Jesús M González-Santiago Hospital Clínico Salamanca SPAIN Acquired data, critically reviewed the manuscript draft, and approved the submitted manuscript.</w:t>
      </w:r>
    </w:p>
    <w:p w:rsidR="000006C3" w:rsidRPr="00A16A77" w:rsidRDefault="000006C3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Roald Torp Sykehuset Innlandet, Hamar Hamar NORWAY Acquired data, critically reviewed the manuscript draft, and approved the submitted manuscript.</w:t>
      </w:r>
    </w:p>
    <w:p w:rsidR="000006C3" w:rsidRPr="00A16A77" w:rsidRDefault="000006C3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Yury Aleksandrovich Kucheryavyy Moscow State University of Medicine and Dentistry named after A.I. Evdokimov Moscow RUSSIA Acquired data, critically reviewed the manuscript draft, and approved the submitted manuscript.</w:t>
      </w:r>
    </w:p>
    <w:p w:rsidR="00D27E18" w:rsidRPr="00A16A77" w:rsidRDefault="00D27E18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Judith Millastre Hospital de Barbastro Barbastro SPAIN Acquired data, critically reviewed the manuscript draft, and approved the submitted manuscript.</w:t>
      </w:r>
    </w:p>
    <w:p w:rsidR="00D27E18" w:rsidRPr="00A16A77" w:rsidRDefault="00D27E18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Alla Kononova Department of General Practice Tver RUSSIA Acquired data, critically reviewed the manuscript draft, and approved the submitted manuscript.</w:t>
      </w:r>
    </w:p>
    <w:p w:rsidR="00D27E18" w:rsidRPr="00A16A77" w:rsidRDefault="00D27E18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lastRenderedPageBreak/>
        <w:t>Sergey Kolbasnikov The Head of Department of General Practice Tver RUSSIA Acquired data, critically reviewed the manuscript draft, and approved the submitted manuscript.</w:t>
      </w:r>
    </w:p>
    <w:p w:rsidR="00D27E18" w:rsidRPr="00A16A77" w:rsidRDefault="00D27E18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Anna Pakhomova Saratov State Clinical Hospital N5 RUSSIA Acquired data, critically reviewed the manuscript draft, and approved the submitted manuscript.</w:t>
      </w:r>
    </w:p>
    <w:p w:rsidR="001117F4" w:rsidRPr="00A16A77" w:rsidRDefault="001117F4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Oleksiy Gridnyev L.T.Malaya Therapy National Institute of the National Academy of Medical Sciences, Kharkiv UKRAINE Acquired data, critically reviewed the manuscript draft, and approved the submitted manuscript.</w:t>
      </w:r>
    </w:p>
    <w:p w:rsidR="00C44D51" w:rsidRPr="00A16A77" w:rsidRDefault="00C44D51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Antonio Cuadrado Lavin Hospital Universitario Marqués de Valdecilla Santander SPAIN Acquired data, critically reviewed the manuscript draft, and approved the submitted manuscript.</w:t>
      </w:r>
    </w:p>
    <w:p w:rsidR="000F73A3" w:rsidRPr="00A16A77" w:rsidRDefault="000F73A3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Marta Lozano Lanagran Hospital Quuiron Malaga SPAIN Acquired data, critically reviewed the manuscript draft, and approved the submitted manuscript.</w:t>
      </w:r>
    </w:p>
    <w:p w:rsidR="000F73A3" w:rsidRPr="00A16A77" w:rsidRDefault="000F73A3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Anne Courillon-Mallet Centre Hospitalier Intercommunal (CIHV) Villeneuve St Georges FRANCE Acquired data, critically reviewed the manuscript draft, and approved the submitted manuscript.</w:t>
      </w:r>
    </w:p>
    <w:p w:rsidR="000F73A3" w:rsidRPr="00A16A77" w:rsidRDefault="000F73A3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Marianela Mego Hospital General de Cataluña SPAIN Acquired data, critically reviewed the manuscript draft, and approved the submitted manuscript.</w:t>
      </w:r>
    </w:p>
    <w:p w:rsidR="000F73A3" w:rsidRPr="00A16A77" w:rsidRDefault="000F73A3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Antonio Cerezo-Ruiz Hospital Sierra de Segura Jaen SPAIN Acquired data, critically reviewed the manuscript draft, and approved the submitted manuscript.</w:t>
      </w:r>
    </w:p>
    <w:p w:rsidR="00B04EB2" w:rsidRPr="00A16A77" w:rsidRDefault="00B04EB2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color w:val="000000"/>
          <w:lang w:val="en-GB"/>
        </w:rPr>
        <w:t>Giulia Fiorini University of Bologna,</w:t>
      </w:r>
      <w:r w:rsidRPr="00A16A77">
        <w:rPr>
          <w:rFonts w:ascii="Calibri" w:hAnsi="Calibri" w:cs="Calibri"/>
          <w:color w:val="000000"/>
          <w:lang w:val="en-GB"/>
        </w:rPr>
        <w:t xml:space="preserve"> </w:t>
      </w:r>
      <w:r w:rsidRPr="00A16A77">
        <w:rPr>
          <w:rFonts w:ascii="Arial" w:hAnsi="Arial" w:cs="Arial"/>
          <w:lang w:val="en-GB"/>
        </w:rPr>
        <w:t>Bologna. ITALY Acquired data, critically reviewed the manuscript draft, and approved the submitted manuscript.</w:t>
      </w:r>
    </w:p>
    <w:p w:rsidR="00B04EB2" w:rsidRPr="00A16A77" w:rsidRDefault="00B04EB2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s-ES"/>
        </w:rPr>
        <w:t xml:space="preserve">Ilaria Maria Saracino </w:t>
      </w:r>
      <w:r w:rsidRPr="00A16A77">
        <w:rPr>
          <w:rFonts w:ascii="Arial" w:hAnsi="Arial" w:cs="Arial"/>
          <w:color w:val="000000"/>
          <w:lang w:val="es-ES"/>
        </w:rPr>
        <w:t>University of Bologna,</w:t>
      </w:r>
      <w:r w:rsidRPr="00A16A77">
        <w:rPr>
          <w:rFonts w:ascii="Calibri" w:hAnsi="Calibri" w:cs="Calibri"/>
          <w:color w:val="000000"/>
          <w:lang w:val="es-ES"/>
        </w:rPr>
        <w:t xml:space="preserve"> </w:t>
      </w:r>
      <w:r w:rsidRPr="00A16A77">
        <w:rPr>
          <w:rFonts w:ascii="Arial" w:hAnsi="Arial" w:cs="Arial"/>
          <w:lang w:val="es-ES"/>
        </w:rPr>
        <w:t xml:space="preserve">Bologna. </w:t>
      </w:r>
      <w:r w:rsidRPr="00A16A77">
        <w:rPr>
          <w:rFonts w:ascii="Arial" w:hAnsi="Arial" w:cs="Arial"/>
          <w:lang w:val="en-GB"/>
        </w:rPr>
        <w:t>ITALY Acquired data, critically reviewed the manuscript draft, and approved the submitted manuscript.</w:t>
      </w:r>
    </w:p>
    <w:p w:rsidR="00B04EB2" w:rsidRPr="00A16A77" w:rsidRDefault="00B04EB2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s-ES"/>
        </w:rPr>
        <w:lastRenderedPageBreak/>
        <w:t xml:space="preserve">Dino Vaira </w:t>
      </w:r>
      <w:r w:rsidRPr="00A16A77">
        <w:rPr>
          <w:rFonts w:ascii="Arial" w:hAnsi="Arial" w:cs="Arial"/>
          <w:color w:val="000000"/>
          <w:lang w:val="es-ES"/>
        </w:rPr>
        <w:t>University of Bologna,</w:t>
      </w:r>
      <w:r w:rsidRPr="00A16A77">
        <w:rPr>
          <w:rFonts w:ascii="Calibri" w:hAnsi="Calibri" w:cs="Calibri"/>
          <w:color w:val="000000"/>
          <w:lang w:val="es-ES"/>
        </w:rPr>
        <w:t xml:space="preserve"> </w:t>
      </w:r>
      <w:r w:rsidRPr="00A16A77">
        <w:rPr>
          <w:rFonts w:ascii="Arial" w:hAnsi="Arial" w:cs="Arial"/>
          <w:lang w:val="es-ES"/>
        </w:rPr>
        <w:t xml:space="preserve">Bologna. </w:t>
      </w:r>
      <w:r w:rsidRPr="00A16A77">
        <w:rPr>
          <w:rFonts w:ascii="Arial" w:hAnsi="Arial" w:cs="Arial"/>
          <w:lang w:val="en-GB"/>
        </w:rPr>
        <w:t>ITALY Acquired data, critically reviewed the manuscript draft, and approved the submitted manuscript.</w:t>
      </w:r>
    </w:p>
    <w:p w:rsidR="00B04EB2" w:rsidRPr="00A16A77" w:rsidRDefault="00B04EB2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Michael Selgrad Otto-von Guericke University Magdeburg GERMANY Acquired data, critically reviewed the manuscript draft, and approved the submitted manuscript.</w:t>
      </w:r>
    </w:p>
    <w:p w:rsidR="00B04EB2" w:rsidRPr="00A16A77" w:rsidRDefault="00B04EB2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Santiago Frago Larramona Hospital Santa Barbara Soria SPAIN Acquired data, critically reviewed the manuscript draft, and approved the submitted manuscript.</w:t>
      </w:r>
    </w:p>
    <w:p w:rsidR="00B04EB2" w:rsidRPr="00A16A77" w:rsidRDefault="00B04EB2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Marko Duvnjak University Centre Sestre Milosrdnice Zagreb CROATIA Acquired data, critically reviewed the manuscript draft, and approved the submitted manuscript.</w:t>
      </w:r>
    </w:p>
    <w:p w:rsidR="00B04EB2" w:rsidRPr="00A16A77" w:rsidRDefault="00B04EB2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Marko Nikolic University Centre Sestre Milosrdnice Zagreb CROATIA Acquired data, critically reviewed the manuscript draft, and approved the submitted manuscript.</w:t>
      </w:r>
    </w:p>
    <w:p w:rsidR="00B04EB2" w:rsidRPr="00A16A77" w:rsidRDefault="00B04EB2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Neven Ljubicic University Centre Sestre Milosrdnice Zagreb CROATIA Acquired data, critically reviewed the manuscript draft, and approved the submitted manuscript.</w:t>
      </w:r>
    </w:p>
    <w:p w:rsidR="00B04EB2" w:rsidRPr="00A16A77" w:rsidRDefault="000B4C90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Rolando Pinho Centro Hospitalar de Vila Nova de Gaia PORTUGAL Acquired data, critically reviewed the manuscript draft, and approved the submitted manuscript.</w:t>
      </w:r>
    </w:p>
    <w:p w:rsidR="000B4C90" w:rsidRPr="00A16A77" w:rsidRDefault="000B4C90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Igor Bakulin University Hospital n.a. Peter The Great Saint-Petersburg RUSSIA Acquired data, critically reviewed the manuscript draft, and approved the submitted manuscript.</w:t>
      </w:r>
    </w:p>
    <w:p w:rsidR="000B4C90" w:rsidRPr="00A16A77" w:rsidRDefault="008A6EA7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Valeriy Kryvy Crimean State Medical University named after S.I.Georgievskyi Simferopol UKRANIA Acquired data, critically reviewed the manuscript draft, and approved the submitted manuscript.</w:t>
      </w:r>
    </w:p>
    <w:p w:rsidR="008A6EA7" w:rsidRPr="00A16A77" w:rsidRDefault="008A6EA7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Peter Bytzer Koge University Hospital Koge DENMARK Acquired data, critically reviewed the manuscript draft, and approved the submitted manuscript.</w:t>
      </w:r>
    </w:p>
    <w:p w:rsidR="00D56677" w:rsidRPr="00A16A77" w:rsidRDefault="00D56677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lastRenderedPageBreak/>
        <w:t>Jane Moller Hansen Odense University Hospital DENMARK Acquired data, critically reviewed the manuscript draft, and approved the submitted manuscript.</w:t>
      </w:r>
    </w:p>
    <w:p w:rsidR="00D56677" w:rsidRPr="00A16A77" w:rsidRDefault="00D56677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Maria Pina Dore Clinica Medica, Dipartimento di Scienze Mediche, Chirurgiche e Sperimentali, Università di Sassari Sassari ITALY Acquired data, critically reviewed the manuscript draft, and approved the submitted manuscript.</w:t>
      </w:r>
    </w:p>
    <w:p w:rsidR="00D56677" w:rsidRPr="00A16A77" w:rsidRDefault="00D56677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Mirjana Kalauz Clinical Hospital Centre Zagreb CROATIA Acquired data, critically reviewed the manuscript draft, and approved the submitted manuscript.</w:t>
      </w:r>
    </w:p>
    <w:p w:rsidR="00C674E7" w:rsidRPr="00A16A77" w:rsidRDefault="00C674E7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Francesco Franceschi Catholic University of Rome Rome ITALY Acquired data, critically reviewed the manuscript draft, and approved the submitted manuscript.</w:t>
      </w:r>
    </w:p>
    <w:p w:rsidR="008A6EA7" w:rsidRPr="00A16A77" w:rsidRDefault="00C674E7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Jonathan Hirsch Meir Medical Center Kfar Saba ISRAEL Acquired data, critically reviewed the manuscript draft, and approved the submitted manuscript.</w:t>
      </w:r>
    </w:p>
    <w:p w:rsidR="000A2715" w:rsidRPr="00A16A77" w:rsidRDefault="000A2715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Lorena Sancho Del val Hospital Rey Juan Carlos Madrid SPAIN Acquired data, critically reviewed the manuscript draft, and approved the submitted manuscript.</w:t>
      </w:r>
    </w:p>
    <w:p w:rsidR="000A2715" w:rsidRPr="00A16A77" w:rsidRDefault="000A2715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Sandra Agudo Fernandez Hospital Rey Juan Carlos Madrid SPAIN Acquired data, critically reviewed the manuscript draft, and approved the submitted manuscript.</w:t>
      </w:r>
    </w:p>
    <w:p w:rsidR="00994539" w:rsidRPr="00A16A77" w:rsidRDefault="00994539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Angel Cedeño Hospital Comarcal Sant Jaume de Calella Barcelona SPAIN SPAIN Acquired data, critically reviewed the manuscript draft, and approved the submitted manuscript.</w:t>
      </w:r>
    </w:p>
    <w:p w:rsidR="00C743AC" w:rsidRPr="00A16A77" w:rsidRDefault="00CF2D55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t>Leyanira Torrealba Medina Hospital Universitario Dr. Josep Trueta Girona SPAIN Acquired data, critically reviewed the manuscript draft, and approved the submitted manuscript.</w:t>
      </w:r>
    </w:p>
    <w:p w:rsidR="00C743AC" w:rsidRPr="00A16A77" w:rsidRDefault="00C743AC">
      <w:pPr>
        <w:spacing w:after="200" w:line="276" w:lineRule="auto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lang w:val="en-GB"/>
        </w:rPr>
        <w:br w:type="page"/>
      </w:r>
    </w:p>
    <w:p w:rsidR="00C743AC" w:rsidRPr="00A16A77" w:rsidRDefault="00C743AC" w:rsidP="00C743AC">
      <w:pPr>
        <w:spacing w:line="480" w:lineRule="auto"/>
        <w:ind w:firstLine="284"/>
        <w:jc w:val="both"/>
        <w:rPr>
          <w:rFonts w:ascii="Arial" w:hAnsi="Arial" w:cs="Arial"/>
          <w:bCs/>
          <w:lang w:val="en-GB"/>
        </w:rPr>
      </w:pPr>
      <w:r w:rsidRPr="00A16A77">
        <w:rPr>
          <w:rFonts w:ascii="Arial" w:hAnsi="Arial" w:cs="Arial"/>
          <w:b/>
          <w:bCs/>
          <w:lang w:val="en-GB"/>
        </w:rPr>
        <w:lastRenderedPageBreak/>
        <w:t xml:space="preserve">Supplementary file 2. </w:t>
      </w:r>
      <w:r w:rsidRPr="00A16A77">
        <w:rPr>
          <w:rFonts w:ascii="Arial" w:hAnsi="Arial" w:cs="Arial"/>
          <w:bCs/>
          <w:lang w:val="en-GB"/>
        </w:rPr>
        <w:t>Adverse events by treatment scheme</w:t>
      </w:r>
    </w:p>
    <w:p w:rsidR="00C743AC" w:rsidRPr="00A16A77" w:rsidRDefault="00C743AC" w:rsidP="00C743AC">
      <w:pPr>
        <w:spacing w:line="480" w:lineRule="auto"/>
        <w:ind w:firstLine="284"/>
        <w:jc w:val="both"/>
        <w:rPr>
          <w:rFonts w:ascii="Arial" w:hAnsi="Arial" w:cs="Arial"/>
          <w:b/>
          <w:bCs/>
          <w:i/>
          <w:lang w:val="en-GB"/>
        </w:rPr>
      </w:pPr>
    </w:p>
    <w:p w:rsidR="00C743AC" w:rsidRPr="00A16A77" w:rsidRDefault="00C743AC" w:rsidP="00C743AC">
      <w:pPr>
        <w:spacing w:line="480" w:lineRule="auto"/>
        <w:ind w:firstLine="284"/>
        <w:jc w:val="both"/>
        <w:rPr>
          <w:rFonts w:ascii="Arial" w:hAnsi="Arial" w:cs="Arial"/>
          <w:b/>
          <w:bCs/>
          <w:i/>
          <w:lang w:val="en-GB"/>
        </w:rPr>
      </w:pPr>
      <w:r w:rsidRPr="00A16A77">
        <w:rPr>
          <w:rFonts w:ascii="Arial" w:hAnsi="Arial" w:cs="Arial"/>
          <w:b/>
          <w:bCs/>
          <w:i/>
          <w:lang w:val="en-GB"/>
        </w:rPr>
        <w:t>Triple therapies</w:t>
      </w:r>
    </w:p>
    <w:p w:rsidR="00C743AC" w:rsidRPr="00A16A77" w:rsidRDefault="00C743AC" w:rsidP="00C743AC">
      <w:pPr>
        <w:spacing w:line="480" w:lineRule="auto"/>
        <w:ind w:firstLine="284"/>
        <w:jc w:val="both"/>
        <w:rPr>
          <w:rFonts w:ascii="Arial" w:hAnsi="Arial" w:cs="Arial"/>
          <w:bCs/>
          <w:i/>
          <w:lang w:val="en-GB"/>
        </w:rPr>
      </w:pPr>
    </w:p>
    <w:p w:rsidR="00C743AC" w:rsidRPr="00A16A77" w:rsidRDefault="00C743AC" w:rsidP="00C743AC">
      <w:pPr>
        <w:spacing w:line="480" w:lineRule="auto"/>
        <w:ind w:firstLine="284"/>
        <w:jc w:val="both"/>
        <w:rPr>
          <w:rFonts w:ascii="Arial" w:hAnsi="Arial" w:cs="Arial"/>
          <w:bCs/>
          <w:lang w:val="en-GB"/>
        </w:rPr>
      </w:pPr>
      <w:r w:rsidRPr="00A16A77">
        <w:rPr>
          <w:rFonts w:ascii="Arial" w:hAnsi="Arial" w:cs="Arial"/>
          <w:bCs/>
          <w:lang w:val="en-GB"/>
        </w:rPr>
        <w:t xml:space="preserve">In total, 8,014 patients treated with a triple regimen provided information on safety: PPI+C+A (6,741 cases), PPI+C+M (907 cases) and PPI+A+M (366 cases) reported an incidence of AEs of 15%, 20% and 22%, respectively. </w:t>
      </w:r>
    </w:p>
    <w:p w:rsidR="00C743AC" w:rsidRPr="00A16A77" w:rsidRDefault="00C743AC" w:rsidP="00C743AC">
      <w:pPr>
        <w:spacing w:line="480" w:lineRule="auto"/>
        <w:ind w:firstLine="284"/>
        <w:jc w:val="both"/>
        <w:rPr>
          <w:rFonts w:ascii="Arial" w:hAnsi="Arial" w:cs="Arial"/>
          <w:bCs/>
          <w:lang w:val="en-GB"/>
        </w:rPr>
      </w:pPr>
      <w:r w:rsidRPr="00A16A77">
        <w:rPr>
          <w:rFonts w:ascii="Arial" w:hAnsi="Arial" w:cs="Arial"/>
          <w:bCs/>
          <w:lang w:val="en-GB"/>
        </w:rPr>
        <w:t xml:space="preserve">The most frequent AEs with PPI+C+A were metallic taste and nausea (both in 4% of the cases) with a mean duration of 7.2 (±3.7) and 5.2 (±3.7) days, respectively. Metallic taste was severe in 12% of the patients. </w:t>
      </w:r>
    </w:p>
    <w:p w:rsidR="00C743AC" w:rsidRPr="00A16A77" w:rsidRDefault="00C743AC" w:rsidP="00C743AC">
      <w:pPr>
        <w:spacing w:line="480" w:lineRule="auto"/>
        <w:ind w:firstLine="284"/>
        <w:jc w:val="both"/>
        <w:rPr>
          <w:rFonts w:ascii="Arial" w:hAnsi="Arial" w:cs="Arial"/>
          <w:bCs/>
          <w:lang w:val="en-GB"/>
        </w:rPr>
      </w:pPr>
      <w:r w:rsidRPr="00A16A77">
        <w:rPr>
          <w:rFonts w:ascii="Arial" w:hAnsi="Arial" w:cs="Arial"/>
          <w:bCs/>
          <w:lang w:val="en-GB"/>
        </w:rPr>
        <w:t xml:space="preserve">All patients were given standard triple therapy as a PPI in combination with 1000 mg of amoxicillin and 500 mg of metronidazole, both twice daily, and therefore no sub-analysis could be performed by antibiotic dosage. However, the </w:t>
      </w:r>
      <w:r w:rsidR="0022520A" w:rsidRPr="00A16A77">
        <w:rPr>
          <w:rFonts w:ascii="Arial" w:hAnsi="Arial" w:cs="Arial"/>
          <w:bCs/>
          <w:lang w:val="en-GB"/>
        </w:rPr>
        <w:t xml:space="preserve">appearance </w:t>
      </w:r>
      <w:r w:rsidRPr="00A16A77">
        <w:rPr>
          <w:rFonts w:ascii="Arial" w:hAnsi="Arial" w:cs="Arial"/>
          <w:bCs/>
          <w:lang w:val="en-GB"/>
        </w:rPr>
        <w:t xml:space="preserve">of AEs with PPI+C+A occurred in approximately 14% of the cases when </w:t>
      </w:r>
      <w:r w:rsidR="0022520A" w:rsidRPr="00A16A77">
        <w:rPr>
          <w:rFonts w:ascii="Arial" w:hAnsi="Arial" w:cs="Arial"/>
          <w:bCs/>
          <w:lang w:val="en-GB"/>
        </w:rPr>
        <w:t xml:space="preserve">the treatment </w:t>
      </w:r>
      <w:r w:rsidRPr="00A16A77">
        <w:rPr>
          <w:rFonts w:ascii="Arial" w:hAnsi="Arial" w:cs="Arial"/>
          <w:bCs/>
          <w:lang w:val="en-GB"/>
        </w:rPr>
        <w:t>was administered for 7-10 days, and in 19% of the cases with 14-day treatment durations, with significant statistical differences (p&lt;0.001) between treatment durations.</w:t>
      </w:r>
    </w:p>
    <w:p w:rsidR="00C743AC" w:rsidRPr="00A16A77" w:rsidRDefault="00C743AC" w:rsidP="00C743AC">
      <w:pPr>
        <w:spacing w:line="480" w:lineRule="auto"/>
        <w:ind w:firstLine="284"/>
        <w:jc w:val="both"/>
        <w:rPr>
          <w:rFonts w:ascii="Arial" w:hAnsi="Arial" w:cs="Arial"/>
          <w:bCs/>
          <w:lang w:val="en-GB"/>
        </w:rPr>
      </w:pPr>
      <w:r w:rsidRPr="00A16A77">
        <w:rPr>
          <w:rFonts w:ascii="Arial" w:hAnsi="Arial" w:cs="Arial"/>
          <w:bCs/>
          <w:lang w:val="en-GB"/>
        </w:rPr>
        <w:t>The most frequent AEs with PPI+C+M were metallic taste and dyspepsia, in 7% and 5% of the cases respectively, with a mean duration of 6.5 (±1.8) and 6.5 (±2.5) days, respectively. Metallic taste was severe in 11% of the patients.</w:t>
      </w:r>
    </w:p>
    <w:p w:rsidR="00C743AC" w:rsidRPr="00A16A77" w:rsidRDefault="00C743AC" w:rsidP="00C743AC">
      <w:pPr>
        <w:spacing w:line="480" w:lineRule="auto"/>
        <w:ind w:firstLine="284"/>
        <w:jc w:val="both"/>
        <w:rPr>
          <w:rFonts w:ascii="Arial" w:hAnsi="Arial" w:cs="Arial"/>
          <w:bCs/>
          <w:lang w:val="en-GB"/>
        </w:rPr>
      </w:pPr>
      <w:r w:rsidRPr="00A16A77">
        <w:rPr>
          <w:rFonts w:ascii="Arial" w:hAnsi="Arial" w:cs="Arial"/>
          <w:bCs/>
          <w:lang w:val="en-GB"/>
        </w:rPr>
        <w:t xml:space="preserve">The </w:t>
      </w:r>
      <w:r w:rsidR="0022520A" w:rsidRPr="00A16A77">
        <w:rPr>
          <w:rFonts w:ascii="Arial" w:hAnsi="Arial" w:cs="Arial"/>
          <w:bCs/>
          <w:lang w:val="en-GB"/>
        </w:rPr>
        <w:t xml:space="preserve">appearance </w:t>
      </w:r>
      <w:r w:rsidRPr="00A16A77">
        <w:rPr>
          <w:rFonts w:ascii="Arial" w:hAnsi="Arial" w:cs="Arial"/>
          <w:bCs/>
          <w:lang w:val="en-GB"/>
        </w:rPr>
        <w:t>of AEs with PPI+C+M occurred in 21% of the cases when given for 7 days, in 16% of the cases with 10 day</w:t>
      </w:r>
      <w:r w:rsidR="0022520A" w:rsidRPr="00A16A77">
        <w:rPr>
          <w:rFonts w:ascii="Arial" w:hAnsi="Arial" w:cs="Arial"/>
          <w:bCs/>
          <w:lang w:val="en-GB"/>
        </w:rPr>
        <w:t>-treatment</w:t>
      </w:r>
      <w:r w:rsidRPr="00A16A77">
        <w:rPr>
          <w:rFonts w:ascii="Arial" w:hAnsi="Arial" w:cs="Arial"/>
          <w:bCs/>
          <w:lang w:val="en-GB"/>
        </w:rPr>
        <w:t xml:space="preserve"> and in 25% of the cases with 14-day regimens (Table 5), with no statistical</w:t>
      </w:r>
      <w:r w:rsidR="0022520A" w:rsidRPr="00A16A77">
        <w:rPr>
          <w:rFonts w:ascii="Arial" w:hAnsi="Arial" w:cs="Arial"/>
          <w:bCs/>
          <w:lang w:val="en-GB"/>
        </w:rPr>
        <w:t>ly</w:t>
      </w:r>
      <w:r w:rsidRPr="00A16A77">
        <w:rPr>
          <w:rFonts w:ascii="Arial" w:hAnsi="Arial" w:cs="Arial"/>
          <w:bCs/>
          <w:lang w:val="en-GB"/>
        </w:rPr>
        <w:t xml:space="preserve"> </w:t>
      </w:r>
      <w:r w:rsidR="0022520A" w:rsidRPr="00A16A77">
        <w:rPr>
          <w:rFonts w:ascii="Arial" w:hAnsi="Arial" w:cs="Arial"/>
          <w:bCs/>
          <w:lang w:val="en-GB"/>
        </w:rPr>
        <w:t xml:space="preserve">significant </w:t>
      </w:r>
      <w:r w:rsidRPr="00A16A77">
        <w:rPr>
          <w:rFonts w:ascii="Arial" w:hAnsi="Arial" w:cs="Arial"/>
          <w:bCs/>
          <w:lang w:val="en-GB"/>
        </w:rPr>
        <w:t xml:space="preserve">differences between treatment durations. Also, patients were given different clarithromycin and metronidazole doses: when clarithromycin 250 or 500 mg b.i.d. was </w:t>
      </w:r>
      <w:r w:rsidRPr="00A16A77">
        <w:rPr>
          <w:rFonts w:ascii="Arial" w:hAnsi="Arial" w:cs="Arial"/>
          <w:bCs/>
          <w:lang w:val="en-GB"/>
        </w:rPr>
        <w:lastRenderedPageBreak/>
        <w:t>prescribed, AEs occurred in 19% and 23% of the cases respectively, but differences were not statistically significant. Likewise, when metronidazole 400 or 500 mg b.i.d. was administered, AEs occurred in 20% and 24% of the cases respectively, with no statistical differences between</w:t>
      </w:r>
      <w:r w:rsidR="0022520A" w:rsidRPr="00A16A77">
        <w:rPr>
          <w:rFonts w:ascii="Arial" w:hAnsi="Arial" w:cs="Arial"/>
          <w:bCs/>
          <w:lang w:val="en-GB"/>
        </w:rPr>
        <w:t xml:space="preserve"> them</w:t>
      </w:r>
      <w:r w:rsidRPr="00A16A77">
        <w:rPr>
          <w:rFonts w:ascii="Arial" w:hAnsi="Arial" w:cs="Arial"/>
          <w:bCs/>
          <w:lang w:val="en-GB"/>
        </w:rPr>
        <w:t>.</w:t>
      </w:r>
    </w:p>
    <w:p w:rsidR="00C743AC" w:rsidRPr="00A16A77" w:rsidRDefault="00C743AC" w:rsidP="00C743AC">
      <w:pPr>
        <w:spacing w:line="480" w:lineRule="auto"/>
        <w:ind w:firstLine="284"/>
        <w:jc w:val="both"/>
        <w:rPr>
          <w:rFonts w:ascii="Arial" w:hAnsi="Arial" w:cs="Arial"/>
          <w:bCs/>
          <w:lang w:val="en-GB"/>
        </w:rPr>
      </w:pPr>
      <w:r w:rsidRPr="00A16A77">
        <w:rPr>
          <w:rFonts w:ascii="Arial" w:hAnsi="Arial" w:cs="Arial"/>
          <w:bCs/>
          <w:lang w:val="en-GB"/>
        </w:rPr>
        <w:t>The most frequent AEs with PPI+A+M were metallic taste, diarrh</w:t>
      </w:r>
      <w:r w:rsidR="0022520A" w:rsidRPr="00A16A77">
        <w:rPr>
          <w:rFonts w:ascii="Arial" w:hAnsi="Arial" w:cs="Arial"/>
          <w:bCs/>
          <w:lang w:val="en-GB"/>
        </w:rPr>
        <w:t>o</w:t>
      </w:r>
      <w:r w:rsidRPr="00A16A77">
        <w:rPr>
          <w:rFonts w:ascii="Arial" w:hAnsi="Arial" w:cs="Arial"/>
          <w:bCs/>
          <w:lang w:val="en-GB"/>
        </w:rPr>
        <w:t>ea and nausea, all three occurring in 7% of the cases, with a mean duration of 7.6 (3.3) days for metallic taste and 7.4 (3.9) days both for diarrh</w:t>
      </w:r>
      <w:r w:rsidR="0022520A" w:rsidRPr="00A16A77">
        <w:rPr>
          <w:rFonts w:ascii="Arial" w:hAnsi="Arial" w:cs="Arial"/>
          <w:bCs/>
          <w:lang w:val="en-GB"/>
        </w:rPr>
        <w:t>o</w:t>
      </w:r>
      <w:r w:rsidRPr="00A16A77">
        <w:rPr>
          <w:rFonts w:ascii="Arial" w:hAnsi="Arial" w:cs="Arial"/>
          <w:bCs/>
          <w:lang w:val="en-GB"/>
        </w:rPr>
        <w:t xml:space="preserve">ea and nausea. These two latter were severe in 11% of the cases each. No subgroup analysis detected </w:t>
      </w:r>
      <w:r w:rsidR="0022520A" w:rsidRPr="00A16A77">
        <w:rPr>
          <w:rFonts w:ascii="Arial" w:hAnsi="Arial" w:cs="Arial"/>
          <w:bCs/>
          <w:lang w:val="en-GB"/>
        </w:rPr>
        <w:t xml:space="preserve">statistically </w:t>
      </w:r>
      <w:r w:rsidRPr="00A16A77">
        <w:rPr>
          <w:rFonts w:ascii="Arial" w:hAnsi="Arial" w:cs="Arial"/>
          <w:bCs/>
          <w:lang w:val="en-GB"/>
        </w:rPr>
        <w:t>significant differences.</w:t>
      </w:r>
    </w:p>
    <w:p w:rsidR="00C743AC" w:rsidRPr="00A16A77" w:rsidRDefault="00C743AC" w:rsidP="00C743AC">
      <w:pPr>
        <w:spacing w:line="480" w:lineRule="auto"/>
        <w:ind w:firstLine="284"/>
        <w:jc w:val="both"/>
        <w:rPr>
          <w:rFonts w:ascii="Arial" w:hAnsi="Arial" w:cs="Arial"/>
          <w:bCs/>
          <w:lang w:val="en-GB"/>
        </w:rPr>
      </w:pPr>
      <w:r w:rsidRPr="00A16A77">
        <w:rPr>
          <w:rFonts w:ascii="Arial" w:hAnsi="Arial" w:cs="Arial"/>
          <w:bCs/>
          <w:lang w:val="en-GB"/>
        </w:rPr>
        <w:t xml:space="preserve">The remaining AEs occurred in less than 2% of the cases in all three triple regimens. </w:t>
      </w:r>
    </w:p>
    <w:p w:rsidR="00C743AC" w:rsidRPr="00A16A77" w:rsidRDefault="00C743AC" w:rsidP="00C743AC">
      <w:pPr>
        <w:spacing w:line="480" w:lineRule="auto"/>
        <w:ind w:firstLine="284"/>
        <w:jc w:val="both"/>
        <w:rPr>
          <w:rFonts w:ascii="Arial" w:hAnsi="Arial" w:cs="Arial"/>
          <w:bCs/>
          <w:lang w:val="en-GB"/>
        </w:rPr>
      </w:pPr>
    </w:p>
    <w:p w:rsidR="00C743AC" w:rsidRPr="00A16A77" w:rsidRDefault="00C743AC" w:rsidP="00C743AC">
      <w:pPr>
        <w:spacing w:line="480" w:lineRule="auto"/>
        <w:ind w:firstLine="284"/>
        <w:jc w:val="both"/>
        <w:rPr>
          <w:rFonts w:ascii="Arial" w:hAnsi="Arial" w:cs="Arial"/>
          <w:b/>
          <w:bCs/>
          <w:i/>
          <w:lang w:val="en-GB"/>
        </w:rPr>
      </w:pPr>
      <w:r w:rsidRPr="00A16A77">
        <w:rPr>
          <w:rFonts w:ascii="Arial" w:hAnsi="Arial" w:cs="Arial"/>
          <w:b/>
          <w:bCs/>
          <w:i/>
          <w:lang w:val="en-GB"/>
        </w:rPr>
        <w:t>Non-bismuth quadruple therapies</w:t>
      </w:r>
    </w:p>
    <w:p w:rsidR="00C743AC" w:rsidRPr="00A16A77" w:rsidRDefault="00C743AC" w:rsidP="00C743AC">
      <w:pPr>
        <w:spacing w:line="480" w:lineRule="auto"/>
        <w:ind w:firstLine="284"/>
        <w:jc w:val="both"/>
        <w:rPr>
          <w:rFonts w:ascii="Arial" w:hAnsi="Arial" w:cs="Arial"/>
          <w:bCs/>
          <w:lang w:val="en-GB"/>
        </w:rPr>
      </w:pPr>
    </w:p>
    <w:p w:rsidR="00C743AC" w:rsidRPr="00A16A77" w:rsidRDefault="00C743AC" w:rsidP="00C743AC">
      <w:pPr>
        <w:spacing w:line="480" w:lineRule="auto"/>
        <w:ind w:firstLine="284"/>
        <w:jc w:val="both"/>
        <w:rPr>
          <w:rFonts w:ascii="Arial" w:hAnsi="Arial" w:cs="Arial"/>
          <w:bCs/>
          <w:lang w:val="en-GB"/>
        </w:rPr>
      </w:pPr>
      <w:r w:rsidRPr="00A16A77">
        <w:rPr>
          <w:rFonts w:ascii="Arial" w:hAnsi="Arial" w:cs="Arial"/>
          <w:bCs/>
          <w:lang w:val="en-GB"/>
        </w:rPr>
        <w:t>In total, 4,185 patients treated with non-bismuth quadruple therapies provided information on safety: concomitant (PPI+C+A+nitroimidazole; 3,844 cases) and sequential (PPI+C+A+nitroimidazole; 341 cases) regimens reported an incidence of AEs of 17 and 25% and 7 and 19%, respectively when using tinidazole or metronidazole.</w:t>
      </w:r>
    </w:p>
    <w:p w:rsidR="00C743AC" w:rsidRPr="00A16A77" w:rsidRDefault="00C743AC" w:rsidP="00C743AC">
      <w:pPr>
        <w:spacing w:line="480" w:lineRule="auto"/>
        <w:ind w:firstLine="284"/>
        <w:jc w:val="both"/>
        <w:rPr>
          <w:rFonts w:ascii="Arial" w:hAnsi="Arial" w:cs="Arial"/>
          <w:bCs/>
          <w:lang w:val="en-GB"/>
        </w:rPr>
      </w:pPr>
      <w:r w:rsidRPr="00A16A77">
        <w:rPr>
          <w:rFonts w:ascii="Arial" w:hAnsi="Arial" w:cs="Arial"/>
          <w:bCs/>
          <w:lang w:val="en-GB"/>
        </w:rPr>
        <w:t>Metallic taste was the most frequent AE, being reported by 10% and 8% of the patients who were prescribed concomitant and sequential therapies, respectively; and was severe in 4% of the cases, with a mean duration of 8.4 (±3.2) days in both regimens.</w:t>
      </w:r>
    </w:p>
    <w:p w:rsidR="00C743AC" w:rsidRPr="00A16A77" w:rsidRDefault="00C743AC" w:rsidP="00C743AC">
      <w:pPr>
        <w:spacing w:line="480" w:lineRule="auto"/>
        <w:ind w:firstLine="284"/>
        <w:jc w:val="both"/>
        <w:rPr>
          <w:rFonts w:ascii="Arial" w:hAnsi="Arial" w:cs="Arial"/>
          <w:bCs/>
          <w:lang w:val="en-GB"/>
        </w:rPr>
      </w:pPr>
      <w:r w:rsidRPr="00A16A77">
        <w:rPr>
          <w:rFonts w:ascii="Arial" w:hAnsi="Arial" w:cs="Arial"/>
          <w:bCs/>
          <w:lang w:val="en-GB"/>
        </w:rPr>
        <w:t xml:space="preserve">All patients received the same antibiotic doses, but were treated with different treatment lengths (Table 5). </w:t>
      </w:r>
      <w:r w:rsidR="00885EA7" w:rsidRPr="00A16A77">
        <w:rPr>
          <w:rFonts w:ascii="Arial" w:hAnsi="Arial" w:cs="Arial"/>
          <w:bCs/>
          <w:lang w:val="en-GB"/>
        </w:rPr>
        <w:t>Statistically s</w:t>
      </w:r>
      <w:r w:rsidRPr="00A16A77">
        <w:rPr>
          <w:rFonts w:ascii="Arial" w:hAnsi="Arial" w:cs="Arial"/>
          <w:bCs/>
          <w:lang w:val="en-GB"/>
        </w:rPr>
        <w:t xml:space="preserve">ignificant differences were found in the </w:t>
      </w:r>
      <w:r w:rsidRPr="00A16A77">
        <w:rPr>
          <w:rFonts w:ascii="Arial" w:hAnsi="Arial" w:cs="Arial"/>
          <w:bCs/>
          <w:lang w:val="en-GB"/>
        </w:rPr>
        <w:lastRenderedPageBreak/>
        <w:t>incidence of AEs between treatment durations with PPI+C+A+M (p&lt;0.05)</w:t>
      </w:r>
      <w:r w:rsidR="00885EA7" w:rsidRPr="00A16A77">
        <w:rPr>
          <w:rFonts w:ascii="Arial" w:hAnsi="Arial" w:cs="Arial"/>
          <w:bCs/>
          <w:lang w:val="en-GB"/>
        </w:rPr>
        <w:t>;</w:t>
      </w:r>
      <w:r w:rsidRPr="00A16A77">
        <w:rPr>
          <w:rFonts w:ascii="Arial" w:hAnsi="Arial" w:cs="Arial"/>
          <w:bCs/>
          <w:lang w:val="en-GB"/>
        </w:rPr>
        <w:t xml:space="preserve"> AE </w:t>
      </w:r>
      <w:r w:rsidR="00885EA7" w:rsidRPr="00A16A77">
        <w:rPr>
          <w:rFonts w:ascii="Arial" w:hAnsi="Arial" w:cs="Arial"/>
          <w:bCs/>
          <w:lang w:val="en-GB"/>
        </w:rPr>
        <w:t xml:space="preserve">incidences </w:t>
      </w:r>
      <w:r w:rsidRPr="00A16A77">
        <w:rPr>
          <w:rFonts w:ascii="Arial" w:hAnsi="Arial" w:cs="Arial"/>
          <w:bCs/>
          <w:lang w:val="en-GB"/>
        </w:rPr>
        <w:t>rang</w:t>
      </w:r>
      <w:r w:rsidR="00885EA7" w:rsidRPr="00A16A77">
        <w:rPr>
          <w:rFonts w:ascii="Arial" w:hAnsi="Arial" w:cs="Arial"/>
          <w:bCs/>
          <w:lang w:val="en-GB"/>
        </w:rPr>
        <w:t>ed</w:t>
      </w:r>
      <w:r w:rsidRPr="00A16A77">
        <w:rPr>
          <w:rFonts w:ascii="Arial" w:hAnsi="Arial" w:cs="Arial"/>
          <w:bCs/>
          <w:lang w:val="en-GB"/>
        </w:rPr>
        <w:t xml:space="preserve"> from 19% with 7-day to 27% with 14-day regimens.</w:t>
      </w:r>
    </w:p>
    <w:p w:rsidR="00C743AC" w:rsidRPr="00A16A77" w:rsidRDefault="00C743AC" w:rsidP="00C743AC">
      <w:pPr>
        <w:spacing w:line="480" w:lineRule="auto"/>
        <w:ind w:firstLine="284"/>
        <w:jc w:val="both"/>
        <w:rPr>
          <w:rFonts w:ascii="Arial" w:hAnsi="Arial" w:cs="Arial"/>
          <w:bCs/>
          <w:lang w:val="en-GB"/>
        </w:rPr>
      </w:pPr>
    </w:p>
    <w:p w:rsidR="00C743AC" w:rsidRPr="00A16A77" w:rsidRDefault="00C743AC" w:rsidP="00C743AC">
      <w:pPr>
        <w:spacing w:line="480" w:lineRule="auto"/>
        <w:ind w:firstLine="284"/>
        <w:jc w:val="both"/>
        <w:rPr>
          <w:rFonts w:ascii="Arial" w:hAnsi="Arial" w:cs="Arial"/>
          <w:b/>
          <w:bCs/>
          <w:i/>
          <w:lang w:val="en-GB"/>
        </w:rPr>
      </w:pPr>
      <w:r w:rsidRPr="00A16A77">
        <w:rPr>
          <w:rFonts w:ascii="Arial" w:hAnsi="Arial" w:cs="Arial"/>
          <w:b/>
          <w:bCs/>
          <w:i/>
          <w:lang w:val="en-GB"/>
        </w:rPr>
        <w:t>Bismuth quadruple therapies</w:t>
      </w:r>
    </w:p>
    <w:p w:rsidR="00C743AC" w:rsidRPr="00A16A77" w:rsidRDefault="00C743AC" w:rsidP="00C743AC">
      <w:pPr>
        <w:spacing w:line="480" w:lineRule="auto"/>
        <w:ind w:firstLine="284"/>
        <w:jc w:val="both"/>
        <w:rPr>
          <w:rFonts w:ascii="Arial" w:hAnsi="Arial" w:cs="Arial"/>
          <w:bCs/>
          <w:lang w:val="en-GB"/>
        </w:rPr>
      </w:pPr>
    </w:p>
    <w:p w:rsidR="00C743AC" w:rsidRPr="00A16A77" w:rsidRDefault="00C743AC" w:rsidP="00C743AC">
      <w:pPr>
        <w:spacing w:line="480" w:lineRule="auto"/>
        <w:ind w:firstLine="284"/>
        <w:jc w:val="both"/>
        <w:rPr>
          <w:rFonts w:ascii="Arial" w:hAnsi="Arial" w:cs="Arial"/>
          <w:bCs/>
          <w:lang w:val="en-GB"/>
        </w:rPr>
      </w:pPr>
      <w:r w:rsidRPr="00A16A77">
        <w:rPr>
          <w:rFonts w:ascii="Arial" w:hAnsi="Arial" w:cs="Arial"/>
          <w:bCs/>
          <w:lang w:val="en-GB"/>
        </w:rPr>
        <w:t>In total, 2,720 patients treated with bismuth quadruple therapies reported information on safety: three-in-one single capsule Pylera</w:t>
      </w:r>
      <w:r w:rsidRPr="00A16A77">
        <w:rPr>
          <w:rFonts w:ascii="Arial" w:hAnsi="Arial" w:cs="Arial"/>
          <w:bCs/>
          <w:vertAlign w:val="superscript"/>
          <w:lang w:val="en-GB"/>
        </w:rPr>
        <w:t>®</w:t>
      </w:r>
      <w:r w:rsidRPr="00A16A77">
        <w:rPr>
          <w:rFonts w:ascii="Arial" w:hAnsi="Arial" w:cs="Arial"/>
          <w:bCs/>
          <w:lang w:val="en-GB"/>
        </w:rPr>
        <w:t xml:space="preserve"> (2,304 cases), PPI+bismuth+tetracycline+M (230 cases) and PPI+bismuth+doxycycline+M (186 cases), reporting an AE </w:t>
      </w:r>
      <w:r w:rsidR="00885EA7" w:rsidRPr="00A16A77">
        <w:rPr>
          <w:rFonts w:ascii="Arial" w:hAnsi="Arial" w:cs="Arial"/>
          <w:bCs/>
          <w:lang w:val="en-GB"/>
        </w:rPr>
        <w:t xml:space="preserve">incidence </w:t>
      </w:r>
      <w:r w:rsidRPr="00A16A77">
        <w:rPr>
          <w:rFonts w:ascii="Arial" w:hAnsi="Arial" w:cs="Arial"/>
          <w:bCs/>
          <w:lang w:val="en-GB"/>
        </w:rPr>
        <w:t xml:space="preserve">of 28%, 37% and 33% respectively. </w:t>
      </w:r>
    </w:p>
    <w:p w:rsidR="00C743AC" w:rsidRPr="00A16A77" w:rsidRDefault="00C743AC" w:rsidP="00C743AC">
      <w:pPr>
        <w:spacing w:line="480" w:lineRule="auto"/>
        <w:ind w:firstLine="284"/>
        <w:jc w:val="both"/>
        <w:rPr>
          <w:rFonts w:ascii="Arial" w:hAnsi="Arial" w:cs="Arial"/>
          <w:bCs/>
          <w:lang w:val="en-GB"/>
        </w:rPr>
      </w:pPr>
      <w:r w:rsidRPr="00A16A77">
        <w:rPr>
          <w:rFonts w:ascii="Arial" w:hAnsi="Arial" w:cs="Arial"/>
          <w:bCs/>
          <w:lang w:val="en-GB"/>
        </w:rPr>
        <w:t xml:space="preserve">Nausea was the most frequent AE reported with PPI+bismuth+tetracycline+M (20%) and its variant with doxycycline (17%), and was severe in 11% and 12% of the cases, respectively. Diarrhoea and nausea were the most frequent AEs with the three-in-one single capsule (both in 8% of cases), both mostly of mild to moderate intensity. </w:t>
      </w:r>
    </w:p>
    <w:p w:rsidR="00C743AC" w:rsidRPr="00A16A77" w:rsidRDefault="00C743AC" w:rsidP="00C743AC">
      <w:pPr>
        <w:spacing w:line="480" w:lineRule="auto"/>
        <w:ind w:firstLine="284"/>
        <w:jc w:val="both"/>
        <w:rPr>
          <w:rFonts w:ascii="Arial" w:hAnsi="Arial" w:cs="Arial"/>
          <w:bCs/>
          <w:lang w:val="en-GB"/>
        </w:rPr>
      </w:pPr>
      <w:r w:rsidRPr="00A16A77">
        <w:rPr>
          <w:rFonts w:ascii="Arial" w:hAnsi="Arial" w:cs="Arial"/>
          <w:bCs/>
          <w:lang w:val="en-GB"/>
        </w:rPr>
        <w:t xml:space="preserve">Classic bismuth quadruple </w:t>
      </w:r>
      <w:r w:rsidR="00051A30" w:rsidRPr="00A16A77">
        <w:rPr>
          <w:rFonts w:ascii="Arial" w:hAnsi="Arial" w:cs="Arial"/>
          <w:bCs/>
          <w:lang w:val="en-GB"/>
        </w:rPr>
        <w:t xml:space="preserve">therapy </w:t>
      </w:r>
      <w:r w:rsidRPr="00A16A77">
        <w:rPr>
          <w:rFonts w:ascii="Arial" w:hAnsi="Arial" w:cs="Arial"/>
          <w:bCs/>
          <w:lang w:val="en-GB"/>
        </w:rPr>
        <w:t>used metronidazole 500 mg/8h in all cases but was prescribed for 7, 10 or 14 days, with statistical</w:t>
      </w:r>
      <w:r w:rsidR="00051A30" w:rsidRPr="00A16A77">
        <w:rPr>
          <w:rFonts w:ascii="Arial" w:hAnsi="Arial" w:cs="Arial"/>
          <w:bCs/>
          <w:lang w:val="en-GB"/>
        </w:rPr>
        <w:t>ly</w:t>
      </w:r>
      <w:r w:rsidRPr="00A16A77">
        <w:rPr>
          <w:rFonts w:ascii="Arial" w:hAnsi="Arial" w:cs="Arial"/>
          <w:bCs/>
          <w:lang w:val="en-GB"/>
        </w:rPr>
        <w:t xml:space="preserve"> significant differences (p&lt;0.001) in the incidence of AEs between treatment durations: ranging from 21% with 7-day to 56% with 14-day regimens. Its variant with doxycycline was mainly administered for 10 and 14 days, reporting 17% and 45% of AEs, with statistical</w:t>
      </w:r>
      <w:r w:rsidR="00051A30" w:rsidRPr="00A16A77">
        <w:rPr>
          <w:rFonts w:ascii="Arial" w:hAnsi="Arial" w:cs="Arial"/>
          <w:bCs/>
          <w:lang w:val="en-GB"/>
        </w:rPr>
        <w:t>ly</w:t>
      </w:r>
      <w:r w:rsidRPr="00A16A77">
        <w:rPr>
          <w:rFonts w:ascii="Arial" w:hAnsi="Arial" w:cs="Arial"/>
          <w:bCs/>
          <w:lang w:val="en-GB"/>
        </w:rPr>
        <w:t xml:space="preserve"> significant differences (p&lt;0.001) between groups. </w:t>
      </w:r>
    </w:p>
    <w:p w:rsidR="00C743AC" w:rsidRPr="00A16A77" w:rsidRDefault="00C743AC" w:rsidP="00C743AC">
      <w:pPr>
        <w:spacing w:line="480" w:lineRule="auto"/>
        <w:ind w:firstLine="284"/>
        <w:jc w:val="both"/>
        <w:rPr>
          <w:rFonts w:ascii="Arial" w:hAnsi="Arial" w:cs="Arial"/>
          <w:bCs/>
          <w:lang w:val="en-GB"/>
        </w:rPr>
      </w:pPr>
    </w:p>
    <w:p w:rsidR="00C743AC" w:rsidRPr="00A16A77" w:rsidRDefault="00C743AC" w:rsidP="00C743AC">
      <w:pPr>
        <w:spacing w:line="480" w:lineRule="auto"/>
        <w:ind w:firstLine="284"/>
        <w:jc w:val="both"/>
        <w:rPr>
          <w:rFonts w:ascii="Arial" w:hAnsi="Arial" w:cs="Arial"/>
          <w:b/>
          <w:bCs/>
          <w:i/>
          <w:lang w:val="en-GB"/>
        </w:rPr>
      </w:pPr>
      <w:r w:rsidRPr="00A16A77">
        <w:rPr>
          <w:rFonts w:ascii="Arial" w:hAnsi="Arial" w:cs="Arial"/>
          <w:b/>
          <w:bCs/>
          <w:i/>
          <w:lang w:val="en-GB"/>
        </w:rPr>
        <w:t>Levofloxacin-based triple and quadruple therapies</w:t>
      </w:r>
    </w:p>
    <w:p w:rsidR="00C743AC" w:rsidRPr="00A16A77" w:rsidRDefault="00C743AC" w:rsidP="00C743AC">
      <w:pPr>
        <w:spacing w:line="480" w:lineRule="auto"/>
        <w:ind w:firstLine="284"/>
        <w:jc w:val="both"/>
        <w:rPr>
          <w:rFonts w:ascii="Arial" w:hAnsi="Arial" w:cs="Arial"/>
          <w:bCs/>
          <w:lang w:val="en-GB"/>
        </w:rPr>
      </w:pPr>
    </w:p>
    <w:p w:rsidR="00C743AC" w:rsidRPr="00A16A77" w:rsidRDefault="00C743AC" w:rsidP="00C743AC">
      <w:pPr>
        <w:spacing w:line="480" w:lineRule="auto"/>
        <w:ind w:firstLine="284"/>
        <w:jc w:val="both"/>
        <w:rPr>
          <w:rFonts w:ascii="Arial" w:hAnsi="Arial" w:cs="Arial"/>
          <w:bCs/>
          <w:lang w:val="en-GB"/>
        </w:rPr>
      </w:pPr>
      <w:r w:rsidRPr="00A16A77">
        <w:rPr>
          <w:rFonts w:ascii="Arial" w:hAnsi="Arial" w:cs="Arial"/>
          <w:bCs/>
          <w:lang w:val="en-GB"/>
        </w:rPr>
        <w:t xml:space="preserve">In total, 2,162 patients treated with levofloxacin-based therapies reported information on safety: PPI+A+levofloxacin (1,603 cases) and </w:t>
      </w:r>
      <w:r w:rsidRPr="00A16A77">
        <w:rPr>
          <w:rFonts w:ascii="Arial" w:hAnsi="Arial" w:cs="Arial"/>
          <w:bCs/>
          <w:lang w:val="en-GB"/>
        </w:rPr>
        <w:lastRenderedPageBreak/>
        <w:t xml:space="preserve">PPI+A+levofloxacin+bismuth (559 cases), reporting an AE </w:t>
      </w:r>
      <w:r w:rsidR="00051A30" w:rsidRPr="00A16A77">
        <w:rPr>
          <w:rFonts w:ascii="Arial" w:hAnsi="Arial" w:cs="Arial"/>
          <w:bCs/>
          <w:lang w:val="en-GB"/>
        </w:rPr>
        <w:t xml:space="preserve">incidence </w:t>
      </w:r>
      <w:r w:rsidRPr="00A16A77">
        <w:rPr>
          <w:rFonts w:ascii="Arial" w:hAnsi="Arial" w:cs="Arial"/>
          <w:bCs/>
          <w:lang w:val="en-GB"/>
        </w:rPr>
        <w:t xml:space="preserve">of 21% and 32%, respectively. </w:t>
      </w:r>
    </w:p>
    <w:p w:rsidR="00C743AC" w:rsidRPr="00A16A77" w:rsidRDefault="00C743AC" w:rsidP="00C743AC">
      <w:pPr>
        <w:spacing w:line="480" w:lineRule="auto"/>
        <w:ind w:firstLine="284"/>
        <w:jc w:val="both"/>
        <w:rPr>
          <w:rFonts w:ascii="Arial" w:hAnsi="Arial" w:cs="Arial"/>
          <w:bCs/>
          <w:lang w:val="en-GB"/>
        </w:rPr>
      </w:pPr>
      <w:r w:rsidRPr="00A16A77">
        <w:rPr>
          <w:rFonts w:ascii="Arial" w:hAnsi="Arial" w:cs="Arial"/>
          <w:bCs/>
          <w:lang w:val="en-GB"/>
        </w:rPr>
        <w:t>Diarrhoea and nausea were the most frequent AEs, occurring in triple therapies in 8% and 6% of the cases respectively, and in quadruple therapies in 15% and 8.5% respectively; they were mostly mild.</w:t>
      </w:r>
    </w:p>
    <w:p w:rsidR="00C743AC" w:rsidRPr="00A16A77" w:rsidRDefault="00C743AC" w:rsidP="00C743AC">
      <w:pPr>
        <w:spacing w:line="480" w:lineRule="auto"/>
        <w:ind w:firstLine="284"/>
        <w:jc w:val="both"/>
        <w:rPr>
          <w:rFonts w:ascii="Arial" w:hAnsi="Arial" w:cs="Arial"/>
          <w:bCs/>
          <w:lang w:val="en-GB"/>
        </w:rPr>
      </w:pPr>
      <w:r w:rsidRPr="00A16A77">
        <w:rPr>
          <w:rFonts w:ascii="Arial" w:hAnsi="Arial" w:cs="Arial"/>
          <w:bCs/>
          <w:lang w:val="en-GB"/>
        </w:rPr>
        <w:t xml:space="preserve">Most of the patients were prescribed levofloxacin 500 mg/12h and therefore no sub-analysis could be performed by antibiotic dosage. Likewise, most of the patients were treated with 14-day PPI+A+levofloxacin+bismuth, and no statistical differences were observed with respect to 10-day regimens, showing approximately 31% of AEs in both schedules. The incidence of AEs ranged from 21% to 39% with 7-day and 14-day regimens, respectively, showing </w:t>
      </w:r>
      <w:r w:rsidR="00051A30" w:rsidRPr="00A16A77">
        <w:rPr>
          <w:rFonts w:ascii="Arial" w:hAnsi="Arial" w:cs="Arial"/>
          <w:bCs/>
          <w:lang w:val="en-GB"/>
        </w:rPr>
        <w:t xml:space="preserve">statistically </w:t>
      </w:r>
      <w:r w:rsidRPr="00A16A77">
        <w:rPr>
          <w:rFonts w:ascii="Arial" w:hAnsi="Arial" w:cs="Arial"/>
          <w:bCs/>
          <w:lang w:val="en-GB"/>
        </w:rPr>
        <w:t xml:space="preserve">significant differences (p&lt;0.001) between groups. </w:t>
      </w:r>
    </w:p>
    <w:p w:rsidR="00CF2D55" w:rsidRPr="00A16A77" w:rsidRDefault="00CF2D55" w:rsidP="009F3916">
      <w:pPr>
        <w:spacing w:line="432" w:lineRule="auto"/>
        <w:ind w:left="426" w:hanging="426"/>
        <w:jc w:val="both"/>
        <w:rPr>
          <w:rFonts w:ascii="Arial" w:hAnsi="Arial" w:cs="Arial"/>
          <w:lang w:val="en-GB"/>
        </w:rPr>
      </w:pPr>
    </w:p>
    <w:p w:rsidR="00126347" w:rsidRPr="00A16A77" w:rsidRDefault="00126347" w:rsidP="009F3916">
      <w:pPr>
        <w:spacing w:after="200" w:line="432" w:lineRule="auto"/>
        <w:rPr>
          <w:lang w:val="en-GB"/>
        </w:rPr>
      </w:pPr>
      <w:r w:rsidRPr="00A16A77">
        <w:rPr>
          <w:lang w:val="en-GB"/>
        </w:rPr>
        <w:br w:type="page"/>
      </w:r>
    </w:p>
    <w:p w:rsidR="00126347" w:rsidRPr="00A16A77" w:rsidRDefault="00126347" w:rsidP="00126347">
      <w:pPr>
        <w:spacing w:line="480" w:lineRule="auto"/>
        <w:rPr>
          <w:rFonts w:ascii="Arial" w:hAnsi="Arial" w:cs="Arial"/>
          <w:b/>
          <w:lang w:val="en-GB"/>
        </w:rPr>
        <w:sectPr w:rsidR="00126347" w:rsidRPr="00A16A7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97C58" w:rsidRPr="00A16A77" w:rsidRDefault="00E64C11" w:rsidP="00E64C11">
      <w:pPr>
        <w:spacing w:line="480" w:lineRule="auto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b/>
          <w:lang w:val="en-GB"/>
        </w:rPr>
        <w:lastRenderedPageBreak/>
        <w:t xml:space="preserve">Supplementary table 1. </w:t>
      </w:r>
      <w:r w:rsidRPr="00A16A77">
        <w:rPr>
          <w:rFonts w:ascii="Arial" w:hAnsi="Arial" w:cs="Arial"/>
          <w:lang w:val="en-GB"/>
        </w:rPr>
        <w:t>Case report form</w:t>
      </w:r>
      <w:r w:rsidR="004923F8" w:rsidRPr="00A16A77">
        <w:rPr>
          <w:rFonts w:ascii="Arial" w:hAnsi="Arial" w:cs="Arial"/>
          <w:lang w:val="en-GB"/>
        </w:rPr>
        <w:t xml:space="preserve"> </w:t>
      </w:r>
      <w:r w:rsidR="00CE5DCF" w:rsidRPr="00A16A77">
        <w:rPr>
          <w:rFonts w:ascii="Arial" w:hAnsi="Arial" w:cs="Arial"/>
          <w:lang w:val="en-GB"/>
        </w:rPr>
        <w:t xml:space="preserve">used </w:t>
      </w:r>
      <w:r w:rsidR="004923F8" w:rsidRPr="00A16A77">
        <w:rPr>
          <w:rFonts w:ascii="Arial" w:hAnsi="Arial" w:cs="Arial"/>
          <w:lang w:val="en-GB"/>
        </w:rPr>
        <w:t>for</w:t>
      </w:r>
      <w:r w:rsidR="00797C58" w:rsidRPr="00A16A77">
        <w:rPr>
          <w:rFonts w:ascii="Arial" w:hAnsi="Arial" w:cs="Arial"/>
          <w:lang w:val="en-GB"/>
        </w:rPr>
        <w:t xml:space="preserve"> collect</w:t>
      </w:r>
      <w:r w:rsidR="004923F8" w:rsidRPr="00A16A77">
        <w:rPr>
          <w:rFonts w:ascii="Arial" w:hAnsi="Arial" w:cs="Arial"/>
          <w:lang w:val="en-GB"/>
        </w:rPr>
        <w:t>ion of</w:t>
      </w:r>
      <w:r w:rsidR="00797C58" w:rsidRPr="00A16A77">
        <w:rPr>
          <w:rFonts w:ascii="Arial" w:hAnsi="Arial" w:cs="Arial"/>
          <w:lang w:val="en-GB"/>
        </w:rPr>
        <w:t xml:space="preserve"> information on adverse events</w:t>
      </w:r>
      <w:r w:rsidR="00797C58" w:rsidRPr="00A16A77">
        <w:rPr>
          <w:rFonts w:ascii="Arial" w:hAnsi="Arial" w:cs="Arial"/>
          <w:b/>
          <w:noProof/>
          <w:lang w:val="es-ES" w:eastAsia="es-ES"/>
        </w:rPr>
        <w:drawing>
          <wp:inline distT="0" distB="0" distL="0" distR="0" wp14:anchorId="7A6A8D68" wp14:editId="64BFCD8F">
            <wp:extent cx="5400040" cy="477266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s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7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33A" w:rsidRPr="00A16A77" w:rsidRDefault="004923F8" w:rsidP="00E64C11">
      <w:pPr>
        <w:spacing w:line="480" w:lineRule="auto"/>
        <w:rPr>
          <w:rFonts w:ascii="Arial" w:hAnsi="Arial" w:cs="Arial"/>
          <w:b/>
          <w:noProof/>
          <w:lang w:val="es-ES" w:eastAsia="es-ES"/>
        </w:rPr>
      </w:pPr>
      <w:r w:rsidRPr="00A16A77">
        <w:rPr>
          <w:rFonts w:ascii="Arial" w:hAnsi="Arial" w:cs="Arial"/>
          <w:b/>
          <w:noProof/>
          <w:lang w:val="es-ES" w:eastAsia="es-ES"/>
        </w:rPr>
        <w:drawing>
          <wp:inline distT="0" distB="0" distL="0" distR="0" wp14:anchorId="2D3DCDAD" wp14:editId="370840D0">
            <wp:extent cx="5400040" cy="3009265"/>
            <wp:effectExtent l="0" t="0" r="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s2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0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C58" w:rsidRPr="00A16A77" w:rsidRDefault="00797C58" w:rsidP="00E64C11">
      <w:pPr>
        <w:spacing w:line="480" w:lineRule="auto"/>
        <w:rPr>
          <w:rFonts w:ascii="Arial" w:hAnsi="Arial" w:cs="Arial"/>
          <w:b/>
          <w:lang w:val="en-GB"/>
        </w:rPr>
      </w:pPr>
      <w:r w:rsidRPr="00A16A77">
        <w:rPr>
          <w:rFonts w:ascii="Arial" w:hAnsi="Arial" w:cs="Arial"/>
          <w:b/>
          <w:noProof/>
          <w:lang w:val="es-ES" w:eastAsia="es-ES"/>
        </w:rPr>
        <w:lastRenderedPageBreak/>
        <w:drawing>
          <wp:inline distT="0" distB="0" distL="0" distR="0" wp14:anchorId="52AB32AB" wp14:editId="0CC3B26D">
            <wp:extent cx="5400040" cy="2823210"/>
            <wp:effectExtent l="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s2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2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C11" w:rsidRPr="00A16A77" w:rsidRDefault="00527800" w:rsidP="00E64C11">
      <w:pPr>
        <w:spacing w:line="480" w:lineRule="auto"/>
        <w:rPr>
          <w:rFonts w:ascii="Arial" w:hAnsi="Arial" w:cs="Arial"/>
          <w:b/>
          <w:lang w:val="en-GB"/>
        </w:rPr>
      </w:pPr>
      <w:r w:rsidRPr="00A16A77">
        <w:rPr>
          <w:rFonts w:ascii="Arial" w:hAnsi="Arial" w:cs="Arial"/>
          <w:b/>
          <w:noProof/>
          <w:lang w:val="es-ES" w:eastAsia="es-ES"/>
        </w:rPr>
        <w:drawing>
          <wp:inline distT="0" distB="0" distL="0" distR="0" wp14:anchorId="4AA0AD14" wp14:editId="111CBBEC">
            <wp:extent cx="5400040" cy="145669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s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C11" w:rsidRPr="00A16A77" w:rsidRDefault="00E64C11">
      <w:pPr>
        <w:spacing w:after="200" w:line="276" w:lineRule="auto"/>
        <w:rPr>
          <w:rFonts w:ascii="Arial" w:hAnsi="Arial" w:cs="Arial"/>
          <w:b/>
          <w:lang w:val="en-GB"/>
        </w:rPr>
      </w:pPr>
      <w:r w:rsidRPr="00A16A77">
        <w:rPr>
          <w:rFonts w:ascii="Arial" w:hAnsi="Arial" w:cs="Arial"/>
          <w:b/>
          <w:lang w:val="en-GB"/>
        </w:rPr>
        <w:br w:type="page"/>
      </w:r>
    </w:p>
    <w:p w:rsidR="00E64C11" w:rsidRPr="00A16A77" w:rsidRDefault="00E64C11" w:rsidP="00126347">
      <w:pPr>
        <w:spacing w:line="480" w:lineRule="auto"/>
        <w:rPr>
          <w:rFonts w:ascii="Arial" w:hAnsi="Arial" w:cs="Arial"/>
          <w:b/>
          <w:lang w:val="en-GB"/>
        </w:rPr>
        <w:sectPr w:rsidR="00E64C11" w:rsidRPr="00A16A77" w:rsidSect="00E64C11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515DA7" w:rsidRPr="00A16A77" w:rsidRDefault="00F821E0" w:rsidP="00515DA7">
      <w:pPr>
        <w:spacing w:after="200" w:line="480" w:lineRule="auto"/>
        <w:rPr>
          <w:rFonts w:ascii="Arial" w:hAnsi="Arial" w:cs="Arial"/>
          <w:lang w:val="en-GB"/>
        </w:rPr>
      </w:pPr>
      <w:r w:rsidRPr="00A16A77">
        <w:rPr>
          <w:rFonts w:ascii="Arial" w:hAnsi="Arial" w:cs="Arial"/>
          <w:b/>
          <w:lang w:val="en-GB"/>
        </w:rPr>
        <w:lastRenderedPageBreak/>
        <w:t>Supplementary table 2.</w:t>
      </w:r>
      <w:r w:rsidR="00515DA7" w:rsidRPr="00A16A77">
        <w:rPr>
          <w:rFonts w:ascii="Arial" w:hAnsi="Arial" w:cs="Arial"/>
          <w:b/>
          <w:lang w:val="en-GB"/>
        </w:rPr>
        <w:t xml:space="preserve"> </w:t>
      </w:r>
      <w:r w:rsidR="00515DA7" w:rsidRPr="00A16A77">
        <w:rPr>
          <w:rFonts w:ascii="Arial" w:hAnsi="Arial" w:cs="Arial"/>
          <w:lang w:val="en-GB"/>
        </w:rPr>
        <w:t>Inclusion of patients reporting any adverse event per country</w:t>
      </w:r>
    </w:p>
    <w:p w:rsidR="00515DA7" w:rsidRPr="00A16A77" w:rsidRDefault="00515DA7" w:rsidP="00515DA7">
      <w:pPr>
        <w:spacing w:after="200" w:line="480" w:lineRule="auto"/>
        <w:rPr>
          <w:rFonts w:ascii="Arial" w:hAnsi="Arial" w:cs="Arial"/>
          <w:lang w:val="en-GB"/>
        </w:rPr>
      </w:pPr>
    </w:p>
    <w:tbl>
      <w:tblPr>
        <w:tblStyle w:val="Tablaconcuadrcula"/>
        <w:tblW w:w="7621" w:type="dxa"/>
        <w:tblLook w:val="04A0" w:firstRow="1" w:lastRow="0" w:firstColumn="1" w:lastColumn="0" w:noHBand="0" w:noVBand="1"/>
      </w:tblPr>
      <w:tblGrid>
        <w:gridCol w:w="2283"/>
        <w:gridCol w:w="2645"/>
        <w:gridCol w:w="2693"/>
      </w:tblGrid>
      <w:tr w:rsidR="00515DA7" w:rsidRPr="00A16A77" w:rsidTr="0089796E">
        <w:trPr>
          <w:trHeight w:val="300"/>
        </w:trPr>
        <w:tc>
          <w:tcPr>
            <w:tcW w:w="2283" w:type="dxa"/>
            <w:noWrap/>
            <w:hideMark/>
          </w:tcPr>
          <w:p w:rsidR="00515DA7" w:rsidRPr="00A16A77" w:rsidRDefault="00515DA7" w:rsidP="00515DA7">
            <w:pP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  <w:t>COUNTRY</w:t>
            </w:r>
          </w:p>
        </w:tc>
        <w:tc>
          <w:tcPr>
            <w:tcW w:w="2645" w:type="dxa"/>
            <w:noWrap/>
            <w:hideMark/>
          </w:tcPr>
          <w:p w:rsidR="00515DA7" w:rsidRPr="00A16A77" w:rsidRDefault="00515DA7" w:rsidP="00515DA7">
            <w:pP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b/>
                <w:color w:val="000000"/>
                <w:lang w:val="en-GB" w:eastAsia="es-ES"/>
              </w:rPr>
              <w:t>Frequency (N)</w:t>
            </w:r>
          </w:p>
        </w:tc>
        <w:tc>
          <w:tcPr>
            <w:tcW w:w="2693" w:type="dxa"/>
            <w:noWrap/>
            <w:hideMark/>
          </w:tcPr>
          <w:p w:rsidR="00515DA7" w:rsidRPr="00A16A77" w:rsidRDefault="00515DA7" w:rsidP="00515DA7">
            <w:pPr>
              <w:rPr>
                <w:rFonts w:ascii="Arial" w:eastAsia="Times New Roman" w:hAnsi="Arial" w:cs="Arial"/>
                <w:b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b/>
                <w:color w:val="000000"/>
                <w:lang w:val="en-GB" w:eastAsia="es-ES"/>
              </w:rPr>
              <w:t>Percentage (%)</w:t>
            </w:r>
          </w:p>
        </w:tc>
      </w:tr>
      <w:tr w:rsidR="00515DA7" w:rsidRPr="00A16A77" w:rsidTr="0089796E">
        <w:trPr>
          <w:trHeight w:val="300"/>
        </w:trPr>
        <w:tc>
          <w:tcPr>
            <w:tcW w:w="2283" w:type="dxa"/>
            <w:noWrap/>
            <w:hideMark/>
          </w:tcPr>
          <w:p w:rsidR="00515DA7" w:rsidRPr="00A16A77" w:rsidRDefault="00515DA7" w:rsidP="00515DA7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Spain</w:t>
            </w:r>
          </w:p>
        </w:tc>
        <w:tc>
          <w:tcPr>
            <w:tcW w:w="2645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11,987</w:t>
            </w:r>
          </w:p>
        </w:tc>
        <w:tc>
          <w:tcPr>
            <w:tcW w:w="2693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53.3</w:t>
            </w:r>
          </w:p>
        </w:tc>
      </w:tr>
      <w:tr w:rsidR="00515DA7" w:rsidRPr="00A16A77" w:rsidTr="0089796E">
        <w:trPr>
          <w:trHeight w:val="300"/>
        </w:trPr>
        <w:tc>
          <w:tcPr>
            <w:tcW w:w="2283" w:type="dxa"/>
            <w:noWrap/>
            <w:hideMark/>
          </w:tcPr>
          <w:p w:rsidR="00515DA7" w:rsidRPr="00A16A77" w:rsidRDefault="00515DA7" w:rsidP="00515DA7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Slovenia</w:t>
            </w:r>
          </w:p>
        </w:tc>
        <w:tc>
          <w:tcPr>
            <w:tcW w:w="2645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3,032</w:t>
            </w:r>
          </w:p>
        </w:tc>
        <w:tc>
          <w:tcPr>
            <w:tcW w:w="2693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13.5</w:t>
            </w:r>
          </w:p>
        </w:tc>
      </w:tr>
      <w:tr w:rsidR="00515DA7" w:rsidRPr="00A16A77" w:rsidTr="0089796E">
        <w:trPr>
          <w:trHeight w:val="300"/>
        </w:trPr>
        <w:tc>
          <w:tcPr>
            <w:tcW w:w="2283" w:type="dxa"/>
            <w:noWrap/>
            <w:hideMark/>
          </w:tcPr>
          <w:p w:rsidR="00515DA7" w:rsidRPr="00A16A77" w:rsidRDefault="00515DA7" w:rsidP="00515DA7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Russia</w:t>
            </w:r>
          </w:p>
        </w:tc>
        <w:tc>
          <w:tcPr>
            <w:tcW w:w="2645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2,446</w:t>
            </w:r>
          </w:p>
        </w:tc>
        <w:tc>
          <w:tcPr>
            <w:tcW w:w="2693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10.9</w:t>
            </w:r>
          </w:p>
        </w:tc>
      </w:tr>
      <w:tr w:rsidR="00515DA7" w:rsidRPr="00A16A77" w:rsidTr="0089796E">
        <w:trPr>
          <w:trHeight w:val="300"/>
        </w:trPr>
        <w:tc>
          <w:tcPr>
            <w:tcW w:w="2283" w:type="dxa"/>
            <w:noWrap/>
            <w:hideMark/>
          </w:tcPr>
          <w:p w:rsidR="00515DA7" w:rsidRPr="00A16A77" w:rsidRDefault="00515DA7" w:rsidP="00515DA7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Lithuania</w:t>
            </w:r>
          </w:p>
        </w:tc>
        <w:tc>
          <w:tcPr>
            <w:tcW w:w="2645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1,082</w:t>
            </w:r>
          </w:p>
        </w:tc>
        <w:tc>
          <w:tcPr>
            <w:tcW w:w="2693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4.8</w:t>
            </w:r>
          </w:p>
        </w:tc>
      </w:tr>
      <w:tr w:rsidR="00515DA7" w:rsidRPr="00A16A77" w:rsidTr="0089796E">
        <w:trPr>
          <w:trHeight w:val="300"/>
        </w:trPr>
        <w:tc>
          <w:tcPr>
            <w:tcW w:w="2283" w:type="dxa"/>
            <w:noWrap/>
            <w:hideMark/>
          </w:tcPr>
          <w:p w:rsidR="00515DA7" w:rsidRPr="00A16A77" w:rsidRDefault="00515DA7" w:rsidP="00515DA7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Ukraine</w:t>
            </w:r>
          </w:p>
        </w:tc>
        <w:tc>
          <w:tcPr>
            <w:tcW w:w="2645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489</w:t>
            </w:r>
          </w:p>
        </w:tc>
        <w:tc>
          <w:tcPr>
            <w:tcW w:w="2693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2.2</w:t>
            </w:r>
          </w:p>
        </w:tc>
      </w:tr>
      <w:tr w:rsidR="00515DA7" w:rsidRPr="00A16A77" w:rsidTr="0089796E">
        <w:trPr>
          <w:trHeight w:val="300"/>
        </w:trPr>
        <w:tc>
          <w:tcPr>
            <w:tcW w:w="2283" w:type="dxa"/>
            <w:noWrap/>
            <w:hideMark/>
          </w:tcPr>
          <w:p w:rsidR="00515DA7" w:rsidRPr="00A16A77" w:rsidRDefault="00515DA7" w:rsidP="00515DA7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Greece</w:t>
            </w:r>
          </w:p>
        </w:tc>
        <w:tc>
          <w:tcPr>
            <w:tcW w:w="2645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425</w:t>
            </w:r>
          </w:p>
        </w:tc>
        <w:tc>
          <w:tcPr>
            <w:tcW w:w="2693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1.9</w:t>
            </w:r>
          </w:p>
        </w:tc>
      </w:tr>
      <w:tr w:rsidR="00515DA7" w:rsidRPr="00A16A77" w:rsidTr="0089796E">
        <w:trPr>
          <w:trHeight w:val="300"/>
        </w:trPr>
        <w:tc>
          <w:tcPr>
            <w:tcW w:w="2283" w:type="dxa"/>
            <w:noWrap/>
            <w:hideMark/>
          </w:tcPr>
          <w:p w:rsidR="00515DA7" w:rsidRPr="00A16A77" w:rsidRDefault="00515DA7" w:rsidP="00515DA7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Latvia</w:t>
            </w:r>
          </w:p>
        </w:tc>
        <w:tc>
          <w:tcPr>
            <w:tcW w:w="2645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418</w:t>
            </w:r>
          </w:p>
        </w:tc>
        <w:tc>
          <w:tcPr>
            <w:tcW w:w="2693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1.9</w:t>
            </w:r>
          </w:p>
        </w:tc>
      </w:tr>
      <w:tr w:rsidR="00515DA7" w:rsidRPr="00A16A77" w:rsidTr="0089796E">
        <w:trPr>
          <w:trHeight w:val="300"/>
        </w:trPr>
        <w:tc>
          <w:tcPr>
            <w:tcW w:w="2283" w:type="dxa"/>
            <w:noWrap/>
            <w:hideMark/>
          </w:tcPr>
          <w:p w:rsidR="00515DA7" w:rsidRPr="00A16A77" w:rsidRDefault="00515DA7" w:rsidP="00515DA7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Portugal</w:t>
            </w:r>
          </w:p>
        </w:tc>
        <w:tc>
          <w:tcPr>
            <w:tcW w:w="2645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403</w:t>
            </w:r>
          </w:p>
        </w:tc>
        <w:tc>
          <w:tcPr>
            <w:tcW w:w="2693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1.8</w:t>
            </w:r>
          </w:p>
        </w:tc>
      </w:tr>
      <w:tr w:rsidR="00515DA7" w:rsidRPr="00A16A77" w:rsidTr="0089796E">
        <w:trPr>
          <w:trHeight w:val="300"/>
        </w:trPr>
        <w:tc>
          <w:tcPr>
            <w:tcW w:w="2283" w:type="dxa"/>
            <w:noWrap/>
            <w:hideMark/>
          </w:tcPr>
          <w:p w:rsidR="00515DA7" w:rsidRPr="00A16A77" w:rsidRDefault="00515DA7" w:rsidP="00515DA7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Italy</w:t>
            </w:r>
          </w:p>
        </w:tc>
        <w:tc>
          <w:tcPr>
            <w:tcW w:w="2645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309</w:t>
            </w:r>
          </w:p>
        </w:tc>
        <w:tc>
          <w:tcPr>
            <w:tcW w:w="2693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1.4</w:t>
            </w:r>
          </w:p>
        </w:tc>
      </w:tr>
      <w:tr w:rsidR="00515DA7" w:rsidRPr="00A16A77" w:rsidTr="006110B9">
        <w:trPr>
          <w:trHeight w:val="227"/>
        </w:trPr>
        <w:tc>
          <w:tcPr>
            <w:tcW w:w="2283" w:type="dxa"/>
            <w:noWrap/>
            <w:hideMark/>
          </w:tcPr>
          <w:p w:rsidR="00515DA7" w:rsidRPr="00A16A77" w:rsidRDefault="00515DA7" w:rsidP="00515DA7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UK</w:t>
            </w:r>
          </w:p>
        </w:tc>
        <w:tc>
          <w:tcPr>
            <w:tcW w:w="2645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261</w:t>
            </w:r>
          </w:p>
        </w:tc>
        <w:tc>
          <w:tcPr>
            <w:tcW w:w="2693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1.2</w:t>
            </w:r>
          </w:p>
        </w:tc>
      </w:tr>
      <w:tr w:rsidR="00515DA7" w:rsidRPr="00A16A77" w:rsidTr="0089796E">
        <w:trPr>
          <w:trHeight w:val="300"/>
        </w:trPr>
        <w:tc>
          <w:tcPr>
            <w:tcW w:w="2283" w:type="dxa"/>
            <w:noWrap/>
            <w:hideMark/>
          </w:tcPr>
          <w:p w:rsidR="00515DA7" w:rsidRPr="00A16A77" w:rsidRDefault="00515DA7" w:rsidP="00515DA7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Norway</w:t>
            </w:r>
          </w:p>
        </w:tc>
        <w:tc>
          <w:tcPr>
            <w:tcW w:w="2645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260</w:t>
            </w:r>
          </w:p>
        </w:tc>
        <w:tc>
          <w:tcPr>
            <w:tcW w:w="2693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1.2</w:t>
            </w:r>
          </w:p>
        </w:tc>
      </w:tr>
      <w:tr w:rsidR="00515DA7" w:rsidRPr="00A16A77" w:rsidTr="0089796E">
        <w:trPr>
          <w:trHeight w:val="300"/>
        </w:trPr>
        <w:tc>
          <w:tcPr>
            <w:tcW w:w="2283" w:type="dxa"/>
            <w:noWrap/>
            <w:hideMark/>
          </w:tcPr>
          <w:p w:rsidR="00515DA7" w:rsidRPr="00A16A77" w:rsidRDefault="00515DA7" w:rsidP="00515DA7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Hungary</w:t>
            </w:r>
          </w:p>
        </w:tc>
        <w:tc>
          <w:tcPr>
            <w:tcW w:w="2645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248</w:t>
            </w:r>
          </w:p>
        </w:tc>
        <w:tc>
          <w:tcPr>
            <w:tcW w:w="2693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1.1</w:t>
            </w:r>
          </w:p>
        </w:tc>
      </w:tr>
      <w:tr w:rsidR="00515DA7" w:rsidRPr="00A16A77" w:rsidTr="0089796E">
        <w:trPr>
          <w:trHeight w:val="300"/>
        </w:trPr>
        <w:tc>
          <w:tcPr>
            <w:tcW w:w="2283" w:type="dxa"/>
            <w:noWrap/>
            <w:hideMark/>
          </w:tcPr>
          <w:p w:rsidR="00515DA7" w:rsidRPr="00A16A77" w:rsidRDefault="00515DA7" w:rsidP="00515DA7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Ireland</w:t>
            </w:r>
          </w:p>
        </w:tc>
        <w:tc>
          <w:tcPr>
            <w:tcW w:w="2645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240</w:t>
            </w:r>
          </w:p>
        </w:tc>
        <w:tc>
          <w:tcPr>
            <w:tcW w:w="2693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1.1</w:t>
            </w:r>
          </w:p>
        </w:tc>
      </w:tr>
      <w:tr w:rsidR="00515DA7" w:rsidRPr="00A16A77" w:rsidTr="0089796E">
        <w:trPr>
          <w:trHeight w:val="300"/>
        </w:trPr>
        <w:tc>
          <w:tcPr>
            <w:tcW w:w="2283" w:type="dxa"/>
            <w:noWrap/>
            <w:hideMark/>
          </w:tcPr>
          <w:p w:rsidR="00515DA7" w:rsidRPr="00A16A77" w:rsidRDefault="00515DA7" w:rsidP="00515DA7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Israel</w:t>
            </w:r>
          </w:p>
        </w:tc>
        <w:tc>
          <w:tcPr>
            <w:tcW w:w="2645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227</w:t>
            </w:r>
          </w:p>
        </w:tc>
        <w:tc>
          <w:tcPr>
            <w:tcW w:w="2693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1</w:t>
            </w:r>
          </w:p>
        </w:tc>
      </w:tr>
      <w:tr w:rsidR="00515DA7" w:rsidRPr="00A16A77" w:rsidTr="0089796E">
        <w:trPr>
          <w:trHeight w:val="300"/>
        </w:trPr>
        <w:tc>
          <w:tcPr>
            <w:tcW w:w="2283" w:type="dxa"/>
            <w:noWrap/>
            <w:hideMark/>
          </w:tcPr>
          <w:p w:rsidR="00515DA7" w:rsidRPr="00A16A77" w:rsidRDefault="00515DA7" w:rsidP="00515DA7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Turkey</w:t>
            </w:r>
          </w:p>
        </w:tc>
        <w:tc>
          <w:tcPr>
            <w:tcW w:w="2645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197</w:t>
            </w:r>
          </w:p>
        </w:tc>
        <w:tc>
          <w:tcPr>
            <w:tcW w:w="2693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0.9</w:t>
            </w:r>
          </w:p>
        </w:tc>
      </w:tr>
      <w:tr w:rsidR="00515DA7" w:rsidRPr="00A16A77" w:rsidTr="0089796E">
        <w:trPr>
          <w:trHeight w:val="300"/>
        </w:trPr>
        <w:tc>
          <w:tcPr>
            <w:tcW w:w="2283" w:type="dxa"/>
            <w:noWrap/>
            <w:hideMark/>
          </w:tcPr>
          <w:p w:rsidR="00515DA7" w:rsidRPr="00A16A77" w:rsidRDefault="00515DA7" w:rsidP="00515DA7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Romania</w:t>
            </w:r>
          </w:p>
        </w:tc>
        <w:tc>
          <w:tcPr>
            <w:tcW w:w="2645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115</w:t>
            </w:r>
          </w:p>
        </w:tc>
        <w:tc>
          <w:tcPr>
            <w:tcW w:w="2693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0.5</w:t>
            </w:r>
          </w:p>
        </w:tc>
      </w:tr>
      <w:tr w:rsidR="00515DA7" w:rsidRPr="00A16A77" w:rsidTr="0089796E">
        <w:trPr>
          <w:trHeight w:val="300"/>
        </w:trPr>
        <w:tc>
          <w:tcPr>
            <w:tcW w:w="2283" w:type="dxa"/>
            <w:noWrap/>
            <w:hideMark/>
          </w:tcPr>
          <w:p w:rsidR="00515DA7" w:rsidRPr="00A16A77" w:rsidRDefault="00515DA7" w:rsidP="00515DA7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Germany</w:t>
            </w:r>
          </w:p>
        </w:tc>
        <w:tc>
          <w:tcPr>
            <w:tcW w:w="2645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93</w:t>
            </w:r>
          </w:p>
        </w:tc>
        <w:tc>
          <w:tcPr>
            <w:tcW w:w="2693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0.4</w:t>
            </w:r>
          </w:p>
        </w:tc>
      </w:tr>
      <w:tr w:rsidR="00515DA7" w:rsidRPr="00A16A77" w:rsidTr="0089796E">
        <w:trPr>
          <w:trHeight w:val="300"/>
        </w:trPr>
        <w:tc>
          <w:tcPr>
            <w:tcW w:w="2283" w:type="dxa"/>
            <w:noWrap/>
            <w:hideMark/>
          </w:tcPr>
          <w:p w:rsidR="00515DA7" w:rsidRPr="00A16A77" w:rsidRDefault="00515DA7" w:rsidP="00515DA7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France</w:t>
            </w:r>
          </w:p>
        </w:tc>
        <w:tc>
          <w:tcPr>
            <w:tcW w:w="2645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88</w:t>
            </w:r>
          </w:p>
        </w:tc>
        <w:tc>
          <w:tcPr>
            <w:tcW w:w="2693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0.4</w:t>
            </w:r>
          </w:p>
        </w:tc>
      </w:tr>
      <w:tr w:rsidR="00515DA7" w:rsidRPr="00A16A77" w:rsidTr="0089796E">
        <w:trPr>
          <w:trHeight w:val="300"/>
        </w:trPr>
        <w:tc>
          <w:tcPr>
            <w:tcW w:w="2283" w:type="dxa"/>
            <w:noWrap/>
            <w:hideMark/>
          </w:tcPr>
          <w:p w:rsidR="00515DA7" w:rsidRPr="00A16A77" w:rsidRDefault="00515DA7" w:rsidP="00515DA7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Bulgaria</w:t>
            </w:r>
          </w:p>
        </w:tc>
        <w:tc>
          <w:tcPr>
            <w:tcW w:w="2645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63</w:t>
            </w:r>
          </w:p>
        </w:tc>
        <w:tc>
          <w:tcPr>
            <w:tcW w:w="2693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0.3</w:t>
            </w:r>
          </w:p>
        </w:tc>
      </w:tr>
      <w:tr w:rsidR="00515DA7" w:rsidRPr="00A16A77" w:rsidTr="0089796E">
        <w:trPr>
          <w:trHeight w:val="300"/>
        </w:trPr>
        <w:tc>
          <w:tcPr>
            <w:tcW w:w="2283" w:type="dxa"/>
            <w:noWrap/>
            <w:hideMark/>
          </w:tcPr>
          <w:p w:rsidR="00515DA7" w:rsidRPr="00A16A77" w:rsidRDefault="00515DA7" w:rsidP="00515DA7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Croatia</w:t>
            </w:r>
          </w:p>
        </w:tc>
        <w:tc>
          <w:tcPr>
            <w:tcW w:w="2645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58</w:t>
            </w:r>
          </w:p>
        </w:tc>
        <w:tc>
          <w:tcPr>
            <w:tcW w:w="2693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0.3</w:t>
            </w:r>
          </w:p>
        </w:tc>
      </w:tr>
      <w:tr w:rsidR="00515DA7" w:rsidRPr="00A16A77" w:rsidTr="0089796E">
        <w:trPr>
          <w:trHeight w:val="300"/>
        </w:trPr>
        <w:tc>
          <w:tcPr>
            <w:tcW w:w="2283" w:type="dxa"/>
            <w:noWrap/>
            <w:hideMark/>
          </w:tcPr>
          <w:p w:rsidR="00515DA7" w:rsidRPr="00A16A77" w:rsidRDefault="00515DA7" w:rsidP="00515DA7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Belgium</w:t>
            </w:r>
          </w:p>
        </w:tc>
        <w:tc>
          <w:tcPr>
            <w:tcW w:w="2645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25</w:t>
            </w:r>
          </w:p>
        </w:tc>
        <w:tc>
          <w:tcPr>
            <w:tcW w:w="2693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0.1</w:t>
            </w:r>
          </w:p>
        </w:tc>
      </w:tr>
      <w:tr w:rsidR="00515DA7" w:rsidRPr="00A16A77" w:rsidTr="0089796E">
        <w:trPr>
          <w:trHeight w:val="300"/>
        </w:trPr>
        <w:tc>
          <w:tcPr>
            <w:tcW w:w="2283" w:type="dxa"/>
            <w:noWrap/>
            <w:hideMark/>
          </w:tcPr>
          <w:p w:rsidR="00515DA7" w:rsidRPr="00A16A77" w:rsidRDefault="00515DA7" w:rsidP="00515DA7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Switzerland</w:t>
            </w:r>
          </w:p>
        </w:tc>
        <w:tc>
          <w:tcPr>
            <w:tcW w:w="2645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20</w:t>
            </w:r>
          </w:p>
        </w:tc>
        <w:tc>
          <w:tcPr>
            <w:tcW w:w="2693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0.1</w:t>
            </w:r>
          </w:p>
        </w:tc>
      </w:tr>
      <w:tr w:rsidR="00515DA7" w:rsidRPr="00A16A77" w:rsidTr="0089796E">
        <w:trPr>
          <w:trHeight w:val="300"/>
        </w:trPr>
        <w:tc>
          <w:tcPr>
            <w:tcW w:w="2283" w:type="dxa"/>
            <w:noWrap/>
            <w:hideMark/>
          </w:tcPr>
          <w:p w:rsidR="00515DA7" w:rsidRPr="00A16A77" w:rsidRDefault="00515DA7" w:rsidP="00515DA7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Denmark</w:t>
            </w:r>
          </w:p>
        </w:tc>
        <w:tc>
          <w:tcPr>
            <w:tcW w:w="2645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6</w:t>
            </w:r>
          </w:p>
        </w:tc>
        <w:tc>
          <w:tcPr>
            <w:tcW w:w="2693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0</w:t>
            </w:r>
          </w:p>
        </w:tc>
      </w:tr>
      <w:tr w:rsidR="00515DA7" w:rsidRPr="00A16A77" w:rsidTr="0089796E">
        <w:trPr>
          <w:trHeight w:val="300"/>
        </w:trPr>
        <w:tc>
          <w:tcPr>
            <w:tcW w:w="2283" w:type="dxa"/>
            <w:noWrap/>
            <w:hideMark/>
          </w:tcPr>
          <w:p w:rsidR="00515DA7" w:rsidRPr="00A16A77" w:rsidRDefault="00515DA7" w:rsidP="00515DA7">
            <w:pPr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Total</w:t>
            </w:r>
          </w:p>
        </w:tc>
        <w:tc>
          <w:tcPr>
            <w:tcW w:w="2645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22,492</w:t>
            </w:r>
          </w:p>
        </w:tc>
        <w:tc>
          <w:tcPr>
            <w:tcW w:w="2693" w:type="dxa"/>
            <w:noWrap/>
            <w:hideMark/>
          </w:tcPr>
          <w:p w:rsidR="00515DA7" w:rsidRPr="00A16A77" w:rsidRDefault="00515DA7" w:rsidP="00515DA7">
            <w:pPr>
              <w:jc w:val="righ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16A77">
              <w:rPr>
                <w:rFonts w:ascii="Arial" w:eastAsia="Times New Roman" w:hAnsi="Arial" w:cs="Arial"/>
                <w:color w:val="000000"/>
                <w:lang w:val="es-ES" w:eastAsia="es-ES"/>
              </w:rPr>
              <w:t>100</w:t>
            </w:r>
          </w:p>
        </w:tc>
      </w:tr>
    </w:tbl>
    <w:p w:rsidR="00515DA7" w:rsidRPr="00A16A77" w:rsidRDefault="00515DA7" w:rsidP="00515DA7">
      <w:pPr>
        <w:spacing w:after="200" w:line="480" w:lineRule="auto"/>
        <w:rPr>
          <w:rFonts w:ascii="Arial" w:hAnsi="Arial" w:cs="Arial"/>
          <w:lang w:val="en-GB"/>
        </w:rPr>
      </w:pPr>
    </w:p>
    <w:p w:rsidR="00515DA7" w:rsidRPr="00A16A77" w:rsidRDefault="00515DA7">
      <w:pPr>
        <w:spacing w:after="200" w:line="276" w:lineRule="auto"/>
        <w:rPr>
          <w:rFonts w:ascii="Arial" w:hAnsi="Arial" w:cs="Arial"/>
          <w:b/>
          <w:lang w:val="en-GB"/>
        </w:rPr>
      </w:pPr>
    </w:p>
    <w:p w:rsidR="00F821E0" w:rsidRPr="00A16A77" w:rsidRDefault="00F821E0">
      <w:pPr>
        <w:spacing w:after="200" w:line="276" w:lineRule="auto"/>
        <w:rPr>
          <w:rFonts w:ascii="Arial" w:hAnsi="Arial" w:cs="Arial"/>
          <w:b/>
          <w:lang w:val="en-GB"/>
        </w:rPr>
      </w:pPr>
      <w:r w:rsidRPr="00A16A77">
        <w:rPr>
          <w:rFonts w:ascii="Arial" w:hAnsi="Arial" w:cs="Arial"/>
          <w:b/>
          <w:lang w:val="en-GB"/>
        </w:rPr>
        <w:br w:type="page"/>
      </w:r>
    </w:p>
    <w:p w:rsidR="00F821E0" w:rsidRPr="00A16A77" w:rsidRDefault="00F821E0" w:rsidP="00126347">
      <w:pPr>
        <w:spacing w:line="480" w:lineRule="auto"/>
        <w:rPr>
          <w:rFonts w:ascii="Arial" w:hAnsi="Arial" w:cs="Arial"/>
          <w:b/>
          <w:lang w:val="en-GB"/>
        </w:rPr>
        <w:sectPr w:rsidR="00F821E0" w:rsidRPr="00A16A77" w:rsidSect="00F821E0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B16475" w:rsidRPr="00A16A77" w:rsidRDefault="00126347" w:rsidP="00126347">
      <w:pPr>
        <w:spacing w:line="480" w:lineRule="auto"/>
        <w:rPr>
          <w:rFonts w:ascii="Arial" w:hAnsi="Arial" w:cs="Arial"/>
          <w:b/>
          <w:lang w:val="en-GB"/>
        </w:rPr>
      </w:pPr>
      <w:r w:rsidRPr="00A16A77">
        <w:rPr>
          <w:rFonts w:ascii="Arial" w:hAnsi="Arial" w:cs="Arial"/>
          <w:b/>
          <w:lang w:val="en-GB"/>
        </w:rPr>
        <w:lastRenderedPageBreak/>
        <w:t xml:space="preserve">Supplementary table </w:t>
      </w:r>
      <w:r w:rsidR="00F821E0" w:rsidRPr="00A16A77">
        <w:rPr>
          <w:rFonts w:ascii="Arial" w:hAnsi="Arial" w:cs="Arial"/>
          <w:b/>
          <w:lang w:val="en-GB"/>
        </w:rPr>
        <w:t>3</w:t>
      </w:r>
      <w:r w:rsidRPr="00A16A77">
        <w:rPr>
          <w:rFonts w:ascii="Arial" w:hAnsi="Arial" w:cs="Arial"/>
          <w:b/>
          <w:lang w:val="en-GB"/>
        </w:rPr>
        <w:t xml:space="preserve">. </w:t>
      </w:r>
      <w:r w:rsidRPr="00A16A77">
        <w:rPr>
          <w:rFonts w:ascii="Arial" w:hAnsi="Arial" w:cs="Arial"/>
          <w:lang w:val="en-GB"/>
        </w:rPr>
        <w:t>Intensity of each adverse event by treatment scheme</w:t>
      </w:r>
    </w:p>
    <w:p w:rsidR="00126347" w:rsidRPr="00A16A77" w:rsidRDefault="00126347" w:rsidP="00126347">
      <w:pPr>
        <w:spacing w:line="480" w:lineRule="auto"/>
        <w:rPr>
          <w:rFonts w:ascii="Arial" w:hAnsi="Arial" w:cs="Arial"/>
          <w:b/>
          <w:lang w:val="en-GB"/>
        </w:rPr>
      </w:pPr>
    </w:p>
    <w:p w:rsidR="00126347" w:rsidRPr="00A16A77" w:rsidRDefault="00126347" w:rsidP="00126347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b/>
          <w:lang w:val="en-GB"/>
        </w:rPr>
      </w:pPr>
      <w:r w:rsidRPr="00A16A77">
        <w:rPr>
          <w:rFonts w:ascii="Arial" w:hAnsi="Arial" w:cs="Arial"/>
          <w:b/>
          <w:lang w:val="en-GB"/>
        </w:rPr>
        <w:t>Metallic taste</w:t>
      </w:r>
    </w:p>
    <w:tbl>
      <w:tblPr>
        <w:tblW w:w="148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1107"/>
        <w:gridCol w:w="1334"/>
        <w:gridCol w:w="1528"/>
        <w:gridCol w:w="1140"/>
        <w:gridCol w:w="1334"/>
        <w:gridCol w:w="1334"/>
        <w:gridCol w:w="1334"/>
        <w:gridCol w:w="1334"/>
      </w:tblGrid>
      <w:tr w:rsidR="00E11147" w:rsidRPr="00A16A77" w:rsidTr="00B463E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347" w:rsidRPr="00A16A77" w:rsidRDefault="00126347" w:rsidP="00126347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47" w:rsidRPr="00A16A77" w:rsidRDefault="008344FD" w:rsidP="00DB3F7E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M</w:t>
            </w:r>
            <w:r w:rsidR="00126347" w:rsidRPr="00A16A77">
              <w:rPr>
                <w:rFonts w:ascii="Arial" w:eastAsia="Times New Roman" w:hAnsi="Arial" w:cs="Arial"/>
                <w:b/>
                <w:lang w:val="en-GB" w:eastAsia="es-ES"/>
              </w:rPr>
              <w:t>ild</w:t>
            </w: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, N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47" w:rsidRPr="00A16A77" w:rsidRDefault="00126347" w:rsidP="00DB3F7E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47" w:rsidRPr="00A16A77" w:rsidRDefault="00126347" w:rsidP="00DB3F7E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95% CI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47" w:rsidRPr="00A16A77" w:rsidRDefault="008344FD" w:rsidP="00DB3F7E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M</w:t>
            </w:r>
            <w:r w:rsidR="00126347" w:rsidRPr="00A16A77">
              <w:rPr>
                <w:rFonts w:ascii="Arial" w:eastAsia="Times New Roman" w:hAnsi="Arial" w:cs="Arial"/>
                <w:b/>
                <w:lang w:val="en-GB" w:eastAsia="es-ES"/>
              </w:rPr>
              <w:t>oderate</w:t>
            </w: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, 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47" w:rsidRPr="00A16A77" w:rsidRDefault="00126347" w:rsidP="00DB3F7E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47" w:rsidRPr="00A16A77" w:rsidRDefault="00126347" w:rsidP="00DB3F7E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95% CI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47" w:rsidRPr="00A16A77" w:rsidRDefault="008344FD" w:rsidP="00DB3F7E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S</w:t>
            </w:r>
            <w:r w:rsidR="00126347" w:rsidRPr="00A16A77">
              <w:rPr>
                <w:rFonts w:ascii="Arial" w:eastAsia="Times New Roman" w:hAnsi="Arial" w:cs="Arial"/>
                <w:b/>
                <w:lang w:val="en-GB" w:eastAsia="es-ES"/>
              </w:rPr>
              <w:t>evere</w:t>
            </w: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, N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47" w:rsidRPr="00A16A77" w:rsidRDefault="00126347" w:rsidP="00DB3F7E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47" w:rsidRPr="00A16A77" w:rsidRDefault="00126347" w:rsidP="00DB3F7E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95% CI</w:t>
            </w:r>
          </w:p>
        </w:tc>
      </w:tr>
      <w:tr w:rsidR="00E11147" w:rsidRPr="00A16A77" w:rsidTr="00B463E9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347" w:rsidRPr="00A16A77" w:rsidRDefault="008D7178" w:rsidP="00DB3F7E">
            <w:pPr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hAnsi="Arial" w:cs="Arial"/>
                <w:b/>
                <w:color w:val="000000"/>
                <w:lang w:val="en-GB"/>
              </w:rPr>
              <w:t>PPI+C+A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47" w:rsidRPr="00A16A77" w:rsidRDefault="00126347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124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47" w:rsidRPr="00A16A77" w:rsidRDefault="00126347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36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47" w:rsidRPr="00A16A77" w:rsidRDefault="00126347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(31-42)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47" w:rsidRPr="00A16A77" w:rsidRDefault="00126347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47" w:rsidRPr="00A16A77" w:rsidRDefault="00126347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47" w:rsidRPr="00A16A77" w:rsidRDefault="00126347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(46-57)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347" w:rsidRPr="00A16A77" w:rsidRDefault="00126347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47" w:rsidRPr="00A16A77" w:rsidRDefault="00126347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47" w:rsidRPr="00A16A77" w:rsidRDefault="00126347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(8.5-16)</w:t>
            </w:r>
          </w:p>
        </w:tc>
      </w:tr>
      <w:tr w:rsidR="00B463E9" w:rsidRPr="00A16A77" w:rsidTr="00B463E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7178" w:rsidRPr="00A16A77" w:rsidRDefault="008D7178" w:rsidP="00DB3F7E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A16A77">
              <w:rPr>
                <w:rFonts w:ascii="Arial" w:hAnsi="Arial" w:cs="Arial"/>
                <w:b/>
                <w:color w:val="000000"/>
                <w:lang w:val="en-GB"/>
              </w:rPr>
              <w:t>Concomitant (PPI+C+A+M)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(61-71)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(25-35)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4.2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(2.1-6.4)</w:t>
            </w:r>
          </w:p>
        </w:tc>
      </w:tr>
      <w:tr w:rsidR="00B463E9" w:rsidRPr="00A16A77" w:rsidTr="00B463E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hAnsi="Arial" w:cs="Arial"/>
                <w:b/>
                <w:lang w:val="en-GB"/>
              </w:rPr>
              <w:t>PPI+three-in-one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(64-80)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(19-35)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0.8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(0.02-4.4)</w:t>
            </w:r>
          </w:p>
        </w:tc>
      </w:tr>
      <w:tr w:rsidR="00B463E9" w:rsidRPr="00A16A77" w:rsidTr="00B463E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hAnsi="Arial" w:cs="Arial"/>
                <w:b/>
                <w:color w:val="000000"/>
                <w:lang w:val="en-GB"/>
              </w:rPr>
              <w:t>PPI+C+A+B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264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86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(82-90)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(9.1-17)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1.3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(0.36-3.3)</w:t>
            </w:r>
          </w:p>
        </w:tc>
      </w:tr>
      <w:tr w:rsidR="00B463E9" w:rsidRPr="00A16A77" w:rsidTr="00B463E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hAnsi="Arial" w:cs="Arial"/>
                <w:b/>
                <w:color w:val="000000"/>
                <w:lang w:val="en-GB"/>
              </w:rPr>
              <w:t>PPI+A+L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(24-65)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(31-73)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3.7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(0.09-19)</w:t>
            </w:r>
          </w:p>
        </w:tc>
      </w:tr>
      <w:tr w:rsidR="00B463E9" w:rsidRPr="00A16A77" w:rsidTr="00B463E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7178" w:rsidRPr="00A16A77" w:rsidRDefault="008D7178" w:rsidP="00DB3F7E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A16A77">
              <w:rPr>
                <w:rFonts w:ascii="Arial" w:hAnsi="Arial" w:cs="Arial"/>
                <w:b/>
                <w:color w:val="000000"/>
                <w:lang w:val="en-GB"/>
              </w:rPr>
              <w:t>PPI+C+M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(33-57)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(32-56)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(3.0-18)</w:t>
            </w:r>
          </w:p>
        </w:tc>
      </w:tr>
      <w:tr w:rsidR="00B463E9" w:rsidRPr="00A16A77" w:rsidTr="00B463E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hAnsi="Arial" w:cs="Arial"/>
                <w:b/>
                <w:color w:val="000000"/>
                <w:lang w:val="en-GB"/>
              </w:rPr>
              <w:t>PPI+A+L+B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79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(66-92)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(7.6-34)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(0.00-8.2)</w:t>
            </w:r>
          </w:p>
        </w:tc>
      </w:tr>
      <w:tr w:rsidR="00B463E9" w:rsidRPr="00A16A77" w:rsidTr="00B463E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Triple-A+M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(49-87)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(7.2-43)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7.1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(0.88-24)</w:t>
            </w:r>
          </w:p>
        </w:tc>
      </w:tr>
      <w:tr w:rsidR="00B463E9" w:rsidRPr="00A16A77" w:rsidTr="00B463E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hAnsi="Arial" w:cs="Arial"/>
                <w:b/>
                <w:color w:val="000000"/>
                <w:lang w:val="en-GB"/>
              </w:rPr>
              <w:t>Sequential (PPI+C+A+M)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(34-79)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(17-61)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4.3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(0.11-22)</w:t>
            </w:r>
          </w:p>
        </w:tc>
      </w:tr>
      <w:tr w:rsidR="00B463E9" w:rsidRPr="00A16A77" w:rsidTr="00B463E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39E" w:rsidRPr="00A16A77" w:rsidRDefault="008D7178" w:rsidP="00DB3F7E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A16A77">
              <w:rPr>
                <w:rFonts w:ascii="Arial" w:hAnsi="Arial" w:cs="Arial"/>
                <w:b/>
                <w:color w:val="000000"/>
                <w:lang w:val="en-GB"/>
              </w:rPr>
              <w:t>PPI+B+Tc+M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(47-80)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(15-48)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5.3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(0.64-18)</w:t>
            </w:r>
          </w:p>
        </w:tc>
      </w:tr>
      <w:tr w:rsidR="00B463E9" w:rsidRPr="00A16A77" w:rsidTr="00B463E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178" w:rsidRPr="00A16A77" w:rsidRDefault="001A239E" w:rsidP="00DB3F7E">
            <w:pPr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hAnsi="Arial" w:cs="Arial"/>
                <w:b/>
                <w:color w:val="000000"/>
                <w:lang w:val="en-GB"/>
              </w:rPr>
              <w:t>PPI+B+A+J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(14-68)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(19-75)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(1.9-45)</w:t>
            </w:r>
          </w:p>
        </w:tc>
      </w:tr>
      <w:tr w:rsidR="00B463E9" w:rsidRPr="00A16A77" w:rsidTr="00B463E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178" w:rsidRPr="00A16A77" w:rsidRDefault="001A239E" w:rsidP="00DB3F7E">
            <w:pPr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hAnsi="Arial" w:cs="Arial"/>
                <w:b/>
                <w:color w:val="000000"/>
                <w:lang w:val="en-GB"/>
              </w:rPr>
              <w:t>PPI+B+D+M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(67-99)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(1.3-33)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78" w:rsidRPr="00A16A77" w:rsidRDefault="008D7178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(0.00-18)</w:t>
            </w:r>
          </w:p>
        </w:tc>
      </w:tr>
      <w:tr w:rsidR="00E11147" w:rsidRPr="00A16A77" w:rsidTr="00B463E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DB3F7E">
            <w:pPr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hAnsi="Arial" w:cs="Arial"/>
                <w:b/>
                <w:color w:val="000000"/>
                <w:lang w:val="en-GB"/>
              </w:rPr>
              <w:t>Sequential (PPI+C+A+T)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147" w:rsidRPr="00A16A77" w:rsidRDefault="00E11147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147" w:rsidRPr="00A16A77" w:rsidRDefault="00E11147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147" w:rsidRPr="00A16A77" w:rsidRDefault="00E11147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147" w:rsidRPr="00A16A77" w:rsidRDefault="00E11147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147" w:rsidRPr="00A16A77" w:rsidRDefault="00E11147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1147" w:rsidRPr="00A16A77" w:rsidRDefault="00E11147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147" w:rsidRPr="00A16A77" w:rsidRDefault="00E11147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147" w:rsidRPr="00A16A77" w:rsidRDefault="00E11147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</w:tr>
      <w:tr w:rsidR="00E11147" w:rsidRPr="00A16A77" w:rsidTr="00B463E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36A9" w:rsidRPr="00A16A77" w:rsidRDefault="00C836A9" w:rsidP="00DB3F7E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A16A77">
              <w:rPr>
                <w:rFonts w:ascii="Arial" w:hAnsi="Arial" w:cs="Arial"/>
                <w:b/>
                <w:color w:val="000000"/>
                <w:lang w:val="en-GB"/>
              </w:rPr>
              <w:t>Concomitant (PPI+C+A+T)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A9" w:rsidRPr="00A16A77" w:rsidRDefault="00C836A9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A9" w:rsidRPr="00A16A77" w:rsidRDefault="00C836A9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A9" w:rsidRPr="00A16A77" w:rsidRDefault="00C836A9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(1.3-99)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A9" w:rsidRPr="00A16A77" w:rsidRDefault="00C836A9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A9" w:rsidRPr="00A16A77" w:rsidRDefault="00C836A9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A9" w:rsidRPr="00A16A77" w:rsidRDefault="00C836A9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(1.3-99)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6A9" w:rsidRPr="00A16A77" w:rsidRDefault="00C836A9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A9" w:rsidRPr="00A16A77" w:rsidRDefault="00C836A9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A9" w:rsidRPr="00A16A77" w:rsidRDefault="00C836A9" w:rsidP="00DB3F7E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(0.00-84)</w:t>
            </w:r>
          </w:p>
        </w:tc>
      </w:tr>
    </w:tbl>
    <w:p w:rsidR="00126347" w:rsidRPr="00A16A77" w:rsidRDefault="00126347" w:rsidP="008344FD">
      <w:pPr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val="en-GB" w:eastAsia="es-ES"/>
        </w:rPr>
      </w:pPr>
    </w:p>
    <w:p w:rsidR="004C2EE0" w:rsidRPr="00A16A77" w:rsidRDefault="004C2EE0" w:rsidP="004C2EE0">
      <w:pPr>
        <w:rPr>
          <w:rFonts w:ascii="Arial" w:hAnsi="Arial" w:cs="Arial"/>
          <w:sz w:val="22"/>
          <w:szCs w:val="22"/>
          <w:lang w:val="en-GB"/>
        </w:rPr>
      </w:pPr>
      <w:r w:rsidRPr="00A16A77">
        <w:rPr>
          <w:rFonts w:ascii="Arial" w:hAnsi="Arial" w:cs="Arial"/>
          <w:sz w:val="22"/>
          <w:szCs w:val="22"/>
          <w:lang w:val="en-GB"/>
        </w:rPr>
        <w:t>N: number of patients; PPI: proton-pomp-inhibitor; CI: confidence interval; NA: not available; A: amoxicillin C: clarithromycin; M: metronidazole; T: tinidazole; D: doxycycline; L: levofloxacin; B: bismuth; Tc: tetracycline; J: josamycin; three-in-one: three-in-one single capsule bismuth quadruple therapy.</w:t>
      </w:r>
    </w:p>
    <w:p w:rsidR="004C2EE0" w:rsidRPr="00A16A77" w:rsidRDefault="004C2EE0" w:rsidP="004C2EE0">
      <w:pPr>
        <w:rPr>
          <w:rFonts w:ascii="Arial" w:eastAsia="Times New Roman" w:hAnsi="Arial" w:cs="Arial"/>
          <w:b/>
          <w:bCs/>
          <w:lang w:val="en-GB" w:eastAsia="es-ES"/>
        </w:rPr>
      </w:pPr>
    </w:p>
    <w:p w:rsidR="00E11147" w:rsidRPr="00A16A77" w:rsidRDefault="00E11147" w:rsidP="00E1114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16A77">
        <w:rPr>
          <w:rFonts w:ascii="Arial" w:hAnsi="Arial" w:cs="Arial"/>
          <w:sz w:val="22"/>
          <w:szCs w:val="22"/>
          <w:lang w:val="en-GB"/>
        </w:rPr>
        <w:br w:type="page"/>
      </w:r>
    </w:p>
    <w:p w:rsidR="00E11147" w:rsidRPr="00A16A77" w:rsidRDefault="00E11147" w:rsidP="00E11147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b/>
          <w:lang w:val="en-GB"/>
        </w:rPr>
      </w:pPr>
      <w:r w:rsidRPr="00A16A77">
        <w:rPr>
          <w:rFonts w:ascii="Arial" w:hAnsi="Arial" w:cs="Arial"/>
          <w:b/>
          <w:lang w:val="en-GB"/>
        </w:rPr>
        <w:lastRenderedPageBreak/>
        <w:t>Diarrhoea</w:t>
      </w:r>
    </w:p>
    <w:p w:rsidR="00E11147" w:rsidRPr="00A16A77" w:rsidRDefault="00E11147" w:rsidP="00E11147">
      <w:pPr>
        <w:rPr>
          <w:rFonts w:ascii="Arial" w:eastAsia="Times New Roman" w:hAnsi="Arial" w:cs="Arial"/>
          <w:b/>
          <w:bCs/>
          <w:lang w:val="en-GB" w:eastAsia="es-ES"/>
        </w:rPr>
      </w:pPr>
    </w:p>
    <w:tbl>
      <w:tblPr>
        <w:tblW w:w="145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275"/>
        <w:gridCol w:w="937"/>
        <w:gridCol w:w="1208"/>
        <w:gridCol w:w="1808"/>
        <w:gridCol w:w="1208"/>
        <w:gridCol w:w="1234"/>
        <w:gridCol w:w="1402"/>
        <w:gridCol w:w="1014"/>
        <w:gridCol w:w="1208"/>
      </w:tblGrid>
      <w:tr w:rsidR="00B463E9" w:rsidRPr="00A16A77" w:rsidTr="004852DE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E11147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4852DE" w:rsidP="00FA3188">
            <w:pPr>
              <w:jc w:val="center"/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M</w:t>
            </w:r>
            <w:r w:rsidR="00E11147"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ild</w:t>
            </w: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, N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%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95% CI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4852DE" w:rsidP="00FA3188">
            <w:pPr>
              <w:jc w:val="center"/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M</w:t>
            </w:r>
            <w:r w:rsidR="00E11147"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oderate</w:t>
            </w: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, N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95% CI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4852DE" w:rsidP="00FA3188">
            <w:pPr>
              <w:jc w:val="center"/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S</w:t>
            </w:r>
            <w:r w:rsidR="00E11147"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evere</w:t>
            </w: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, N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%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95% CI</w:t>
            </w:r>
          </w:p>
        </w:tc>
      </w:tr>
      <w:tr w:rsidR="00B463E9" w:rsidRPr="00A16A77" w:rsidTr="004852DE">
        <w:trPr>
          <w:trHeight w:val="33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7" w:rsidRPr="00A16A77" w:rsidRDefault="00E11147" w:rsidP="00E11147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PPI+C+A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132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56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(50-63)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78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33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(27-40)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(6.2-14)</w:t>
            </w:r>
          </w:p>
        </w:tc>
      </w:tr>
      <w:tr w:rsidR="00B463E9" w:rsidRPr="00A16A77" w:rsidTr="004852DE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7" w:rsidRPr="00A16A77" w:rsidRDefault="00E11147" w:rsidP="00E11147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Concomitant (PPI+C+A+M)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291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(68-77)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94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(19-28)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15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3.8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(1.8-5,7)</w:t>
            </w:r>
          </w:p>
        </w:tc>
      </w:tr>
      <w:tr w:rsidR="00B463E9" w:rsidRPr="00A16A77" w:rsidTr="004852DE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7" w:rsidRPr="00A16A77" w:rsidRDefault="00E11147" w:rsidP="00E11147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PPI+three-in-one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(35-49)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114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56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(49-63)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2.5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(0.80-5.6)</w:t>
            </w:r>
          </w:p>
        </w:tc>
      </w:tr>
      <w:tr w:rsidR="00B463E9" w:rsidRPr="00A16A77" w:rsidTr="004852DE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7" w:rsidRPr="00A16A77" w:rsidRDefault="00E11147" w:rsidP="00E11147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PPI+C+A+B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145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(63-76)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29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(22-35)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2.4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(0.78-5.5)</w:t>
            </w:r>
          </w:p>
        </w:tc>
      </w:tr>
      <w:tr w:rsidR="00B463E9" w:rsidRPr="00A16A77" w:rsidTr="004852DE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7" w:rsidRPr="00A16A77" w:rsidRDefault="00E11147" w:rsidP="00E11147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PPI+A+L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54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38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(29-46)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61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(53-69)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1.4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(0.17-4.9)</w:t>
            </w:r>
          </w:p>
        </w:tc>
      </w:tr>
      <w:tr w:rsidR="00B463E9" w:rsidRPr="00A16A77" w:rsidTr="004852DE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7" w:rsidRPr="00A16A77" w:rsidRDefault="00E11147" w:rsidP="00E11147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PPI+C+M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(33-74)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46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(37-77)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(0.00-12)</w:t>
            </w:r>
          </w:p>
        </w:tc>
      </w:tr>
      <w:tr w:rsidR="00B463E9" w:rsidRPr="00A16A77" w:rsidTr="004852DE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7" w:rsidRPr="00A16A77" w:rsidRDefault="00E11147" w:rsidP="00E11147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PPI+A+L+B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(56-76)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(20-40)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4.4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(1.2-11)</w:t>
            </w:r>
          </w:p>
        </w:tc>
      </w:tr>
      <w:tr w:rsidR="00B463E9" w:rsidRPr="00A16A77" w:rsidTr="004852DE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7" w:rsidRPr="00A16A77" w:rsidRDefault="00E11147" w:rsidP="00E11147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Triple-A+M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(23-63)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46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(26-67)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(2.3-28)</w:t>
            </w:r>
          </w:p>
        </w:tc>
      </w:tr>
      <w:tr w:rsidR="00B463E9" w:rsidRPr="00A16A77" w:rsidTr="004852DE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7" w:rsidRPr="00A16A77" w:rsidRDefault="00E11147" w:rsidP="00E11147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Sequential (PPI+C+A+M)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(6.8-93)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(6.8-93)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(0.00-60)</w:t>
            </w:r>
          </w:p>
        </w:tc>
      </w:tr>
      <w:tr w:rsidR="00B463E9" w:rsidRPr="00A16A77" w:rsidTr="004852DE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7" w:rsidRPr="00A16A77" w:rsidRDefault="00E11147" w:rsidP="00E11147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PPI+B+Tc+M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(15-54)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59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(39-78)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6.9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(0.85-23)</w:t>
            </w:r>
          </w:p>
        </w:tc>
      </w:tr>
      <w:tr w:rsidR="00B463E9" w:rsidRPr="00A16A77" w:rsidTr="004852DE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7" w:rsidRPr="00A16A77" w:rsidRDefault="00E11147" w:rsidP="00E11147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PPI+B+A+J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(28-72)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46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(24-68)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4.2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(0.11-21)</w:t>
            </w:r>
          </w:p>
        </w:tc>
      </w:tr>
      <w:tr w:rsidR="00B463E9" w:rsidRPr="00A16A77" w:rsidTr="004852DE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7" w:rsidRPr="00A16A77" w:rsidRDefault="00E11147" w:rsidP="00E11147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PPI+B+D+M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(12-74)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(19-81)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(0.25-45)</w:t>
            </w:r>
          </w:p>
        </w:tc>
      </w:tr>
      <w:tr w:rsidR="004B1FE0" w:rsidRPr="00A16A77" w:rsidTr="004852DE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FE0" w:rsidRPr="00A16A77" w:rsidRDefault="004B1FE0" w:rsidP="00E11147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Sequential (PPI+C+A+T)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E0" w:rsidRPr="00A16A77" w:rsidRDefault="004B1FE0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NA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E0" w:rsidRPr="00A16A77" w:rsidRDefault="004B1FE0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NA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E0" w:rsidRPr="00A16A77" w:rsidRDefault="004B1FE0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NA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E0" w:rsidRPr="00A16A77" w:rsidRDefault="004B1FE0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NA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E0" w:rsidRPr="00A16A77" w:rsidRDefault="004B1FE0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NA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E0" w:rsidRPr="00A16A77" w:rsidRDefault="004B1FE0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NA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1FE0" w:rsidRPr="00A16A77" w:rsidRDefault="004B1FE0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NA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E0" w:rsidRPr="00A16A77" w:rsidRDefault="004B1FE0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NA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FE0" w:rsidRPr="00A16A77" w:rsidRDefault="004B1FE0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NA</w:t>
            </w:r>
          </w:p>
        </w:tc>
      </w:tr>
      <w:tr w:rsidR="00B463E9" w:rsidRPr="00A16A77" w:rsidTr="004852DE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47" w:rsidRPr="00A16A77" w:rsidRDefault="00E11147" w:rsidP="00E11147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Concomitant (PPI+C+A+T)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(0.42-64)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67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(22-96)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47" w:rsidRPr="00A16A77" w:rsidRDefault="00E11147" w:rsidP="00FA3188">
            <w:pPr>
              <w:jc w:val="center"/>
              <w:rPr>
                <w:rFonts w:ascii="Arial" w:eastAsia="Times New Roman" w:hAnsi="Arial" w:cs="Arial"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Cs/>
                <w:lang w:val="en-GB" w:eastAsia="es-ES"/>
              </w:rPr>
              <w:t>(0.42-64)</w:t>
            </w:r>
          </w:p>
        </w:tc>
      </w:tr>
    </w:tbl>
    <w:p w:rsidR="00E11147" w:rsidRPr="00A16A77" w:rsidRDefault="00E11147" w:rsidP="00E11147">
      <w:pPr>
        <w:rPr>
          <w:rFonts w:ascii="Arial" w:eastAsia="Times New Roman" w:hAnsi="Arial" w:cs="Arial"/>
          <w:b/>
          <w:bCs/>
          <w:lang w:val="en-GB" w:eastAsia="es-ES"/>
        </w:rPr>
      </w:pPr>
    </w:p>
    <w:p w:rsidR="004C2EE0" w:rsidRPr="00A16A77" w:rsidRDefault="004C2EE0" w:rsidP="004C2EE0">
      <w:pPr>
        <w:rPr>
          <w:rFonts w:ascii="Arial" w:hAnsi="Arial" w:cs="Arial"/>
          <w:sz w:val="22"/>
          <w:szCs w:val="22"/>
          <w:lang w:val="en-GB"/>
        </w:rPr>
      </w:pPr>
      <w:r w:rsidRPr="00A16A77">
        <w:rPr>
          <w:rFonts w:ascii="Arial" w:hAnsi="Arial" w:cs="Arial"/>
          <w:sz w:val="22"/>
          <w:szCs w:val="22"/>
          <w:lang w:val="en-GB"/>
        </w:rPr>
        <w:t>N: number of patients; PPI: proton-pomp-inhibitor; CI: confidence interval; NA: not available; A: amoxicillin C: clarithromycin; M: metronidazole; T: tinidazole; D: doxycycline; L: levofloxacin; B: bismuth; Tc: tetracycline; J: josamycin; three-in-one: three-in-one single capsule bismuth quadruple therapy</w:t>
      </w:r>
      <w:r w:rsidR="00463748" w:rsidRPr="00A16A77">
        <w:rPr>
          <w:rFonts w:ascii="Arial" w:hAnsi="Arial" w:cs="Arial"/>
          <w:sz w:val="22"/>
          <w:szCs w:val="22"/>
          <w:lang w:val="en-GB"/>
        </w:rPr>
        <w:t xml:space="preserve"> (Pylera</w:t>
      </w:r>
      <w:r w:rsidR="00463748" w:rsidRPr="00A16A77">
        <w:rPr>
          <w:rFonts w:ascii="Arial" w:hAnsi="Arial" w:cs="Arial"/>
          <w:sz w:val="22"/>
          <w:szCs w:val="22"/>
          <w:vertAlign w:val="superscript"/>
          <w:lang w:val="en-GB"/>
        </w:rPr>
        <w:t>®</w:t>
      </w:r>
      <w:r w:rsidR="00463748" w:rsidRPr="00A16A77">
        <w:rPr>
          <w:rFonts w:ascii="Arial" w:hAnsi="Arial" w:cs="Arial"/>
          <w:sz w:val="22"/>
          <w:szCs w:val="22"/>
          <w:lang w:val="en-GB"/>
        </w:rPr>
        <w:t>)</w:t>
      </w:r>
      <w:r w:rsidRPr="00A16A77">
        <w:rPr>
          <w:rFonts w:ascii="Arial" w:hAnsi="Arial" w:cs="Arial"/>
          <w:sz w:val="22"/>
          <w:szCs w:val="22"/>
          <w:lang w:val="en-GB"/>
        </w:rPr>
        <w:t>.</w:t>
      </w:r>
      <w:r w:rsidR="00463748" w:rsidRPr="00A16A77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4C2EE0" w:rsidRPr="00A16A77" w:rsidRDefault="004C2EE0" w:rsidP="004C2EE0">
      <w:pPr>
        <w:rPr>
          <w:rFonts w:ascii="Arial" w:eastAsia="Times New Roman" w:hAnsi="Arial" w:cs="Arial"/>
          <w:b/>
          <w:bCs/>
          <w:lang w:val="en-GB" w:eastAsia="es-ES"/>
        </w:rPr>
      </w:pPr>
    </w:p>
    <w:p w:rsidR="004B1FE0" w:rsidRPr="00A16A77" w:rsidRDefault="004B1FE0">
      <w:pPr>
        <w:spacing w:after="200" w:line="276" w:lineRule="auto"/>
        <w:rPr>
          <w:rFonts w:ascii="Arial" w:hAnsi="Arial" w:cs="Arial"/>
          <w:sz w:val="22"/>
          <w:szCs w:val="22"/>
          <w:lang w:val="en-GB"/>
        </w:rPr>
      </w:pPr>
      <w:r w:rsidRPr="00A16A77">
        <w:rPr>
          <w:rFonts w:ascii="Arial" w:hAnsi="Arial" w:cs="Arial"/>
          <w:sz w:val="22"/>
          <w:szCs w:val="22"/>
          <w:lang w:val="en-GB"/>
        </w:rPr>
        <w:br w:type="page"/>
      </w:r>
    </w:p>
    <w:p w:rsidR="004B1FE0" w:rsidRPr="00A16A77" w:rsidRDefault="004B1FE0" w:rsidP="004B1FE0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b/>
          <w:lang w:val="en-GB"/>
        </w:rPr>
      </w:pPr>
      <w:r w:rsidRPr="00A16A77">
        <w:rPr>
          <w:rFonts w:ascii="Arial" w:hAnsi="Arial" w:cs="Arial"/>
          <w:b/>
          <w:lang w:val="en-GB"/>
        </w:rPr>
        <w:lastRenderedPageBreak/>
        <w:t>Nausea</w:t>
      </w:r>
    </w:p>
    <w:p w:rsidR="00B463E9" w:rsidRPr="00A16A77" w:rsidRDefault="00B463E9" w:rsidP="00E1114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7"/>
        <w:gridCol w:w="1204"/>
        <w:gridCol w:w="1205"/>
        <w:gridCol w:w="1205"/>
        <w:gridCol w:w="1514"/>
        <w:gridCol w:w="990"/>
        <w:gridCol w:w="1205"/>
        <w:gridCol w:w="1236"/>
        <w:gridCol w:w="1205"/>
        <w:gridCol w:w="1191"/>
      </w:tblGrid>
      <w:tr w:rsidR="004852DE" w:rsidRPr="00A16A77" w:rsidTr="004852DE">
        <w:trPr>
          <w:trHeight w:val="326"/>
        </w:trPr>
        <w:tc>
          <w:tcPr>
            <w:tcW w:w="1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4B1FE0">
            <w:pPr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Mild, N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%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95% CI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Moderate, N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%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95% CI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Severe, N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95% CI</w:t>
            </w:r>
          </w:p>
        </w:tc>
      </w:tr>
      <w:tr w:rsidR="004852DE" w:rsidRPr="00A16A77" w:rsidTr="004852DE">
        <w:trPr>
          <w:trHeight w:val="342"/>
        </w:trPr>
        <w:tc>
          <w:tcPr>
            <w:tcW w:w="1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DE" w:rsidRPr="00A16A77" w:rsidRDefault="004852DE" w:rsidP="004B1FE0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PPI+C+A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192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(53-64)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114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(29-40)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7.3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2DE" w:rsidRPr="00A16A77" w:rsidRDefault="004852DE" w:rsidP="00FA3188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16A77">
              <w:rPr>
                <w:rFonts w:ascii="Arial" w:hAnsi="Arial" w:cs="Arial"/>
                <w:color w:val="000000"/>
                <w:szCs w:val="22"/>
                <w:lang w:val="en-GB"/>
              </w:rPr>
              <w:t>(5.1-11)</w:t>
            </w:r>
          </w:p>
        </w:tc>
      </w:tr>
      <w:tr w:rsidR="004852DE" w:rsidRPr="00A16A77" w:rsidTr="004852DE">
        <w:trPr>
          <w:trHeight w:val="342"/>
        </w:trPr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DE" w:rsidRPr="00A16A77" w:rsidRDefault="004852DE" w:rsidP="004B1FE0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Concomitant (PPI+C+A+M)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169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(60-72)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75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29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(24-35)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4.7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2DE" w:rsidRPr="00A16A77" w:rsidRDefault="004852DE" w:rsidP="00FA3188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16A77">
              <w:rPr>
                <w:rFonts w:ascii="Arial" w:hAnsi="Arial" w:cs="Arial"/>
                <w:color w:val="000000"/>
                <w:szCs w:val="22"/>
                <w:lang w:val="en-GB"/>
              </w:rPr>
              <w:t>(1.9-7.5)</w:t>
            </w:r>
          </w:p>
        </w:tc>
      </w:tr>
      <w:tr w:rsidR="004852DE" w:rsidRPr="00A16A77" w:rsidTr="004852DE">
        <w:trPr>
          <w:trHeight w:val="342"/>
        </w:trPr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DE" w:rsidRPr="00A16A77" w:rsidRDefault="004852DE" w:rsidP="004B1FE0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PPI+three-in-one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109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(47-62)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84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(35-49)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3.5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2DE" w:rsidRPr="00A16A77" w:rsidRDefault="004852DE" w:rsidP="00FA3188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16A77">
              <w:rPr>
                <w:rFonts w:ascii="Arial" w:hAnsi="Arial" w:cs="Arial"/>
                <w:color w:val="000000"/>
                <w:szCs w:val="22"/>
                <w:lang w:val="en-GB"/>
              </w:rPr>
              <w:t>(0.70-6.3)</w:t>
            </w:r>
          </w:p>
        </w:tc>
      </w:tr>
      <w:tr w:rsidR="004852DE" w:rsidRPr="00A16A77" w:rsidTr="004852DE">
        <w:trPr>
          <w:trHeight w:val="342"/>
        </w:trPr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DE" w:rsidRPr="00A16A77" w:rsidRDefault="004852DE" w:rsidP="004B1FE0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PPI+C+A+B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102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(58-74)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(22-37)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3.9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2DE" w:rsidRPr="00A16A77" w:rsidRDefault="004852DE" w:rsidP="00FA3188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16A77">
              <w:rPr>
                <w:rFonts w:ascii="Arial" w:hAnsi="Arial" w:cs="Arial"/>
                <w:color w:val="000000"/>
                <w:szCs w:val="22"/>
                <w:lang w:val="en-GB"/>
              </w:rPr>
              <w:t>(0.52-7.3)</w:t>
            </w:r>
          </w:p>
        </w:tc>
      </w:tr>
      <w:tr w:rsidR="004852DE" w:rsidRPr="00A16A77" w:rsidTr="004852DE">
        <w:trPr>
          <w:trHeight w:val="342"/>
        </w:trPr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DE" w:rsidRPr="00A16A77" w:rsidRDefault="004852DE" w:rsidP="004B1FE0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PPI+A+L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(26-45)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(54-74)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2DE" w:rsidRPr="00A16A77" w:rsidRDefault="004852DE" w:rsidP="00FA3188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16A77">
              <w:rPr>
                <w:rFonts w:ascii="Arial" w:hAnsi="Arial" w:cs="Arial"/>
                <w:color w:val="000000"/>
                <w:szCs w:val="22"/>
                <w:lang w:val="en-GB"/>
              </w:rPr>
              <w:t>(0.00-3.4)</w:t>
            </w:r>
          </w:p>
        </w:tc>
      </w:tr>
      <w:tr w:rsidR="004852DE" w:rsidRPr="00A16A77" w:rsidTr="004852DE">
        <w:trPr>
          <w:trHeight w:val="342"/>
        </w:trPr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DE" w:rsidRPr="00A16A77" w:rsidRDefault="004852DE" w:rsidP="004B1FE0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PPI+C+M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(25-58)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(30-63)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2DE" w:rsidRPr="00A16A77" w:rsidRDefault="004852DE" w:rsidP="00FA3188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16A77">
              <w:rPr>
                <w:rFonts w:ascii="Arial" w:hAnsi="Arial" w:cs="Arial"/>
                <w:color w:val="000000"/>
                <w:szCs w:val="22"/>
                <w:lang w:val="en-GB"/>
              </w:rPr>
              <w:t>(4.1-26)</w:t>
            </w:r>
          </w:p>
        </w:tc>
      </w:tr>
      <w:tr w:rsidR="004852DE" w:rsidRPr="00A16A77" w:rsidTr="004852DE">
        <w:trPr>
          <w:trHeight w:val="342"/>
        </w:trPr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DE" w:rsidRPr="00A16A77" w:rsidRDefault="004852DE" w:rsidP="004B1FE0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PPI+A+L+B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75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(62-87)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(9.3-34)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3.9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2DE" w:rsidRPr="00A16A77" w:rsidRDefault="004852DE" w:rsidP="00FA3188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16A77">
              <w:rPr>
                <w:rFonts w:ascii="Arial" w:hAnsi="Arial" w:cs="Arial"/>
                <w:color w:val="000000"/>
                <w:szCs w:val="22"/>
                <w:lang w:val="en-GB"/>
              </w:rPr>
              <w:t>(0.48-13)</w:t>
            </w:r>
          </w:p>
        </w:tc>
      </w:tr>
      <w:tr w:rsidR="004852DE" w:rsidRPr="00A16A77" w:rsidTr="004852DE">
        <w:trPr>
          <w:trHeight w:val="342"/>
        </w:trPr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DE" w:rsidRPr="00A16A77" w:rsidRDefault="004852DE" w:rsidP="004B1FE0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Triple-A+M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(17-54)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(31-73)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2DE" w:rsidRPr="00A16A77" w:rsidRDefault="004852DE" w:rsidP="00FA3188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16A77">
              <w:rPr>
                <w:rFonts w:ascii="Arial" w:hAnsi="Arial" w:cs="Arial"/>
                <w:color w:val="000000"/>
                <w:szCs w:val="22"/>
                <w:lang w:val="en-GB"/>
              </w:rPr>
              <w:t>(2.4-29)</w:t>
            </w:r>
          </w:p>
        </w:tc>
      </w:tr>
      <w:tr w:rsidR="004852DE" w:rsidRPr="00A16A77" w:rsidTr="004852DE">
        <w:trPr>
          <w:trHeight w:val="342"/>
        </w:trPr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DE" w:rsidRPr="00A16A77" w:rsidRDefault="004852DE" w:rsidP="004B1FE0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Sequential (PPI+C+A+M)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77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(46-95)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(5.0-54)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2DE" w:rsidRPr="00A16A77" w:rsidRDefault="004852DE" w:rsidP="00FA3188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16A77">
              <w:rPr>
                <w:rFonts w:ascii="Arial" w:hAnsi="Arial" w:cs="Arial"/>
                <w:color w:val="000000"/>
                <w:szCs w:val="22"/>
                <w:lang w:val="en-GB"/>
              </w:rPr>
              <w:t>(0.00-25)</w:t>
            </w:r>
          </w:p>
        </w:tc>
      </w:tr>
      <w:tr w:rsidR="004852DE" w:rsidRPr="00A16A77" w:rsidTr="004852DE">
        <w:trPr>
          <w:trHeight w:val="342"/>
        </w:trPr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DE" w:rsidRPr="00A16A77" w:rsidRDefault="004852DE" w:rsidP="004B1FE0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PPI+B+Tc+M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(38-69)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(21-51)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2DE" w:rsidRPr="00A16A77" w:rsidRDefault="004852DE" w:rsidP="00FA3188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16A77">
              <w:rPr>
                <w:rFonts w:ascii="Arial" w:hAnsi="Arial" w:cs="Arial"/>
                <w:color w:val="000000"/>
                <w:szCs w:val="22"/>
                <w:lang w:val="en-GB"/>
              </w:rPr>
              <w:t>(3.5-23)</w:t>
            </w:r>
          </w:p>
        </w:tc>
      </w:tr>
      <w:tr w:rsidR="004852DE" w:rsidRPr="00A16A77" w:rsidTr="004852DE">
        <w:trPr>
          <w:trHeight w:val="342"/>
        </w:trPr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DE" w:rsidRPr="00A16A77" w:rsidRDefault="004852DE" w:rsidP="004B1FE0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PPI+B+A+J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(5.0-54)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(19-75)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2DE" w:rsidRPr="00A16A77" w:rsidRDefault="004852DE" w:rsidP="00FA3188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16A77">
              <w:rPr>
                <w:rFonts w:ascii="Arial" w:hAnsi="Arial" w:cs="Arial"/>
                <w:color w:val="000000"/>
                <w:szCs w:val="22"/>
                <w:lang w:val="en-GB"/>
              </w:rPr>
              <w:t>(9.1-61)</w:t>
            </w:r>
          </w:p>
        </w:tc>
      </w:tr>
      <w:tr w:rsidR="004852DE" w:rsidRPr="00A16A77" w:rsidTr="004852DE">
        <w:trPr>
          <w:trHeight w:val="342"/>
        </w:trPr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DE" w:rsidRPr="00A16A77" w:rsidRDefault="004852DE" w:rsidP="004B1FE0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PPI+B+D+M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19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(39-76)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(13-47)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2DE" w:rsidRPr="00A16A77" w:rsidRDefault="004852DE" w:rsidP="00FA3188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16A77">
              <w:rPr>
                <w:rFonts w:ascii="Arial" w:hAnsi="Arial" w:cs="Arial"/>
                <w:color w:val="000000"/>
                <w:szCs w:val="22"/>
                <w:lang w:val="en-GB"/>
              </w:rPr>
              <w:t>(3.4-28)</w:t>
            </w:r>
          </w:p>
        </w:tc>
      </w:tr>
      <w:tr w:rsidR="004852DE" w:rsidRPr="00A16A77" w:rsidTr="004852DE">
        <w:trPr>
          <w:trHeight w:val="342"/>
        </w:trPr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DE" w:rsidRPr="00A16A77" w:rsidRDefault="004852DE" w:rsidP="004B1FE0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Sequential (PPI+C+A+T)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0.00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0.00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2DE" w:rsidRPr="00A16A77" w:rsidRDefault="004852DE" w:rsidP="00FA3188">
            <w:pPr>
              <w:jc w:val="center"/>
              <w:rPr>
                <w:rFonts w:ascii="Arial" w:hAnsi="Arial" w:cs="Arial"/>
                <w:lang w:val="en-GB"/>
              </w:rPr>
            </w:pPr>
            <w:r w:rsidRPr="00A16A77">
              <w:rPr>
                <w:rFonts w:ascii="Arial" w:hAnsi="Arial" w:cs="Arial"/>
                <w:szCs w:val="22"/>
                <w:lang w:val="en-GB"/>
              </w:rPr>
              <w:t>NA</w:t>
            </w:r>
          </w:p>
        </w:tc>
      </w:tr>
      <w:tr w:rsidR="004852DE" w:rsidRPr="00A16A77" w:rsidTr="004852DE">
        <w:trPr>
          <w:trHeight w:val="342"/>
        </w:trPr>
        <w:tc>
          <w:tcPr>
            <w:tcW w:w="11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DE" w:rsidRPr="00A16A77" w:rsidRDefault="004852DE" w:rsidP="004B1FE0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Concomitant (PPI+C+A+T)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(4.3-78)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(.42-64)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2DE" w:rsidRPr="00A16A77" w:rsidRDefault="004852DE" w:rsidP="00FA3188">
            <w:pPr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A16A77">
              <w:rPr>
                <w:rFonts w:ascii="Arial" w:hAnsi="Arial" w:cs="Arial"/>
                <w:color w:val="000000"/>
                <w:szCs w:val="22"/>
                <w:lang w:val="en-GB"/>
              </w:rPr>
              <w:t>(12-88)</w:t>
            </w:r>
          </w:p>
        </w:tc>
      </w:tr>
    </w:tbl>
    <w:p w:rsidR="004B1FE0" w:rsidRPr="00A16A77" w:rsidRDefault="004B1FE0" w:rsidP="00E11147">
      <w:pPr>
        <w:rPr>
          <w:rFonts w:ascii="Arial" w:hAnsi="Arial" w:cs="Arial"/>
          <w:sz w:val="22"/>
          <w:szCs w:val="22"/>
          <w:lang w:val="en-GB"/>
        </w:rPr>
      </w:pPr>
    </w:p>
    <w:p w:rsidR="004C2EE0" w:rsidRPr="00A16A77" w:rsidRDefault="004C2EE0" w:rsidP="004C2EE0">
      <w:pPr>
        <w:rPr>
          <w:rFonts w:ascii="Arial" w:eastAsia="Times New Roman" w:hAnsi="Arial" w:cs="Arial"/>
          <w:b/>
          <w:bCs/>
          <w:lang w:val="en-GB" w:eastAsia="es-ES"/>
        </w:rPr>
      </w:pPr>
      <w:r w:rsidRPr="00A16A77">
        <w:rPr>
          <w:rFonts w:ascii="Arial" w:hAnsi="Arial" w:cs="Arial"/>
          <w:sz w:val="22"/>
          <w:szCs w:val="22"/>
          <w:lang w:val="en-GB"/>
        </w:rPr>
        <w:t>N: number of patients; PPI: proton-pomp-inhibitor; CI: confidence interval; NA: not available; A: amoxicillin C: clarithromycin; M: metronidazole; T: tinidazole; D: doxycycline; L: levofloxacin; B: bismuth; Tc: tetracycline; J: josamycin; three-in-one: three-in-one single capsule bismuth quadruple therapy</w:t>
      </w:r>
      <w:r w:rsidR="005779DC" w:rsidRPr="00A16A77">
        <w:rPr>
          <w:rFonts w:ascii="Arial" w:hAnsi="Arial" w:cs="Arial"/>
          <w:sz w:val="22"/>
          <w:szCs w:val="22"/>
          <w:lang w:val="en-GB"/>
        </w:rPr>
        <w:t xml:space="preserve"> (Pylera</w:t>
      </w:r>
      <w:r w:rsidR="005779DC" w:rsidRPr="00A16A77">
        <w:rPr>
          <w:rFonts w:ascii="Arial" w:hAnsi="Arial" w:cs="Arial"/>
          <w:sz w:val="22"/>
          <w:szCs w:val="22"/>
          <w:vertAlign w:val="superscript"/>
          <w:lang w:val="en-GB"/>
        </w:rPr>
        <w:t>®</w:t>
      </w:r>
      <w:r w:rsidR="005779DC" w:rsidRPr="00A16A77">
        <w:rPr>
          <w:rFonts w:ascii="Arial" w:hAnsi="Arial" w:cs="Arial"/>
          <w:sz w:val="22"/>
          <w:szCs w:val="22"/>
          <w:lang w:val="en-GB"/>
        </w:rPr>
        <w:t xml:space="preserve">). </w:t>
      </w:r>
    </w:p>
    <w:p w:rsidR="00B463E9" w:rsidRPr="00A16A77" w:rsidRDefault="00B463E9">
      <w:pPr>
        <w:spacing w:after="200" w:line="276" w:lineRule="auto"/>
        <w:rPr>
          <w:rFonts w:ascii="Arial" w:hAnsi="Arial" w:cs="Arial"/>
          <w:sz w:val="22"/>
          <w:szCs w:val="22"/>
          <w:lang w:val="en-GB"/>
        </w:rPr>
      </w:pPr>
      <w:r w:rsidRPr="00A16A77">
        <w:rPr>
          <w:rFonts w:ascii="Arial" w:hAnsi="Arial" w:cs="Arial"/>
          <w:sz w:val="22"/>
          <w:szCs w:val="22"/>
          <w:lang w:val="en-GB"/>
        </w:rPr>
        <w:br w:type="page"/>
      </w:r>
    </w:p>
    <w:p w:rsidR="004852DE" w:rsidRPr="00A16A77" w:rsidRDefault="004852DE" w:rsidP="004852DE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b/>
          <w:lang w:val="en-GB"/>
        </w:rPr>
      </w:pPr>
      <w:r w:rsidRPr="00A16A77">
        <w:rPr>
          <w:rFonts w:ascii="Arial" w:hAnsi="Arial" w:cs="Arial"/>
          <w:b/>
          <w:lang w:val="en-GB"/>
        </w:rPr>
        <w:lastRenderedPageBreak/>
        <w:t>Vomit</w:t>
      </w:r>
      <w:r w:rsidR="00671276" w:rsidRPr="00A16A77">
        <w:rPr>
          <w:rFonts w:ascii="Arial" w:hAnsi="Arial" w:cs="Arial"/>
          <w:b/>
          <w:lang w:val="en-GB"/>
        </w:rPr>
        <w:t>ing</w:t>
      </w:r>
    </w:p>
    <w:p w:rsidR="004852DE" w:rsidRPr="00A16A77" w:rsidRDefault="004852DE" w:rsidP="004852DE">
      <w:pPr>
        <w:spacing w:line="480" w:lineRule="auto"/>
        <w:rPr>
          <w:rFonts w:ascii="Arial" w:hAnsi="Arial" w:cs="Arial"/>
          <w:b/>
          <w:lang w:val="en-GB"/>
        </w:rPr>
      </w:pPr>
    </w:p>
    <w:tbl>
      <w:tblPr>
        <w:tblW w:w="146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2"/>
        <w:gridCol w:w="1265"/>
        <w:gridCol w:w="1265"/>
        <w:gridCol w:w="1265"/>
        <w:gridCol w:w="1650"/>
        <w:gridCol w:w="894"/>
        <w:gridCol w:w="1265"/>
        <w:gridCol w:w="1265"/>
        <w:gridCol w:w="1265"/>
        <w:gridCol w:w="1265"/>
      </w:tblGrid>
      <w:tr w:rsidR="004852DE" w:rsidRPr="00A16A77" w:rsidTr="00050B68">
        <w:trPr>
          <w:trHeight w:val="326"/>
        </w:trPr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4852DE">
            <w:pPr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Mild, N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%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95% CI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Moderate, N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%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95% CI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050B68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S</w:t>
            </w:r>
            <w:r w:rsidR="004852DE" w:rsidRPr="00A16A77">
              <w:rPr>
                <w:rFonts w:ascii="Arial" w:eastAsia="Times New Roman" w:hAnsi="Arial" w:cs="Arial"/>
                <w:b/>
                <w:lang w:val="en-GB" w:eastAsia="es-ES"/>
              </w:rPr>
              <w:t>evere</w:t>
            </w: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, N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%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95% CI</w:t>
            </w:r>
          </w:p>
        </w:tc>
      </w:tr>
      <w:tr w:rsidR="004852DE" w:rsidRPr="00A16A77" w:rsidTr="00050B68">
        <w:trPr>
          <w:trHeight w:val="342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DE" w:rsidRPr="00A16A77" w:rsidRDefault="004852DE" w:rsidP="004852DE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PPI+C+A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(44-65)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(28-50)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6.7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(0.96-12)</w:t>
            </w:r>
          </w:p>
        </w:tc>
      </w:tr>
      <w:tr w:rsidR="004852DE" w:rsidRPr="00A16A77" w:rsidTr="00050B68">
        <w:trPr>
          <w:trHeight w:val="34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DE" w:rsidRPr="00A16A77" w:rsidRDefault="004852DE" w:rsidP="004852DE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Concomitant (PPI+C+A+M)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(49-71)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(21-42)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8.2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(1.8-15)</w:t>
            </w:r>
          </w:p>
        </w:tc>
      </w:tr>
      <w:tr w:rsidR="004852DE" w:rsidRPr="00A16A77" w:rsidTr="00050B68">
        <w:trPr>
          <w:trHeight w:val="34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DE" w:rsidRPr="00A16A77" w:rsidRDefault="004852DE" w:rsidP="004852DE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PPI+three-in-one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(52-71)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(25-44)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3.6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(1.0-9.0)</w:t>
            </w:r>
          </w:p>
        </w:tc>
      </w:tr>
      <w:tr w:rsidR="004852DE" w:rsidRPr="00A16A77" w:rsidTr="00050B68">
        <w:trPr>
          <w:trHeight w:val="34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DE" w:rsidRPr="00A16A77" w:rsidRDefault="004852DE" w:rsidP="004852DE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PPI+C+A+B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71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(61-82)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(16-37)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2.5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(0.30-8.7)</w:t>
            </w:r>
          </w:p>
        </w:tc>
      </w:tr>
      <w:tr w:rsidR="004852DE" w:rsidRPr="00A16A77" w:rsidTr="00050B68">
        <w:trPr>
          <w:trHeight w:val="34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DE" w:rsidRPr="00A16A77" w:rsidRDefault="004852DE" w:rsidP="004852DE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PPI+A+L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(46-70)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(29-52)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1.4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(0.03-7.3)</w:t>
            </w:r>
          </w:p>
        </w:tc>
      </w:tr>
      <w:tr w:rsidR="004852DE" w:rsidRPr="00A16A77" w:rsidTr="00050B68">
        <w:trPr>
          <w:trHeight w:val="34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DE" w:rsidRPr="00A16A77" w:rsidRDefault="004852DE" w:rsidP="004852DE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PPI+C+M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9.1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(0.23-41)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(23-83)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(11-69)</w:t>
            </w:r>
          </w:p>
        </w:tc>
      </w:tr>
      <w:tr w:rsidR="004852DE" w:rsidRPr="00A16A77" w:rsidTr="00050B68">
        <w:trPr>
          <w:trHeight w:val="34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DE" w:rsidRPr="00A16A77" w:rsidRDefault="004852DE" w:rsidP="004852DE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PPI+A+L+B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(32-77)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(19-64)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5.0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(0.13-25)</w:t>
            </w:r>
          </w:p>
        </w:tc>
      </w:tr>
      <w:tr w:rsidR="004852DE" w:rsidRPr="00A16A77" w:rsidTr="00050B68">
        <w:trPr>
          <w:trHeight w:val="34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DE" w:rsidRPr="00A16A77" w:rsidRDefault="004852DE" w:rsidP="004852DE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Triple-A+M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(14-68)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(14-68)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(5.0-54)</w:t>
            </w:r>
          </w:p>
        </w:tc>
      </w:tr>
      <w:tr w:rsidR="004852DE" w:rsidRPr="00A16A77" w:rsidTr="00050B68">
        <w:trPr>
          <w:trHeight w:val="34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DE" w:rsidRPr="00A16A77" w:rsidRDefault="004852DE" w:rsidP="004852DE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Sequential (PPI+C+A+M)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(9.4-99)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(0.84-91)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0.00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(0.00-71)</w:t>
            </w:r>
          </w:p>
        </w:tc>
      </w:tr>
      <w:tr w:rsidR="004852DE" w:rsidRPr="00A16A77" w:rsidTr="00050B68">
        <w:trPr>
          <w:trHeight w:val="34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DE" w:rsidRPr="00A16A77" w:rsidRDefault="004852DE" w:rsidP="004852DE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PPI+B+Tc+M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(28-77)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(18-67)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5.9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(0.15-29)</w:t>
            </w:r>
          </w:p>
        </w:tc>
      </w:tr>
      <w:tr w:rsidR="004852DE" w:rsidRPr="00A16A77" w:rsidTr="00050B68">
        <w:trPr>
          <w:trHeight w:val="34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DE" w:rsidRPr="00A16A77" w:rsidRDefault="004852DE" w:rsidP="004852DE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PPI+B+A+J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0.00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</w:tr>
      <w:tr w:rsidR="004852DE" w:rsidRPr="00A16A77" w:rsidTr="00050B68">
        <w:trPr>
          <w:trHeight w:val="34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DE" w:rsidRPr="00A16A77" w:rsidRDefault="004852DE" w:rsidP="004852DE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PPI+B+D+M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(24-91)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(3.2-65)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(0.32-53)</w:t>
            </w:r>
          </w:p>
        </w:tc>
      </w:tr>
      <w:tr w:rsidR="004852DE" w:rsidRPr="00A16A77" w:rsidTr="00050B68">
        <w:trPr>
          <w:trHeight w:val="34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DE" w:rsidRPr="00A16A77" w:rsidRDefault="004852DE" w:rsidP="004852DE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Sequential (PPI+C+A+T)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0.00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0.00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</w:tr>
      <w:tr w:rsidR="004852DE" w:rsidRPr="00A16A77" w:rsidTr="00050B68">
        <w:trPr>
          <w:trHeight w:val="342"/>
        </w:trPr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DE" w:rsidRPr="00A16A77" w:rsidRDefault="004852DE" w:rsidP="004852DE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Concomitant (PPI+C+A+T)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(1.3-99)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0.00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(0.00-84)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DE" w:rsidRPr="00A16A77" w:rsidRDefault="004852DE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(1.3-99)</w:t>
            </w:r>
          </w:p>
        </w:tc>
      </w:tr>
    </w:tbl>
    <w:p w:rsidR="004852DE" w:rsidRPr="00A16A77" w:rsidRDefault="004852DE" w:rsidP="004852DE">
      <w:pPr>
        <w:spacing w:line="480" w:lineRule="auto"/>
        <w:rPr>
          <w:rFonts w:ascii="Arial" w:hAnsi="Arial" w:cs="Arial"/>
          <w:b/>
          <w:lang w:val="en-GB"/>
        </w:rPr>
      </w:pPr>
    </w:p>
    <w:p w:rsidR="004C2EE0" w:rsidRPr="00A16A77" w:rsidRDefault="004C2EE0" w:rsidP="004C2EE0">
      <w:pPr>
        <w:rPr>
          <w:rFonts w:ascii="Arial" w:eastAsia="Times New Roman" w:hAnsi="Arial" w:cs="Arial"/>
          <w:b/>
          <w:bCs/>
          <w:lang w:val="en-GB" w:eastAsia="es-ES"/>
        </w:rPr>
      </w:pPr>
      <w:r w:rsidRPr="00A16A77">
        <w:rPr>
          <w:rFonts w:ascii="Arial" w:hAnsi="Arial" w:cs="Arial"/>
          <w:sz w:val="22"/>
          <w:szCs w:val="22"/>
          <w:lang w:val="en-GB"/>
        </w:rPr>
        <w:t>N: number of patients; PPI: proton-pomp-inhibitor; CI: confidence interval; NA: not available; A: amoxicillin C: clarithromycin; M: metronidazole; T: tinidazole; D: doxycycline; L: levofloxacin; B: bismuth; Tc: tetracycline; J: josamycin; three-in-one: three-in-one single capsule bismuth quadruple therapy</w:t>
      </w:r>
      <w:r w:rsidR="005779DC" w:rsidRPr="00A16A77">
        <w:rPr>
          <w:rFonts w:ascii="Arial" w:hAnsi="Arial" w:cs="Arial"/>
          <w:sz w:val="22"/>
          <w:szCs w:val="22"/>
          <w:lang w:val="en-GB"/>
        </w:rPr>
        <w:t xml:space="preserve"> (Pylera</w:t>
      </w:r>
      <w:r w:rsidR="005779DC" w:rsidRPr="00A16A77">
        <w:rPr>
          <w:rFonts w:ascii="Arial" w:hAnsi="Arial" w:cs="Arial"/>
          <w:sz w:val="22"/>
          <w:szCs w:val="22"/>
          <w:vertAlign w:val="superscript"/>
          <w:lang w:val="en-GB"/>
        </w:rPr>
        <w:t>®</w:t>
      </w:r>
      <w:r w:rsidR="005779DC" w:rsidRPr="00A16A77">
        <w:rPr>
          <w:rFonts w:ascii="Arial" w:hAnsi="Arial" w:cs="Arial"/>
          <w:sz w:val="22"/>
          <w:szCs w:val="22"/>
          <w:lang w:val="en-GB"/>
        </w:rPr>
        <w:t xml:space="preserve">). </w:t>
      </w:r>
    </w:p>
    <w:p w:rsidR="00050B68" w:rsidRPr="00A16A77" w:rsidRDefault="00050B68" w:rsidP="00050B68">
      <w:pPr>
        <w:spacing w:after="200" w:line="276" w:lineRule="auto"/>
        <w:rPr>
          <w:rFonts w:ascii="Arial" w:hAnsi="Arial" w:cs="Arial"/>
          <w:sz w:val="22"/>
          <w:szCs w:val="22"/>
          <w:lang w:val="en-GB"/>
        </w:rPr>
      </w:pPr>
      <w:r w:rsidRPr="00A16A77">
        <w:rPr>
          <w:rFonts w:ascii="Arial" w:hAnsi="Arial" w:cs="Arial"/>
          <w:sz w:val="22"/>
          <w:szCs w:val="22"/>
          <w:lang w:val="en-GB"/>
        </w:rPr>
        <w:br w:type="page"/>
      </w:r>
    </w:p>
    <w:p w:rsidR="00EF15A2" w:rsidRPr="00A16A77" w:rsidRDefault="004C2EE0" w:rsidP="00EF15A2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b/>
          <w:lang w:val="en-GB"/>
        </w:rPr>
      </w:pPr>
      <w:r w:rsidRPr="00A16A77">
        <w:rPr>
          <w:rFonts w:ascii="Arial" w:hAnsi="Arial" w:cs="Arial"/>
          <w:b/>
          <w:lang w:val="en-GB"/>
        </w:rPr>
        <w:lastRenderedPageBreak/>
        <w:t>Dyspepsia</w:t>
      </w:r>
    </w:p>
    <w:p w:rsidR="00B463E9" w:rsidRPr="00A16A77" w:rsidRDefault="00B463E9" w:rsidP="00E11147">
      <w:pPr>
        <w:rPr>
          <w:rFonts w:ascii="Arial" w:eastAsia="Times New Roman" w:hAnsi="Arial" w:cs="Arial"/>
          <w:b/>
          <w:bCs/>
          <w:lang w:val="en-GB" w:eastAsia="es-ES"/>
        </w:rPr>
      </w:pPr>
    </w:p>
    <w:tbl>
      <w:tblPr>
        <w:tblW w:w="145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1007"/>
        <w:gridCol w:w="1255"/>
        <w:gridCol w:w="1565"/>
        <w:gridCol w:w="1013"/>
        <w:gridCol w:w="1255"/>
        <w:gridCol w:w="1255"/>
        <w:gridCol w:w="1255"/>
        <w:gridCol w:w="1255"/>
      </w:tblGrid>
      <w:tr w:rsidR="00EF15A2" w:rsidRPr="00A16A77" w:rsidTr="00EF15A2">
        <w:trPr>
          <w:trHeight w:val="3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EF15A2">
            <w:pPr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Mild, N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95% CI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Moderate, N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95%CI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Severe, N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95%CI</w:t>
            </w:r>
          </w:p>
        </w:tc>
      </w:tr>
      <w:tr w:rsidR="00EF15A2" w:rsidRPr="00A16A77" w:rsidTr="00EF15A2">
        <w:trPr>
          <w:trHeight w:val="34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2" w:rsidRPr="00A16A77" w:rsidRDefault="00EF15A2" w:rsidP="00EF15A2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PPI+C+A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(39-56)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(39-56)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5.0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(1.0-8.9)</w:t>
            </w:r>
          </w:p>
        </w:tc>
      </w:tr>
      <w:tr w:rsidR="00EF15A2" w:rsidRPr="00A16A77" w:rsidTr="00EF15A2">
        <w:trPr>
          <w:trHeight w:val="3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2" w:rsidRPr="00A16A77" w:rsidRDefault="00EF15A2" w:rsidP="00EF15A2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Concomitant (PPI+C+A+M)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(48-69)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(20-40)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(4.5-18)</w:t>
            </w:r>
          </w:p>
        </w:tc>
      </w:tr>
      <w:tr w:rsidR="00EF15A2" w:rsidRPr="00A16A77" w:rsidTr="00EF15A2">
        <w:trPr>
          <w:trHeight w:val="3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2" w:rsidRPr="00A16A77" w:rsidRDefault="00EF15A2" w:rsidP="00EF15A2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PPI+three-in-one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(33-55)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(41-62)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(1.2-11)</w:t>
            </w:r>
          </w:p>
        </w:tc>
      </w:tr>
      <w:tr w:rsidR="00EF15A2" w:rsidRPr="00A16A77" w:rsidTr="00EF15A2">
        <w:trPr>
          <w:trHeight w:val="3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2" w:rsidRPr="00A16A77" w:rsidRDefault="00EF15A2" w:rsidP="00EF15A2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PPI+C+A+B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(42-76)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(22-55)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2.6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(0.07-13)</w:t>
            </w:r>
          </w:p>
        </w:tc>
      </w:tr>
      <w:tr w:rsidR="00EF15A2" w:rsidRPr="00A16A77" w:rsidTr="00EF15A2">
        <w:trPr>
          <w:trHeight w:val="3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2" w:rsidRPr="00A16A77" w:rsidRDefault="00EF15A2" w:rsidP="00EF15A2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PPI+A+L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(19-46)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(52-79)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1.8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(0.05-7.9)</w:t>
            </w:r>
          </w:p>
        </w:tc>
      </w:tr>
      <w:tr w:rsidR="00EF15A2" w:rsidRPr="00A16A77" w:rsidTr="00EF15A2">
        <w:trPr>
          <w:trHeight w:val="3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2" w:rsidRPr="00A16A77" w:rsidRDefault="00EF15A2" w:rsidP="00EF15A2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PPI+C+M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(34-64)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(32-62)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4.1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(0.50-14)</w:t>
            </w:r>
          </w:p>
        </w:tc>
      </w:tr>
      <w:tr w:rsidR="00EF15A2" w:rsidRPr="00A16A77" w:rsidTr="00EF15A2">
        <w:trPr>
          <w:trHeight w:val="3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2" w:rsidRPr="00A16A77" w:rsidRDefault="00EF15A2" w:rsidP="00EF15A2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PPI+A+L+B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(16-68)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(32-84)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0.00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(0.00-22)</w:t>
            </w:r>
          </w:p>
        </w:tc>
      </w:tr>
      <w:tr w:rsidR="00EF15A2" w:rsidRPr="00A16A77" w:rsidTr="00EF15A2">
        <w:trPr>
          <w:trHeight w:val="3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2" w:rsidRPr="00A16A77" w:rsidRDefault="00EF15A2" w:rsidP="00EF15A2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Triple-A+M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(15-65)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(39-56)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(7.3-52)</w:t>
            </w:r>
          </w:p>
        </w:tc>
      </w:tr>
      <w:tr w:rsidR="00EF15A2" w:rsidRPr="00A16A77" w:rsidTr="00EF15A2">
        <w:trPr>
          <w:trHeight w:val="3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2" w:rsidRPr="00A16A77" w:rsidRDefault="00EF15A2" w:rsidP="00EF15A2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Sequential (PPI+C+A+M)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(12-88)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(12-88)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0.00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(0.00-46)</w:t>
            </w:r>
          </w:p>
        </w:tc>
      </w:tr>
      <w:tr w:rsidR="00EF15A2" w:rsidRPr="00A16A77" w:rsidTr="00EF15A2">
        <w:trPr>
          <w:trHeight w:val="3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2" w:rsidRPr="00A16A77" w:rsidRDefault="00EF15A2" w:rsidP="00EF15A2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PPI+B+Tc+M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(39-91)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(9.1-61)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0.00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(0.00-25)</w:t>
            </w:r>
          </w:p>
        </w:tc>
      </w:tr>
      <w:tr w:rsidR="00EF15A2" w:rsidRPr="00A16A77" w:rsidTr="00EF15A2">
        <w:trPr>
          <w:trHeight w:val="3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2" w:rsidRPr="00A16A77" w:rsidRDefault="00EF15A2" w:rsidP="00EF15A2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PPI+B+A+J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(3.7-71)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(18-90)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(0.36-58)</w:t>
            </w:r>
          </w:p>
        </w:tc>
      </w:tr>
      <w:tr w:rsidR="00EF15A2" w:rsidRPr="00A16A77" w:rsidTr="00EF15A2">
        <w:trPr>
          <w:trHeight w:val="3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2" w:rsidRPr="00A16A77" w:rsidRDefault="00EF15A2" w:rsidP="00EF15A2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PPI+B+D+M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(35-85)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(11-59)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(0.16-30)</w:t>
            </w:r>
          </w:p>
        </w:tc>
      </w:tr>
      <w:tr w:rsidR="00EF15A2" w:rsidRPr="00A16A77" w:rsidTr="00EF15A2">
        <w:trPr>
          <w:trHeight w:val="3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2" w:rsidRPr="00A16A77" w:rsidRDefault="00EF15A2" w:rsidP="00EF15A2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Sequential (PPI+C+A+T)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5A2" w:rsidRPr="00A16A77" w:rsidRDefault="00EF15A2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5A2" w:rsidRPr="00A16A77" w:rsidRDefault="00EF15A2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5A2" w:rsidRPr="00A16A77" w:rsidRDefault="00EF15A2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5A2" w:rsidRPr="00A16A77" w:rsidRDefault="00EF15A2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5A2" w:rsidRPr="00A16A77" w:rsidRDefault="00EF15A2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5A2" w:rsidRPr="00A16A77" w:rsidRDefault="00EF15A2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5A2" w:rsidRPr="00A16A77" w:rsidRDefault="00EF15A2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5A2" w:rsidRPr="00A16A77" w:rsidRDefault="00EF15A2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</w:tr>
      <w:tr w:rsidR="00EF15A2" w:rsidRPr="00A16A77" w:rsidTr="00EF15A2">
        <w:trPr>
          <w:trHeight w:val="3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2" w:rsidRPr="00A16A77" w:rsidRDefault="00EF15A2" w:rsidP="00EF15A2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color w:val="000000"/>
                <w:lang w:val="en-GB" w:eastAsia="es-ES"/>
              </w:rPr>
              <w:t>Concomitant (PPI+C+A+T)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5A2" w:rsidRPr="00A16A77" w:rsidRDefault="00EF15A2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5A2" w:rsidRPr="00A16A77" w:rsidRDefault="00EF15A2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5A2" w:rsidRPr="00A16A77" w:rsidRDefault="00EF15A2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5A2" w:rsidRPr="00A16A77" w:rsidRDefault="00EF15A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</w:tr>
    </w:tbl>
    <w:p w:rsidR="00EF15A2" w:rsidRPr="00A16A77" w:rsidRDefault="00EF15A2" w:rsidP="00E11147">
      <w:pPr>
        <w:rPr>
          <w:rFonts w:ascii="Arial" w:eastAsia="Times New Roman" w:hAnsi="Arial" w:cs="Arial"/>
          <w:b/>
          <w:bCs/>
          <w:lang w:val="en-GB" w:eastAsia="es-ES"/>
        </w:rPr>
      </w:pPr>
    </w:p>
    <w:p w:rsidR="004C2EE0" w:rsidRPr="00A16A77" w:rsidRDefault="004C2EE0" w:rsidP="004C2EE0">
      <w:pPr>
        <w:rPr>
          <w:rFonts w:ascii="Arial" w:hAnsi="Arial" w:cs="Arial"/>
          <w:sz w:val="22"/>
          <w:szCs w:val="22"/>
          <w:lang w:val="en-GB"/>
        </w:rPr>
      </w:pPr>
      <w:r w:rsidRPr="00A16A77">
        <w:rPr>
          <w:rFonts w:ascii="Arial" w:hAnsi="Arial" w:cs="Arial"/>
          <w:sz w:val="22"/>
          <w:szCs w:val="22"/>
          <w:lang w:val="en-GB"/>
        </w:rPr>
        <w:t>N: number of patients; PPI: proton-pomp-inhibitor; CI: confidence interval; NA: not available; A: amoxicillin C: clarithromycin; M: metronidazole; T: tinidazole; D: doxycycline; L: levofloxacin; B: bismuth; Tc: tetracycline; J: josamycin; three-in-one: three-in-one single capsule bismuth quadruple therapy</w:t>
      </w:r>
      <w:r w:rsidR="005779DC" w:rsidRPr="00A16A77">
        <w:rPr>
          <w:rFonts w:ascii="Arial" w:hAnsi="Arial" w:cs="Arial"/>
          <w:sz w:val="22"/>
          <w:szCs w:val="22"/>
          <w:lang w:val="en-GB"/>
        </w:rPr>
        <w:t xml:space="preserve"> (Pylera</w:t>
      </w:r>
      <w:r w:rsidR="005779DC" w:rsidRPr="00A16A77">
        <w:rPr>
          <w:rFonts w:ascii="Arial" w:hAnsi="Arial" w:cs="Arial"/>
          <w:sz w:val="22"/>
          <w:szCs w:val="22"/>
          <w:vertAlign w:val="superscript"/>
          <w:lang w:val="en-GB"/>
        </w:rPr>
        <w:t>®</w:t>
      </w:r>
      <w:r w:rsidR="005779DC" w:rsidRPr="00A16A77">
        <w:rPr>
          <w:rFonts w:ascii="Arial" w:hAnsi="Arial" w:cs="Arial"/>
          <w:sz w:val="22"/>
          <w:szCs w:val="22"/>
          <w:lang w:val="en-GB"/>
        </w:rPr>
        <w:t xml:space="preserve">). </w:t>
      </w:r>
    </w:p>
    <w:p w:rsidR="004C2EE0" w:rsidRPr="00A16A77" w:rsidRDefault="004C2EE0" w:rsidP="004C2EE0">
      <w:pPr>
        <w:rPr>
          <w:rFonts w:ascii="Arial" w:eastAsia="Times New Roman" w:hAnsi="Arial" w:cs="Arial"/>
          <w:b/>
          <w:bCs/>
          <w:lang w:val="en-GB" w:eastAsia="es-ES"/>
        </w:rPr>
      </w:pPr>
    </w:p>
    <w:p w:rsidR="00EF15A2" w:rsidRPr="00A16A77" w:rsidRDefault="00EF15A2" w:rsidP="00EF15A2">
      <w:pPr>
        <w:spacing w:after="200" w:line="276" w:lineRule="auto"/>
        <w:rPr>
          <w:rFonts w:ascii="Arial" w:hAnsi="Arial" w:cs="Arial"/>
          <w:sz w:val="22"/>
          <w:szCs w:val="22"/>
          <w:lang w:val="en-GB"/>
        </w:rPr>
      </w:pPr>
      <w:r w:rsidRPr="00A16A77">
        <w:rPr>
          <w:rFonts w:ascii="Arial" w:hAnsi="Arial" w:cs="Arial"/>
          <w:sz w:val="22"/>
          <w:szCs w:val="22"/>
          <w:lang w:val="en-GB"/>
        </w:rPr>
        <w:br w:type="page"/>
      </w:r>
    </w:p>
    <w:p w:rsidR="00EC3FF2" w:rsidRPr="00A16A77" w:rsidRDefault="00EC3FF2" w:rsidP="00EC3FF2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b/>
          <w:lang w:val="en-GB"/>
        </w:rPr>
      </w:pPr>
      <w:r w:rsidRPr="00A16A77">
        <w:rPr>
          <w:rFonts w:ascii="Arial" w:hAnsi="Arial" w:cs="Arial"/>
          <w:b/>
          <w:lang w:val="en-GB"/>
        </w:rPr>
        <w:lastRenderedPageBreak/>
        <w:t>Heartburn</w:t>
      </w:r>
    </w:p>
    <w:p w:rsidR="00EC3FF2" w:rsidRPr="00A16A77" w:rsidRDefault="00EC3FF2" w:rsidP="00E11147">
      <w:pPr>
        <w:rPr>
          <w:rFonts w:ascii="Arial" w:eastAsia="Times New Roman" w:hAnsi="Arial" w:cs="Arial"/>
          <w:b/>
          <w:bCs/>
          <w:lang w:val="en-GB" w:eastAsia="es-ES"/>
        </w:rPr>
      </w:pPr>
    </w:p>
    <w:tbl>
      <w:tblPr>
        <w:tblW w:w="14809" w:type="dxa"/>
        <w:tblInd w:w="70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1283"/>
        <w:gridCol w:w="1283"/>
        <w:gridCol w:w="1283"/>
        <w:gridCol w:w="1486"/>
        <w:gridCol w:w="206"/>
        <w:gridCol w:w="888"/>
        <w:gridCol w:w="1283"/>
        <w:gridCol w:w="1283"/>
        <w:gridCol w:w="1283"/>
        <w:gridCol w:w="1283"/>
      </w:tblGrid>
      <w:tr w:rsidR="00EC3FF2" w:rsidRPr="00A16A77" w:rsidTr="00EC3FF2">
        <w:trPr>
          <w:trHeight w:val="320"/>
        </w:trPr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F2" w:rsidRPr="00A16A77" w:rsidRDefault="00EC3FF2" w:rsidP="00EC3FF2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Mild, N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95%CI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Moderate, N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95%CI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Severe, N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95%CI</w:t>
            </w:r>
          </w:p>
        </w:tc>
      </w:tr>
      <w:tr w:rsidR="00EC3FF2" w:rsidRPr="00A16A77" w:rsidTr="00EC3FF2">
        <w:trPr>
          <w:trHeight w:val="335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2" w:rsidRPr="00A16A77" w:rsidRDefault="00EC3FF2" w:rsidP="00EC3FF2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PPI+C+A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(49-72)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24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(20-41)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8.9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(2.0-16)</w:t>
            </w:r>
          </w:p>
        </w:tc>
      </w:tr>
      <w:tr w:rsidR="00EC3FF2" w:rsidRPr="00A16A77" w:rsidTr="00EC3FF2">
        <w:trPr>
          <w:trHeight w:val="335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2" w:rsidRPr="00A16A77" w:rsidRDefault="00EC3FF2" w:rsidP="00EC3FF2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Concomitant (PPI+C+A+M)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14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(37-80)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8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33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(12-54)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8.3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(1.0-27)</w:t>
            </w:r>
          </w:p>
        </w:tc>
      </w:tr>
      <w:tr w:rsidR="00EC3FF2" w:rsidRPr="00A16A77" w:rsidTr="00EC3FF2">
        <w:trPr>
          <w:trHeight w:val="335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2" w:rsidRPr="00A16A77" w:rsidRDefault="00EC3FF2" w:rsidP="00EC3FF2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PPI+three-in-one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46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(22-69)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11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(27-73)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4.5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(0.12-23)</w:t>
            </w:r>
          </w:p>
        </w:tc>
      </w:tr>
      <w:tr w:rsidR="00EC3FF2" w:rsidRPr="00A16A77" w:rsidTr="00EC3FF2">
        <w:trPr>
          <w:trHeight w:val="335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2" w:rsidRPr="00A16A77" w:rsidRDefault="00EC3FF2" w:rsidP="00EC3FF2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PPI+C+A+B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78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(40-97)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22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(2.8-60)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0.00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(0.00-34)</w:t>
            </w:r>
          </w:p>
        </w:tc>
      </w:tr>
      <w:tr w:rsidR="00EC3FF2" w:rsidRPr="00A16A77" w:rsidTr="00EC3FF2">
        <w:trPr>
          <w:trHeight w:val="335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2" w:rsidRPr="00A16A77" w:rsidRDefault="00EC3FF2" w:rsidP="00EC3FF2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PPI+A+L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(11-50)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18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(50-89)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0.00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(0.00-13)</w:t>
            </w:r>
          </w:p>
        </w:tc>
      </w:tr>
      <w:tr w:rsidR="00EC3FF2" w:rsidRPr="00A16A77" w:rsidTr="00EC3FF2">
        <w:trPr>
          <w:trHeight w:val="335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2" w:rsidRPr="00A16A77" w:rsidRDefault="00EC3FF2" w:rsidP="00EC3FF2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PPI+C+M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0.00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(0.00-52)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80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(28-99)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(0.51-72)</w:t>
            </w:r>
          </w:p>
        </w:tc>
      </w:tr>
      <w:tr w:rsidR="00EC3FF2" w:rsidRPr="00A16A77" w:rsidTr="00EC3FF2">
        <w:trPr>
          <w:trHeight w:val="335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2" w:rsidRPr="00A16A77" w:rsidRDefault="00EC3FF2" w:rsidP="00EC3FF2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PPI+A+L+B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0.00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(0.00-84)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100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(16-100)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0.00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(0.00-84)</w:t>
            </w:r>
          </w:p>
        </w:tc>
      </w:tr>
      <w:tr w:rsidR="00EC3FF2" w:rsidRPr="00A16A77" w:rsidTr="00EC3FF2">
        <w:trPr>
          <w:trHeight w:val="335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2" w:rsidRPr="00A16A77" w:rsidRDefault="00EC3FF2" w:rsidP="00EC3FF2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Triple-A+M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(21-73)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(4.3-48)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33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(12-62)</w:t>
            </w:r>
          </w:p>
        </w:tc>
      </w:tr>
      <w:tr w:rsidR="00EC3FF2" w:rsidRPr="00A16A77" w:rsidTr="00EC3FF2">
        <w:trPr>
          <w:trHeight w:val="335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2" w:rsidRPr="00A16A77" w:rsidRDefault="00EC3FF2" w:rsidP="00EC3FF2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Sequential (PPI+C+A+M)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center"/>
            <w:hideMark/>
          </w:tcPr>
          <w:p w:rsidR="00EC3FF2" w:rsidRPr="00A16A77" w:rsidRDefault="00EC3FF2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EC3FF2" w:rsidRPr="00A16A77" w:rsidRDefault="00EC3FF2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EC3FF2" w:rsidRPr="00A16A77" w:rsidRDefault="00EC3FF2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EC3FF2" w:rsidRPr="00A16A77" w:rsidRDefault="00EC3FF2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EC3FF2" w:rsidRPr="00A16A77" w:rsidRDefault="00EC3FF2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</w:tr>
      <w:tr w:rsidR="00EC3FF2" w:rsidRPr="00A16A77" w:rsidTr="00EC3FF2">
        <w:trPr>
          <w:trHeight w:val="335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2" w:rsidRPr="00A16A77" w:rsidRDefault="00EC3FF2" w:rsidP="00EC3FF2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PPI+B+Tc+M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(9.4-99)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center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(0.84-91)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0.00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(0.00-71)</w:t>
            </w:r>
          </w:p>
        </w:tc>
      </w:tr>
      <w:tr w:rsidR="00EC3FF2" w:rsidRPr="00A16A77" w:rsidTr="00EC3FF2">
        <w:trPr>
          <w:trHeight w:val="335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2" w:rsidRPr="00A16A77" w:rsidRDefault="00EC3FF2" w:rsidP="00EC3FF2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PPI+B+A+J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(16-100)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center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0.00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(0.00-84)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0.00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(0.00-84)</w:t>
            </w:r>
          </w:p>
        </w:tc>
      </w:tr>
      <w:tr w:rsidR="00EC3FF2" w:rsidRPr="00A16A77" w:rsidTr="00EC3FF2">
        <w:trPr>
          <w:trHeight w:val="335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F2" w:rsidRPr="00A16A77" w:rsidRDefault="00EC3FF2" w:rsidP="00EC3FF2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PPI+B+D+M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0.00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(0.00-84)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1094" w:type="dxa"/>
            <w:gridSpan w:val="2"/>
            <w:shd w:val="clear" w:color="auto" w:fill="auto"/>
            <w:noWrap/>
            <w:vAlign w:val="center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(1.3-99)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EC3FF2" w:rsidRPr="00A16A77" w:rsidRDefault="00EC3FF2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(1.3-99)</w:t>
            </w:r>
          </w:p>
        </w:tc>
      </w:tr>
      <w:tr w:rsidR="00F82AFB" w:rsidRPr="00A16A77" w:rsidTr="00702DEC">
        <w:trPr>
          <w:trHeight w:val="335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FB" w:rsidRPr="00A16A77" w:rsidRDefault="00F82AFB" w:rsidP="00EC3FF2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Sequential (PPI+C+A+T)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:rsidR="00F82AFB" w:rsidRPr="00A16A77" w:rsidRDefault="00F82AF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:rsidR="00F82AFB" w:rsidRPr="00A16A77" w:rsidRDefault="00F82AF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:rsidR="00F82AFB" w:rsidRPr="00A16A77" w:rsidRDefault="00F82AF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F82AFB" w:rsidRPr="00A16A77" w:rsidRDefault="00F82AF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094" w:type="dxa"/>
            <w:gridSpan w:val="2"/>
            <w:shd w:val="clear" w:color="auto" w:fill="auto"/>
            <w:noWrap/>
            <w:hideMark/>
          </w:tcPr>
          <w:p w:rsidR="00F82AFB" w:rsidRPr="00A16A77" w:rsidRDefault="00F82AF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:rsidR="00F82AFB" w:rsidRPr="00A16A77" w:rsidRDefault="00F82AF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:rsidR="00F82AFB" w:rsidRPr="00A16A77" w:rsidRDefault="00F82AF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:rsidR="00F82AFB" w:rsidRPr="00A16A77" w:rsidRDefault="00F82AF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:rsidR="00F82AFB" w:rsidRPr="00A16A77" w:rsidRDefault="00F82AF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</w:tr>
      <w:tr w:rsidR="00F82AFB" w:rsidRPr="00A16A77" w:rsidTr="00702DEC">
        <w:trPr>
          <w:trHeight w:val="335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AFB" w:rsidRPr="00A16A77" w:rsidRDefault="00F82AFB" w:rsidP="00EC3FF2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Concomitant (PPI+C+A+T)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:rsidR="00F82AFB" w:rsidRPr="00A16A77" w:rsidRDefault="00F82AF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:rsidR="00F82AFB" w:rsidRPr="00A16A77" w:rsidRDefault="00F82AF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:rsidR="00F82AFB" w:rsidRPr="00A16A77" w:rsidRDefault="00F82AF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F82AFB" w:rsidRPr="00A16A77" w:rsidRDefault="00F82AF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094" w:type="dxa"/>
            <w:gridSpan w:val="2"/>
            <w:shd w:val="clear" w:color="auto" w:fill="auto"/>
            <w:noWrap/>
            <w:hideMark/>
          </w:tcPr>
          <w:p w:rsidR="00F82AFB" w:rsidRPr="00A16A77" w:rsidRDefault="00F82AF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:rsidR="00F82AFB" w:rsidRPr="00A16A77" w:rsidRDefault="00F82AF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:rsidR="00F82AFB" w:rsidRPr="00A16A77" w:rsidRDefault="00F82AF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:rsidR="00F82AFB" w:rsidRPr="00A16A77" w:rsidRDefault="00F82AF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:rsidR="00F82AFB" w:rsidRPr="00A16A77" w:rsidRDefault="00F82AF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</w:tr>
    </w:tbl>
    <w:p w:rsidR="00EC3FF2" w:rsidRPr="00A16A77" w:rsidRDefault="00EC3FF2" w:rsidP="00E11147">
      <w:pPr>
        <w:rPr>
          <w:rFonts w:ascii="Arial" w:eastAsia="Times New Roman" w:hAnsi="Arial" w:cs="Arial"/>
          <w:b/>
          <w:bCs/>
          <w:lang w:val="en-GB" w:eastAsia="es-ES"/>
        </w:rPr>
      </w:pPr>
    </w:p>
    <w:p w:rsidR="004C2EE0" w:rsidRPr="00A16A77" w:rsidRDefault="004C2EE0" w:rsidP="004C2EE0">
      <w:pPr>
        <w:rPr>
          <w:rFonts w:ascii="Arial" w:hAnsi="Arial" w:cs="Arial"/>
          <w:sz w:val="22"/>
          <w:szCs w:val="22"/>
          <w:lang w:val="en-GB"/>
        </w:rPr>
      </w:pPr>
      <w:r w:rsidRPr="00A16A77">
        <w:rPr>
          <w:rFonts w:ascii="Arial" w:hAnsi="Arial" w:cs="Arial"/>
          <w:sz w:val="22"/>
          <w:szCs w:val="22"/>
          <w:lang w:val="en-GB"/>
        </w:rPr>
        <w:t>N: number of patients; PPI: proton-pomp-inhibitor; CI: confidence interval; NA: not available; A: amoxicillin C: clarithromycin; M: metronidazole; T: tinidazole; D: doxycycline; L: levofloxacin; B: bismuth; Tc: tetracycline; J: josamycin; three-in-one: three-in-one single capsule bismuth quadruple therapy</w:t>
      </w:r>
      <w:r w:rsidR="005779DC" w:rsidRPr="00A16A77">
        <w:rPr>
          <w:rFonts w:ascii="Arial" w:hAnsi="Arial" w:cs="Arial"/>
          <w:sz w:val="22"/>
          <w:szCs w:val="22"/>
          <w:lang w:val="en-GB"/>
        </w:rPr>
        <w:t xml:space="preserve"> (Pylera</w:t>
      </w:r>
      <w:r w:rsidR="005779DC" w:rsidRPr="00A16A77">
        <w:rPr>
          <w:rFonts w:ascii="Arial" w:hAnsi="Arial" w:cs="Arial"/>
          <w:sz w:val="22"/>
          <w:szCs w:val="22"/>
          <w:vertAlign w:val="superscript"/>
          <w:lang w:val="en-GB"/>
        </w:rPr>
        <w:t>®</w:t>
      </w:r>
      <w:r w:rsidR="005779DC" w:rsidRPr="00A16A77">
        <w:rPr>
          <w:rFonts w:ascii="Arial" w:hAnsi="Arial" w:cs="Arial"/>
          <w:sz w:val="22"/>
          <w:szCs w:val="22"/>
          <w:lang w:val="en-GB"/>
        </w:rPr>
        <w:t xml:space="preserve">). </w:t>
      </w:r>
    </w:p>
    <w:p w:rsidR="004C2EE0" w:rsidRPr="00A16A77" w:rsidRDefault="004C2EE0" w:rsidP="004C2EE0">
      <w:pPr>
        <w:spacing w:after="200" w:line="276" w:lineRule="auto"/>
        <w:rPr>
          <w:rFonts w:ascii="Arial" w:hAnsi="Arial" w:cs="Arial"/>
          <w:sz w:val="22"/>
          <w:szCs w:val="22"/>
          <w:lang w:val="en-GB"/>
        </w:rPr>
      </w:pPr>
      <w:r w:rsidRPr="00A16A77">
        <w:rPr>
          <w:rFonts w:ascii="Arial" w:hAnsi="Arial" w:cs="Arial"/>
          <w:sz w:val="22"/>
          <w:szCs w:val="22"/>
          <w:lang w:val="en-GB"/>
        </w:rPr>
        <w:br w:type="page"/>
      </w:r>
    </w:p>
    <w:p w:rsidR="004C2EE0" w:rsidRPr="00A16A77" w:rsidRDefault="004C2EE0" w:rsidP="004C2EE0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b/>
          <w:lang w:val="en-GB"/>
        </w:rPr>
      </w:pPr>
      <w:r w:rsidRPr="00A16A77">
        <w:rPr>
          <w:rFonts w:ascii="Arial" w:hAnsi="Arial" w:cs="Arial"/>
          <w:b/>
          <w:lang w:val="en-GB"/>
        </w:rPr>
        <w:lastRenderedPageBreak/>
        <w:t>Abdominal pain</w:t>
      </w:r>
    </w:p>
    <w:p w:rsidR="004C2EE0" w:rsidRPr="00A16A77" w:rsidRDefault="004C2EE0" w:rsidP="00E11147">
      <w:pPr>
        <w:rPr>
          <w:rFonts w:ascii="Arial" w:eastAsia="Times New Roman" w:hAnsi="Arial" w:cs="Arial"/>
          <w:b/>
          <w:bCs/>
          <w:lang w:val="en-GB" w:eastAsia="es-ES"/>
        </w:rPr>
      </w:pPr>
    </w:p>
    <w:tbl>
      <w:tblPr>
        <w:tblW w:w="139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7"/>
        <w:gridCol w:w="1208"/>
        <w:gridCol w:w="1208"/>
        <w:gridCol w:w="1208"/>
        <w:gridCol w:w="1541"/>
        <w:gridCol w:w="888"/>
        <w:gridCol w:w="1208"/>
        <w:gridCol w:w="1306"/>
        <w:gridCol w:w="1110"/>
        <w:gridCol w:w="1208"/>
      </w:tblGrid>
      <w:tr w:rsidR="004C2EE0" w:rsidRPr="00A16A77" w:rsidTr="004C2EE0">
        <w:trPr>
          <w:trHeight w:val="315"/>
        </w:trPr>
        <w:tc>
          <w:tcPr>
            <w:tcW w:w="3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4C2EE0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Mild, N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%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95%CI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Moderate, N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%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95%CI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Severe, N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%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95%CI</w:t>
            </w:r>
          </w:p>
        </w:tc>
      </w:tr>
      <w:tr w:rsidR="004C2EE0" w:rsidRPr="00A16A77" w:rsidTr="004C2EE0">
        <w:trPr>
          <w:trHeight w:val="330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E0" w:rsidRPr="00A16A77" w:rsidRDefault="004C2EE0" w:rsidP="004C2EE0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PPI+C+A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(43-62)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(25-43)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(6.6-20)</w:t>
            </w:r>
          </w:p>
        </w:tc>
      </w:tr>
      <w:tr w:rsidR="004C2EE0" w:rsidRPr="00A16A77" w:rsidTr="004C2EE0">
        <w:trPr>
          <w:trHeight w:val="33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E0" w:rsidRPr="00A16A77" w:rsidRDefault="004C2EE0" w:rsidP="004C2EE0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Concomitant (PPI+C+A+M)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109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(60-75)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(19-33)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6.8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(2.6-11)</w:t>
            </w:r>
          </w:p>
        </w:tc>
      </w:tr>
      <w:tr w:rsidR="004C2EE0" w:rsidRPr="00A16A77" w:rsidTr="004C2EE0">
        <w:trPr>
          <w:trHeight w:val="33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E0" w:rsidRPr="00A16A77" w:rsidRDefault="004C2EE0" w:rsidP="004C2EE0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PPI+three-in-one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70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(47-65)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(29-46)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6.4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(1.7-11)</w:t>
            </w:r>
          </w:p>
        </w:tc>
      </w:tr>
      <w:tr w:rsidR="004C2EE0" w:rsidRPr="00A16A77" w:rsidTr="004C2EE0">
        <w:trPr>
          <w:trHeight w:val="33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E0" w:rsidRPr="00A16A77" w:rsidRDefault="004C2EE0" w:rsidP="004C2EE0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PPI+C+A+B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107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82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(70-85)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(7.5-20)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4.6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(0.62-8.5)</w:t>
            </w:r>
          </w:p>
        </w:tc>
      </w:tr>
      <w:tr w:rsidR="004C2EE0" w:rsidRPr="00A16A77" w:rsidTr="004C2EE0">
        <w:trPr>
          <w:trHeight w:val="33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E0" w:rsidRPr="00A16A77" w:rsidRDefault="004C2EE0" w:rsidP="004C2EE0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PPI+A+L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(33-75)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(21-63)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3.8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(0.10-20)</w:t>
            </w:r>
          </w:p>
        </w:tc>
      </w:tr>
      <w:tr w:rsidR="004C2EE0" w:rsidRPr="00A16A77" w:rsidTr="004C2EE0">
        <w:trPr>
          <w:trHeight w:val="33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E0" w:rsidRPr="00A16A77" w:rsidRDefault="004C2EE0" w:rsidP="004C2EE0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PPI+C+M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(9.9-65)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(5.5-57)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(15-72)</w:t>
            </w:r>
          </w:p>
        </w:tc>
      </w:tr>
      <w:tr w:rsidR="004C2EE0" w:rsidRPr="00A16A77" w:rsidTr="004C2EE0">
        <w:trPr>
          <w:trHeight w:val="33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E0" w:rsidRPr="00A16A77" w:rsidRDefault="004C2EE0" w:rsidP="004C2EE0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PPI+A+L+B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(43-85)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(12-52)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4.0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(0.10-20)</w:t>
            </w:r>
          </w:p>
        </w:tc>
      </w:tr>
      <w:tr w:rsidR="004C2EE0" w:rsidRPr="00A16A77" w:rsidTr="004C2EE0">
        <w:trPr>
          <w:trHeight w:val="33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E0" w:rsidRPr="00A16A77" w:rsidRDefault="004C2EE0" w:rsidP="004C2EE0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Triple-A+M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(19-66)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(15-57)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(8.2-47)</w:t>
            </w:r>
          </w:p>
        </w:tc>
      </w:tr>
      <w:tr w:rsidR="004C2EE0" w:rsidRPr="00A16A77" w:rsidTr="004C2EE0">
        <w:trPr>
          <w:trHeight w:val="33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E0" w:rsidRPr="00A16A77" w:rsidRDefault="004C2EE0" w:rsidP="004C2EE0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Sequential (PPI+C+A+M)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75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(19-99)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(0.63-81)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0.00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(0.00-60)</w:t>
            </w:r>
          </w:p>
        </w:tc>
      </w:tr>
      <w:tr w:rsidR="004C2EE0" w:rsidRPr="00A16A77" w:rsidTr="004C2EE0">
        <w:trPr>
          <w:trHeight w:val="33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E0" w:rsidRPr="00A16A77" w:rsidRDefault="004C2EE0" w:rsidP="004C2EE0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PPI+B+Tc+M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(13-65)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(13-65)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(8.4-58)</w:t>
            </w:r>
          </w:p>
        </w:tc>
      </w:tr>
      <w:tr w:rsidR="004C2EE0" w:rsidRPr="00A16A77" w:rsidTr="004C2EE0">
        <w:trPr>
          <w:trHeight w:val="33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E0" w:rsidRPr="00A16A77" w:rsidRDefault="004C2EE0" w:rsidP="004C2EE0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PPI+B+A+J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(0.42-64)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(22-96)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(23-68)</w:t>
            </w:r>
          </w:p>
        </w:tc>
      </w:tr>
      <w:tr w:rsidR="004C2EE0" w:rsidRPr="00A16A77" w:rsidTr="004C2EE0">
        <w:trPr>
          <w:trHeight w:val="33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E0" w:rsidRPr="00A16A77" w:rsidRDefault="004C2EE0" w:rsidP="004C2EE0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PPI+B+D+M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(23-68)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(23-68)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(1.2-32)</w:t>
            </w:r>
          </w:p>
        </w:tc>
      </w:tr>
      <w:tr w:rsidR="004C2EE0" w:rsidRPr="00A16A77" w:rsidTr="004C2EE0">
        <w:trPr>
          <w:trHeight w:val="33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E0" w:rsidRPr="00A16A77" w:rsidRDefault="004C2EE0" w:rsidP="004C2EE0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Sequential (PPI+C+A+T)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E0" w:rsidRPr="00A16A77" w:rsidRDefault="004C2EE0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E0" w:rsidRPr="00A16A77" w:rsidRDefault="004C2EE0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E0" w:rsidRPr="00A16A77" w:rsidRDefault="004C2EE0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E0" w:rsidRPr="00A16A77" w:rsidRDefault="004C2EE0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E0" w:rsidRPr="00A16A77" w:rsidRDefault="004C2EE0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E0" w:rsidRPr="00A16A77" w:rsidRDefault="004C2EE0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EE0" w:rsidRPr="00A16A77" w:rsidRDefault="004C2EE0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E0" w:rsidRPr="00A16A77" w:rsidRDefault="004C2EE0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E0" w:rsidRPr="00A16A77" w:rsidRDefault="004C2EE0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</w:tr>
      <w:tr w:rsidR="004C2EE0" w:rsidRPr="00A16A77" w:rsidTr="004C2EE0">
        <w:trPr>
          <w:trHeight w:val="330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E0" w:rsidRPr="00A16A77" w:rsidRDefault="004C2EE0" w:rsidP="004C2EE0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Concomitant (PPI+C+A+T)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75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(19-99)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0.00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(0.00-60)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(0.63-81)</w:t>
            </w:r>
          </w:p>
        </w:tc>
      </w:tr>
    </w:tbl>
    <w:p w:rsidR="004C2EE0" w:rsidRPr="00A16A77" w:rsidRDefault="004C2EE0" w:rsidP="004C2EE0">
      <w:pPr>
        <w:rPr>
          <w:rFonts w:ascii="Arial" w:hAnsi="Arial" w:cs="Arial"/>
          <w:sz w:val="22"/>
          <w:szCs w:val="22"/>
          <w:lang w:val="en-GB"/>
        </w:rPr>
      </w:pPr>
    </w:p>
    <w:p w:rsidR="004C2EE0" w:rsidRPr="00A16A77" w:rsidRDefault="004C2EE0" w:rsidP="004C2EE0">
      <w:pPr>
        <w:rPr>
          <w:rFonts w:ascii="Arial" w:hAnsi="Arial" w:cs="Arial"/>
          <w:sz w:val="22"/>
          <w:szCs w:val="22"/>
          <w:lang w:val="en-GB"/>
        </w:rPr>
      </w:pPr>
      <w:r w:rsidRPr="00A16A77">
        <w:rPr>
          <w:rFonts w:ascii="Arial" w:hAnsi="Arial" w:cs="Arial"/>
          <w:sz w:val="22"/>
          <w:szCs w:val="22"/>
          <w:lang w:val="en-GB"/>
        </w:rPr>
        <w:t>N: number of patients; PPI: proton-pomp-inhibitor; CI: confidence interval; NA: not available; A: amoxicillin C: clarithromycin; M: metronidazole; T: tinidazole; D: doxycycline; L: levofloxacin; B: bismuth; Tc: tetracycline; J: josamycin; three-in-one: three-in-one single capsule bismuth quadruple therapy</w:t>
      </w:r>
      <w:r w:rsidR="005779DC" w:rsidRPr="00A16A77">
        <w:rPr>
          <w:rFonts w:ascii="Arial" w:hAnsi="Arial" w:cs="Arial"/>
          <w:sz w:val="22"/>
          <w:szCs w:val="22"/>
          <w:lang w:val="en-GB"/>
        </w:rPr>
        <w:t xml:space="preserve"> (Pylera</w:t>
      </w:r>
      <w:r w:rsidR="005779DC" w:rsidRPr="00A16A77">
        <w:rPr>
          <w:rFonts w:ascii="Arial" w:hAnsi="Arial" w:cs="Arial"/>
          <w:sz w:val="22"/>
          <w:szCs w:val="22"/>
          <w:vertAlign w:val="superscript"/>
          <w:lang w:val="en-GB"/>
        </w:rPr>
        <w:t>®</w:t>
      </w:r>
      <w:r w:rsidR="005779DC" w:rsidRPr="00A16A77">
        <w:rPr>
          <w:rFonts w:ascii="Arial" w:hAnsi="Arial" w:cs="Arial"/>
          <w:sz w:val="22"/>
          <w:szCs w:val="22"/>
          <w:lang w:val="en-GB"/>
        </w:rPr>
        <w:t xml:space="preserve">). </w:t>
      </w:r>
    </w:p>
    <w:p w:rsidR="004C2EE0" w:rsidRPr="00A16A77" w:rsidRDefault="004C2EE0">
      <w:pPr>
        <w:spacing w:after="200" w:line="276" w:lineRule="auto"/>
        <w:rPr>
          <w:rFonts w:ascii="Arial" w:hAnsi="Arial" w:cs="Arial"/>
          <w:sz w:val="22"/>
          <w:szCs w:val="22"/>
          <w:lang w:val="en-GB"/>
        </w:rPr>
      </w:pPr>
      <w:r w:rsidRPr="00A16A77">
        <w:rPr>
          <w:rFonts w:ascii="Arial" w:hAnsi="Arial" w:cs="Arial"/>
          <w:sz w:val="22"/>
          <w:szCs w:val="22"/>
          <w:lang w:val="en-GB"/>
        </w:rPr>
        <w:br w:type="page"/>
      </w:r>
    </w:p>
    <w:p w:rsidR="004C2EE0" w:rsidRPr="00A16A77" w:rsidRDefault="00383B5B" w:rsidP="004C2EE0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b/>
          <w:lang w:val="en-GB"/>
        </w:rPr>
      </w:pPr>
      <w:r w:rsidRPr="00A16A77">
        <w:rPr>
          <w:rFonts w:ascii="Arial" w:hAnsi="Arial" w:cs="Arial"/>
          <w:b/>
          <w:lang w:val="en-GB"/>
        </w:rPr>
        <w:lastRenderedPageBreak/>
        <w:t>Fatigue</w:t>
      </w:r>
    </w:p>
    <w:p w:rsidR="004C2EE0" w:rsidRPr="00A16A77" w:rsidRDefault="004C2EE0" w:rsidP="004C2EE0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42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105"/>
        <w:gridCol w:w="1237"/>
        <w:gridCol w:w="1237"/>
        <w:gridCol w:w="1577"/>
        <w:gridCol w:w="909"/>
        <w:gridCol w:w="1237"/>
        <w:gridCol w:w="1237"/>
        <w:gridCol w:w="1237"/>
        <w:gridCol w:w="1237"/>
      </w:tblGrid>
      <w:tr w:rsidR="004C2EE0" w:rsidRPr="00A16A77" w:rsidTr="008A3B5C">
        <w:trPr>
          <w:trHeight w:val="32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4C2EE0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Mild, N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%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95%CI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Moderate, N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%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95%CI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8A3B5C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S</w:t>
            </w:r>
            <w:r w:rsidR="004C2EE0" w:rsidRPr="00A16A77">
              <w:rPr>
                <w:rFonts w:ascii="Arial" w:eastAsia="Times New Roman" w:hAnsi="Arial" w:cs="Arial"/>
                <w:b/>
                <w:lang w:val="en-GB" w:eastAsia="es-ES"/>
              </w:rPr>
              <w:t>evere</w:t>
            </w: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, N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%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95%CI</w:t>
            </w:r>
          </w:p>
        </w:tc>
      </w:tr>
      <w:tr w:rsidR="004C2EE0" w:rsidRPr="00A16A77" w:rsidTr="008A3B5C">
        <w:trPr>
          <w:trHeight w:val="33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E0" w:rsidRPr="00A16A77" w:rsidRDefault="004C2EE0" w:rsidP="004C2EE0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PPI+C+A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(31-49)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(30-47)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(5.2-17)</w:t>
            </w:r>
          </w:p>
        </w:tc>
      </w:tr>
      <w:tr w:rsidR="004C2EE0" w:rsidRPr="00A16A77" w:rsidTr="008A3B5C">
        <w:trPr>
          <w:trHeight w:val="3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E0" w:rsidRPr="00A16A77" w:rsidRDefault="004C2EE0" w:rsidP="004C2EE0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Concomitant (PPI+C+A+M)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(53-72)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(21-39)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7.0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(2.0-13)</w:t>
            </w:r>
          </w:p>
        </w:tc>
      </w:tr>
      <w:tr w:rsidR="004C2EE0" w:rsidRPr="00A16A77" w:rsidTr="008A3B5C">
        <w:trPr>
          <w:trHeight w:val="3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E0" w:rsidRPr="00A16A77" w:rsidRDefault="004C2EE0" w:rsidP="004C2EE0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PPI+three-in-one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(32-48)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71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(40-57)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(5.6-16)</w:t>
            </w:r>
          </w:p>
        </w:tc>
      </w:tr>
      <w:tr w:rsidR="004C2EE0" w:rsidRPr="00A16A77" w:rsidTr="008A3B5C">
        <w:trPr>
          <w:trHeight w:val="3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E0" w:rsidRPr="00A16A77" w:rsidRDefault="004C2EE0" w:rsidP="004C2EE0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PPI+C+A+B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76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(60-92)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(5.7-37)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3.0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(0.08-16)</w:t>
            </w:r>
          </w:p>
        </w:tc>
      </w:tr>
      <w:tr w:rsidR="004C2EE0" w:rsidRPr="00A16A77" w:rsidTr="008A3B5C">
        <w:trPr>
          <w:trHeight w:val="3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E0" w:rsidRPr="00A16A77" w:rsidRDefault="004C2EE0" w:rsidP="004C2EE0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PPI+A+L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(7.5-38)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(52-85)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8.6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(1.8-23)</w:t>
            </w:r>
          </w:p>
        </w:tc>
      </w:tr>
      <w:tr w:rsidR="004C2EE0" w:rsidRPr="00A16A77" w:rsidTr="008A3B5C">
        <w:trPr>
          <w:trHeight w:val="3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E0" w:rsidRPr="00A16A77" w:rsidRDefault="004C2EE0" w:rsidP="004C2EE0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PPI+C+M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(15-72)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(15-72)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(2.1-48)</w:t>
            </w:r>
          </w:p>
        </w:tc>
      </w:tr>
      <w:tr w:rsidR="004C2EE0" w:rsidRPr="00A16A77" w:rsidTr="008A3B5C">
        <w:trPr>
          <w:trHeight w:val="3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E0" w:rsidRPr="00A16A77" w:rsidRDefault="004C2EE0" w:rsidP="004C2EE0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PPI+A+L+B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9.1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(0.23-41)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91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(59-100)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0.00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(0.00-28)</w:t>
            </w:r>
          </w:p>
        </w:tc>
      </w:tr>
      <w:tr w:rsidR="004C2EE0" w:rsidRPr="00A16A77" w:rsidTr="008A3B5C">
        <w:trPr>
          <w:trHeight w:val="3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E0" w:rsidRPr="00A16A77" w:rsidRDefault="004C2EE0" w:rsidP="004C2EE0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Triple-A+M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(6.8-93)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(0.63-81)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(0.63-81)</w:t>
            </w:r>
          </w:p>
        </w:tc>
      </w:tr>
      <w:tr w:rsidR="004C2EE0" w:rsidRPr="00A16A77" w:rsidTr="008A3B5C">
        <w:trPr>
          <w:trHeight w:val="3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E0" w:rsidRPr="00A16A77" w:rsidRDefault="004C2EE0" w:rsidP="004C2EE0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Sequential (PPI+C+A+M)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0.00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(0.00-52)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(48-100)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0.00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(0.63-81)</w:t>
            </w:r>
          </w:p>
        </w:tc>
      </w:tr>
      <w:tr w:rsidR="004C2EE0" w:rsidRPr="00A16A77" w:rsidTr="008A3B5C">
        <w:trPr>
          <w:trHeight w:val="3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E0" w:rsidRPr="00A16A77" w:rsidRDefault="004C2EE0" w:rsidP="004C2EE0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PPI+B+Tc+M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(6.0-61)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(23-83)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(2.3-52)</w:t>
            </w:r>
          </w:p>
        </w:tc>
      </w:tr>
      <w:tr w:rsidR="004C2EE0" w:rsidRPr="00A16A77" w:rsidTr="008A3B5C">
        <w:trPr>
          <w:trHeight w:val="3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E0" w:rsidRPr="00A16A77" w:rsidRDefault="004C2EE0" w:rsidP="004C2EE0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PPI+B+A+J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(5.3-85)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(5.3-85)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(0.51-72)</w:t>
            </w:r>
          </w:p>
        </w:tc>
      </w:tr>
      <w:tr w:rsidR="004C2EE0" w:rsidRPr="00A16A77" w:rsidTr="008A3B5C">
        <w:trPr>
          <w:trHeight w:val="3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E0" w:rsidRPr="00A16A77" w:rsidRDefault="004C2EE0" w:rsidP="004C2EE0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PPI+B+D+M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(21-86)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(14-79)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0.00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(0.00-34)</w:t>
            </w:r>
          </w:p>
        </w:tc>
      </w:tr>
      <w:tr w:rsidR="004C2EE0" w:rsidRPr="00A16A77" w:rsidTr="008A3B5C">
        <w:trPr>
          <w:trHeight w:val="3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E0" w:rsidRPr="00A16A77" w:rsidRDefault="004C2EE0" w:rsidP="004C2EE0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Sequential (PPI+C+A+T)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(1.3-99)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(0.63-81)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0.00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E0" w:rsidRPr="00A16A77" w:rsidRDefault="004C2EE0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(0.00-84)</w:t>
            </w:r>
          </w:p>
        </w:tc>
      </w:tr>
      <w:tr w:rsidR="008A3B5C" w:rsidRPr="00A16A77" w:rsidTr="00702DEC">
        <w:trPr>
          <w:trHeight w:val="3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5C" w:rsidRPr="00A16A77" w:rsidRDefault="008A3B5C" w:rsidP="004C2EE0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Concomitant (PPI+C+A+T)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5C" w:rsidRPr="00A16A77" w:rsidRDefault="008A3B5C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5C" w:rsidRPr="00A16A77" w:rsidRDefault="008A3B5C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5C" w:rsidRPr="00A16A77" w:rsidRDefault="008A3B5C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5C" w:rsidRPr="00A16A77" w:rsidRDefault="008A3B5C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5C" w:rsidRPr="00A16A77" w:rsidRDefault="008A3B5C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5C" w:rsidRPr="00A16A77" w:rsidRDefault="008A3B5C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B5C" w:rsidRPr="00A16A77" w:rsidRDefault="008A3B5C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5C" w:rsidRPr="00A16A77" w:rsidRDefault="008A3B5C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B5C" w:rsidRPr="00A16A77" w:rsidRDefault="008A3B5C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</w:tr>
    </w:tbl>
    <w:p w:rsidR="004C2EE0" w:rsidRPr="00A16A77" w:rsidRDefault="004C2EE0" w:rsidP="00E11147">
      <w:pPr>
        <w:rPr>
          <w:rFonts w:ascii="Arial" w:eastAsia="Times New Roman" w:hAnsi="Arial" w:cs="Arial"/>
          <w:b/>
          <w:bCs/>
          <w:lang w:val="en-GB" w:eastAsia="es-ES"/>
        </w:rPr>
      </w:pPr>
    </w:p>
    <w:p w:rsidR="00383B5B" w:rsidRPr="00A16A77" w:rsidRDefault="00383B5B" w:rsidP="00383B5B">
      <w:pPr>
        <w:rPr>
          <w:rFonts w:ascii="Arial" w:hAnsi="Arial" w:cs="Arial"/>
          <w:sz w:val="22"/>
          <w:szCs w:val="22"/>
          <w:lang w:val="en-GB"/>
        </w:rPr>
      </w:pPr>
      <w:r w:rsidRPr="00A16A77">
        <w:rPr>
          <w:rFonts w:ascii="Arial" w:hAnsi="Arial" w:cs="Arial"/>
          <w:sz w:val="22"/>
          <w:szCs w:val="22"/>
          <w:lang w:val="en-GB"/>
        </w:rPr>
        <w:t>N: number of patients; PPI: proton-pomp-inhibitor; CI: confidence interval; NA: not available; A: amoxicillin C: clarithromycin; M: metronidazole; T: tinidazole; D: doxycycline; L: levofloxacin; B: bismuth; Tc: tetracycline; J: josamycin; three-in-one: three-in-one single capsule bismuth quadruple therapy</w:t>
      </w:r>
      <w:r w:rsidR="005779DC" w:rsidRPr="00A16A77">
        <w:rPr>
          <w:rFonts w:ascii="Arial" w:hAnsi="Arial" w:cs="Arial"/>
          <w:sz w:val="22"/>
          <w:szCs w:val="22"/>
          <w:lang w:val="en-GB"/>
        </w:rPr>
        <w:t xml:space="preserve"> (Pylera</w:t>
      </w:r>
      <w:r w:rsidR="005779DC" w:rsidRPr="00A16A77">
        <w:rPr>
          <w:rFonts w:ascii="Arial" w:hAnsi="Arial" w:cs="Arial"/>
          <w:sz w:val="22"/>
          <w:szCs w:val="22"/>
          <w:vertAlign w:val="superscript"/>
          <w:lang w:val="en-GB"/>
        </w:rPr>
        <w:t>®</w:t>
      </w:r>
      <w:r w:rsidR="005779DC" w:rsidRPr="00A16A77">
        <w:rPr>
          <w:rFonts w:ascii="Arial" w:hAnsi="Arial" w:cs="Arial"/>
          <w:sz w:val="22"/>
          <w:szCs w:val="22"/>
          <w:lang w:val="en-GB"/>
        </w:rPr>
        <w:t xml:space="preserve">). </w:t>
      </w:r>
    </w:p>
    <w:p w:rsidR="00383B5B" w:rsidRPr="00A16A77" w:rsidRDefault="00383B5B" w:rsidP="00383B5B">
      <w:pPr>
        <w:spacing w:after="200" w:line="276" w:lineRule="auto"/>
        <w:rPr>
          <w:rFonts w:ascii="Arial" w:hAnsi="Arial" w:cs="Arial"/>
          <w:sz w:val="22"/>
          <w:szCs w:val="22"/>
          <w:lang w:val="en-GB"/>
        </w:rPr>
      </w:pPr>
      <w:r w:rsidRPr="00A16A77">
        <w:rPr>
          <w:rFonts w:ascii="Arial" w:hAnsi="Arial" w:cs="Arial"/>
          <w:sz w:val="22"/>
          <w:szCs w:val="22"/>
          <w:lang w:val="en-GB"/>
        </w:rPr>
        <w:br w:type="page"/>
      </w:r>
    </w:p>
    <w:p w:rsidR="00383B5B" w:rsidRPr="00A16A77" w:rsidRDefault="00383B5B" w:rsidP="00383B5B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b/>
          <w:lang w:val="en-GB"/>
        </w:rPr>
      </w:pPr>
      <w:r w:rsidRPr="00A16A77">
        <w:rPr>
          <w:rFonts w:ascii="Arial" w:hAnsi="Arial" w:cs="Arial"/>
          <w:b/>
          <w:lang w:val="en-GB"/>
        </w:rPr>
        <w:lastRenderedPageBreak/>
        <w:t>Anorexia</w:t>
      </w:r>
    </w:p>
    <w:p w:rsidR="00383B5B" w:rsidRPr="00A16A77" w:rsidRDefault="00383B5B" w:rsidP="00E11147">
      <w:pPr>
        <w:rPr>
          <w:rFonts w:ascii="Arial" w:eastAsia="Times New Roman" w:hAnsi="Arial" w:cs="Arial"/>
          <w:b/>
          <w:bCs/>
          <w:lang w:val="en-GB" w:eastAsia="es-ES"/>
        </w:rPr>
      </w:pPr>
    </w:p>
    <w:tbl>
      <w:tblPr>
        <w:tblW w:w="146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204"/>
        <w:gridCol w:w="1270"/>
        <w:gridCol w:w="1270"/>
        <w:gridCol w:w="1619"/>
        <w:gridCol w:w="932"/>
        <w:gridCol w:w="1270"/>
        <w:gridCol w:w="1372"/>
        <w:gridCol w:w="1166"/>
        <w:gridCol w:w="1270"/>
      </w:tblGrid>
      <w:tr w:rsidR="00383B5B" w:rsidRPr="00A16A77" w:rsidTr="00383B5B">
        <w:trPr>
          <w:trHeight w:val="321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383B5B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Mild, N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%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95%CI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Moderate, N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%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95%CI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Severe, N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%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lang w:val="en-GB" w:eastAsia="es-ES"/>
              </w:rPr>
              <w:t>95%CI</w:t>
            </w:r>
          </w:p>
        </w:tc>
      </w:tr>
      <w:tr w:rsidR="00383B5B" w:rsidRPr="00A16A77" w:rsidTr="00383B5B">
        <w:trPr>
          <w:trHeight w:val="337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B5B" w:rsidRPr="00A16A77" w:rsidRDefault="00383B5B" w:rsidP="00383B5B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PPI+C+A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(24-47)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(41-66)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(3.1-19)</w:t>
            </w:r>
          </w:p>
        </w:tc>
      </w:tr>
      <w:tr w:rsidR="00383B5B" w:rsidRPr="00A16A77" w:rsidTr="00383B5B">
        <w:trPr>
          <w:trHeight w:val="33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B5B" w:rsidRPr="00A16A77" w:rsidRDefault="00383B5B" w:rsidP="00383B5B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Concomitant (PPI+C+A+M)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(33-65)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(33-65)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5.3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(0.64-18)</w:t>
            </w:r>
          </w:p>
        </w:tc>
      </w:tr>
      <w:tr w:rsidR="00383B5B" w:rsidRPr="00A16A77" w:rsidTr="00383B5B">
        <w:trPr>
          <w:trHeight w:val="33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B5B" w:rsidRPr="00A16A77" w:rsidRDefault="00383B5B" w:rsidP="00383B5B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PPI+three-in-one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(12-35)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71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(59-84)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5.1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(1.1-14)</w:t>
            </w:r>
          </w:p>
        </w:tc>
      </w:tr>
      <w:tr w:rsidR="00383B5B" w:rsidRPr="00A16A77" w:rsidTr="00383B5B">
        <w:trPr>
          <w:trHeight w:val="33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B5B" w:rsidRPr="00A16A77" w:rsidRDefault="00383B5B" w:rsidP="00383B5B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PPI+C+A+B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(19-81)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(33-65)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0.00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(0.00-31)</w:t>
            </w:r>
          </w:p>
        </w:tc>
      </w:tr>
      <w:tr w:rsidR="00383B5B" w:rsidRPr="00A16A77" w:rsidTr="00383B5B">
        <w:trPr>
          <w:trHeight w:val="33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B5B" w:rsidRPr="00A16A77" w:rsidRDefault="00383B5B" w:rsidP="00383B5B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PPI+A+L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(4.2-24)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79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(67-90)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7.1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(2.0-17)</w:t>
            </w:r>
          </w:p>
        </w:tc>
      </w:tr>
      <w:tr w:rsidR="00383B5B" w:rsidRPr="00A16A77" w:rsidTr="00383B5B">
        <w:trPr>
          <w:trHeight w:val="33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B5B" w:rsidRPr="00A16A77" w:rsidRDefault="00383B5B" w:rsidP="00383B5B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PPI+C+M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(3.2-65)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(8.5-76)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(8.5-76)</w:t>
            </w:r>
          </w:p>
        </w:tc>
      </w:tr>
      <w:tr w:rsidR="00383B5B" w:rsidRPr="00A16A77" w:rsidTr="00383B5B">
        <w:trPr>
          <w:trHeight w:val="33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B5B" w:rsidRPr="00A16A77" w:rsidRDefault="00383B5B" w:rsidP="00383B5B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PPI+A+L+B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(0.63-81)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75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(19-99)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0.00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(0.00-60)</w:t>
            </w:r>
          </w:p>
        </w:tc>
      </w:tr>
      <w:tr w:rsidR="00383B5B" w:rsidRPr="00A16A77" w:rsidTr="00383B5B">
        <w:trPr>
          <w:trHeight w:val="33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B5B" w:rsidRPr="00A16A77" w:rsidRDefault="00383B5B" w:rsidP="00383B5B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Triple-A+M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(20-70)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44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(8.5-76)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(1.6-38)</w:t>
            </w:r>
          </w:p>
        </w:tc>
      </w:tr>
      <w:tr w:rsidR="00383B5B" w:rsidRPr="00A16A77" w:rsidTr="00383B5B">
        <w:trPr>
          <w:trHeight w:val="33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B5B" w:rsidRPr="00A16A77" w:rsidRDefault="00383B5B" w:rsidP="00383B5B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Sequential (PPI+C+A+M)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(9.4-99)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(0.84-91)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0.00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(0.00-71)</w:t>
            </w:r>
          </w:p>
        </w:tc>
      </w:tr>
      <w:tr w:rsidR="00383B5B" w:rsidRPr="00A16A77" w:rsidTr="00383B5B">
        <w:trPr>
          <w:trHeight w:val="33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B5B" w:rsidRPr="00A16A77" w:rsidRDefault="00383B5B" w:rsidP="00383B5B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PPI+B+Tc+M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30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(6.7-65)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60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(26-88)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(0.25-45)</w:t>
            </w:r>
          </w:p>
        </w:tc>
      </w:tr>
      <w:tr w:rsidR="00383B5B" w:rsidRPr="00A16A77" w:rsidTr="00383B5B">
        <w:trPr>
          <w:trHeight w:val="33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B5B" w:rsidRPr="00A16A77" w:rsidRDefault="00383B5B" w:rsidP="00383B5B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PPI+B+A+J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(1.3-99)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B5B" w:rsidRPr="00A16A77" w:rsidRDefault="00383B5B" w:rsidP="00FA3188">
            <w:pPr>
              <w:jc w:val="center"/>
              <w:rPr>
                <w:rFonts w:ascii="Arial" w:eastAsia="Times New Roman" w:hAnsi="Arial" w:cs="Arial"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(1.3-99)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B5B" w:rsidRPr="00A16A77" w:rsidRDefault="00383B5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B5B" w:rsidRPr="00A16A77" w:rsidRDefault="00383B5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B5B" w:rsidRPr="00A16A77" w:rsidRDefault="00383B5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</w:tr>
      <w:tr w:rsidR="00383B5B" w:rsidRPr="00A16A77" w:rsidTr="00383B5B">
        <w:trPr>
          <w:trHeight w:val="33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B5B" w:rsidRPr="00A16A77" w:rsidRDefault="00383B5B" w:rsidP="00383B5B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PPI+B+D+M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B5B" w:rsidRPr="00A16A77" w:rsidRDefault="00383B5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B5B" w:rsidRPr="00A16A77" w:rsidRDefault="00383B5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B5B" w:rsidRPr="00A16A77" w:rsidRDefault="00383B5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B5B" w:rsidRPr="00A16A77" w:rsidRDefault="00383B5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B5B" w:rsidRPr="00A16A77" w:rsidRDefault="00383B5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B5B" w:rsidRPr="00A16A77" w:rsidRDefault="00383B5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B5B" w:rsidRPr="00A16A77" w:rsidRDefault="00383B5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B5B" w:rsidRPr="00A16A77" w:rsidRDefault="00383B5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B5B" w:rsidRPr="00A16A77" w:rsidRDefault="00383B5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</w:tr>
      <w:tr w:rsidR="00383B5B" w:rsidRPr="00A16A77" w:rsidTr="00383B5B">
        <w:trPr>
          <w:trHeight w:val="33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B5B" w:rsidRPr="00A16A77" w:rsidRDefault="00383B5B" w:rsidP="00383B5B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Sequential (PPI+C+A+T)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B5B" w:rsidRPr="00A16A77" w:rsidRDefault="00383B5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B5B" w:rsidRPr="00A16A77" w:rsidRDefault="00383B5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B5B" w:rsidRPr="00A16A77" w:rsidRDefault="00383B5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B5B" w:rsidRPr="00A16A77" w:rsidRDefault="00383B5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B5B" w:rsidRPr="00A16A77" w:rsidRDefault="00383B5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B5B" w:rsidRPr="00A16A77" w:rsidRDefault="00383B5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B5B" w:rsidRPr="00A16A77" w:rsidRDefault="00383B5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B5B" w:rsidRPr="00A16A77" w:rsidRDefault="00383B5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B5B" w:rsidRPr="00A16A77" w:rsidRDefault="00383B5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</w:tr>
      <w:tr w:rsidR="00383B5B" w:rsidRPr="00A16A77" w:rsidTr="00383B5B">
        <w:trPr>
          <w:trHeight w:val="33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B5B" w:rsidRPr="00A16A77" w:rsidRDefault="00383B5B" w:rsidP="00383B5B">
            <w:pPr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  <w:r w:rsidRPr="00A16A77">
              <w:rPr>
                <w:rFonts w:ascii="Arial" w:eastAsia="Times New Roman" w:hAnsi="Arial" w:cs="Arial"/>
                <w:b/>
                <w:bCs/>
                <w:lang w:val="en-GB" w:eastAsia="es-ES"/>
              </w:rPr>
              <w:t>Concomitant (PPI+C+A+T)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B5B" w:rsidRPr="00A16A77" w:rsidRDefault="00383B5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B5B" w:rsidRPr="00A16A77" w:rsidRDefault="00383B5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B5B" w:rsidRPr="00A16A77" w:rsidRDefault="00383B5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B5B" w:rsidRPr="00A16A77" w:rsidRDefault="00383B5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B5B" w:rsidRPr="00A16A77" w:rsidRDefault="00383B5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B5B" w:rsidRPr="00A16A77" w:rsidRDefault="00383B5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B5B" w:rsidRPr="00A16A77" w:rsidRDefault="00383B5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B5B" w:rsidRPr="00A16A77" w:rsidRDefault="00383B5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B5B" w:rsidRPr="00A16A77" w:rsidRDefault="00383B5B" w:rsidP="00FA3188">
            <w:pPr>
              <w:jc w:val="center"/>
              <w:rPr>
                <w:lang w:val="en-GB"/>
              </w:rPr>
            </w:pPr>
            <w:r w:rsidRPr="00A16A77">
              <w:rPr>
                <w:rFonts w:ascii="Arial" w:eastAsia="Times New Roman" w:hAnsi="Arial" w:cs="Arial"/>
                <w:lang w:val="en-GB" w:eastAsia="es-ES"/>
              </w:rPr>
              <w:t>NA</w:t>
            </w:r>
          </w:p>
        </w:tc>
      </w:tr>
    </w:tbl>
    <w:p w:rsidR="00383B5B" w:rsidRPr="00A16A77" w:rsidRDefault="00383B5B" w:rsidP="00E11147">
      <w:pPr>
        <w:rPr>
          <w:rFonts w:ascii="Arial" w:eastAsia="Times New Roman" w:hAnsi="Arial" w:cs="Arial"/>
          <w:b/>
          <w:bCs/>
          <w:lang w:val="en-GB" w:eastAsia="es-ES"/>
        </w:rPr>
      </w:pPr>
    </w:p>
    <w:p w:rsidR="001B6447" w:rsidRPr="00147AE8" w:rsidRDefault="001B6447" w:rsidP="001B6447">
      <w:pPr>
        <w:rPr>
          <w:rFonts w:ascii="Arial" w:hAnsi="Arial" w:cs="Arial"/>
          <w:sz w:val="22"/>
          <w:szCs w:val="22"/>
          <w:lang w:val="en-GB"/>
        </w:rPr>
      </w:pPr>
      <w:r w:rsidRPr="00A16A77">
        <w:rPr>
          <w:rFonts w:ascii="Arial" w:hAnsi="Arial" w:cs="Arial"/>
          <w:sz w:val="22"/>
          <w:szCs w:val="22"/>
          <w:lang w:val="en-GB"/>
        </w:rPr>
        <w:t>N: number of patients; PPI: proton-pomp-inhibitor; CI: confidence interval; NA: not available; A: amoxicillin C: clarithromycin; M: metronidazole; T: tinidazole; D: doxycycline; L: levofloxacin; B: bismuth; Tc: tetracycline; J: josamycin; three-in-one: three-in-one single capsule bismuth quadruple therapy</w:t>
      </w:r>
      <w:r w:rsidR="005779DC" w:rsidRPr="00A16A77">
        <w:rPr>
          <w:rFonts w:ascii="Arial" w:hAnsi="Arial" w:cs="Arial"/>
          <w:sz w:val="22"/>
          <w:szCs w:val="22"/>
          <w:lang w:val="en-GB"/>
        </w:rPr>
        <w:t xml:space="preserve"> (Pylera</w:t>
      </w:r>
      <w:r w:rsidR="005779DC" w:rsidRPr="00A16A77">
        <w:rPr>
          <w:rFonts w:ascii="Arial" w:hAnsi="Arial" w:cs="Arial"/>
          <w:sz w:val="22"/>
          <w:szCs w:val="22"/>
          <w:vertAlign w:val="superscript"/>
          <w:lang w:val="en-GB"/>
        </w:rPr>
        <w:t>®</w:t>
      </w:r>
      <w:r w:rsidR="005779DC" w:rsidRPr="00A16A77">
        <w:rPr>
          <w:rFonts w:ascii="Arial" w:hAnsi="Arial" w:cs="Arial"/>
          <w:sz w:val="22"/>
          <w:szCs w:val="22"/>
          <w:lang w:val="en-GB"/>
        </w:rPr>
        <w:t>).</w:t>
      </w:r>
      <w:r w:rsidR="005779DC" w:rsidRPr="00147AE8">
        <w:rPr>
          <w:rFonts w:ascii="Arial" w:hAnsi="Arial" w:cs="Arial"/>
          <w:sz w:val="22"/>
          <w:szCs w:val="22"/>
          <w:lang w:val="en-GB"/>
        </w:rPr>
        <w:t xml:space="preserve"> </w:t>
      </w:r>
    </w:p>
    <w:sectPr w:rsidR="001B6447" w:rsidRPr="00147AE8" w:rsidSect="00126347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8A23A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197"/>
    <w:multiLevelType w:val="hybridMultilevel"/>
    <w:tmpl w:val="456CD7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A6FC7"/>
    <w:multiLevelType w:val="hybridMultilevel"/>
    <w:tmpl w:val="AA16ADC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36CB6"/>
    <w:multiLevelType w:val="hybridMultilevel"/>
    <w:tmpl w:val="889EBF6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C5204"/>
    <w:multiLevelType w:val="hybridMultilevel"/>
    <w:tmpl w:val="773CD60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F5FA2"/>
    <w:multiLevelType w:val="hybridMultilevel"/>
    <w:tmpl w:val="81D42AF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5545E"/>
    <w:multiLevelType w:val="hybridMultilevel"/>
    <w:tmpl w:val="5D18E74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F6F1F"/>
    <w:multiLevelType w:val="hybridMultilevel"/>
    <w:tmpl w:val="BE1248E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56C41"/>
    <w:multiLevelType w:val="hybridMultilevel"/>
    <w:tmpl w:val="08C6E40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A203D"/>
    <w:multiLevelType w:val="hybridMultilevel"/>
    <w:tmpl w:val="D6727B3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3224A"/>
    <w:multiLevelType w:val="hybridMultilevel"/>
    <w:tmpl w:val="18B0944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mez Gutierrez.Manuel">
    <w15:presenceInfo w15:providerId="AD" w15:userId="S-1-5-21-2000478354-1383384898-1343024091-1031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6347"/>
    <w:rsid w:val="000006C3"/>
    <w:rsid w:val="00033BBB"/>
    <w:rsid w:val="00040DEF"/>
    <w:rsid w:val="00050B68"/>
    <w:rsid w:val="00051A30"/>
    <w:rsid w:val="000A2715"/>
    <w:rsid w:val="000B4C90"/>
    <w:rsid w:val="000B686C"/>
    <w:rsid w:val="000B71E4"/>
    <w:rsid w:val="000E5DCF"/>
    <w:rsid w:val="000F73A3"/>
    <w:rsid w:val="001117F4"/>
    <w:rsid w:val="0012479B"/>
    <w:rsid w:val="00126347"/>
    <w:rsid w:val="001306B5"/>
    <w:rsid w:val="00147AE8"/>
    <w:rsid w:val="0015567A"/>
    <w:rsid w:val="00182C7C"/>
    <w:rsid w:val="001A239E"/>
    <w:rsid w:val="001B6447"/>
    <w:rsid w:val="0022520A"/>
    <w:rsid w:val="002745F7"/>
    <w:rsid w:val="002D75B1"/>
    <w:rsid w:val="00316C5C"/>
    <w:rsid w:val="0034433A"/>
    <w:rsid w:val="00383B5B"/>
    <w:rsid w:val="003969FF"/>
    <w:rsid w:val="003B77A3"/>
    <w:rsid w:val="003C1A72"/>
    <w:rsid w:val="00431778"/>
    <w:rsid w:val="00451DFF"/>
    <w:rsid w:val="00463748"/>
    <w:rsid w:val="004852DE"/>
    <w:rsid w:val="004923F8"/>
    <w:rsid w:val="004A18F0"/>
    <w:rsid w:val="004B1FE0"/>
    <w:rsid w:val="004C2EE0"/>
    <w:rsid w:val="004E4641"/>
    <w:rsid w:val="00515DA7"/>
    <w:rsid w:val="00527800"/>
    <w:rsid w:val="0054336A"/>
    <w:rsid w:val="00560CC9"/>
    <w:rsid w:val="005779DC"/>
    <w:rsid w:val="005A44B5"/>
    <w:rsid w:val="005B1F20"/>
    <w:rsid w:val="005D0CB6"/>
    <w:rsid w:val="0060605B"/>
    <w:rsid w:val="006110B9"/>
    <w:rsid w:val="00627718"/>
    <w:rsid w:val="00671276"/>
    <w:rsid w:val="00702DEC"/>
    <w:rsid w:val="00727D97"/>
    <w:rsid w:val="007936A4"/>
    <w:rsid w:val="00797C58"/>
    <w:rsid w:val="007A2FBA"/>
    <w:rsid w:val="007B0DBA"/>
    <w:rsid w:val="008316C9"/>
    <w:rsid w:val="008344FD"/>
    <w:rsid w:val="0084173A"/>
    <w:rsid w:val="00880A83"/>
    <w:rsid w:val="00885EA7"/>
    <w:rsid w:val="008936BC"/>
    <w:rsid w:val="0089796E"/>
    <w:rsid w:val="008A3B5C"/>
    <w:rsid w:val="008A6EA7"/>
    <w:rsid w:val="008C3F70"/>
    <w:rsid w:val="008D7178"/>
    <w:rsid w:val="008D7DEA"/>
    <w:rsid w:val="00917F8D"/>
    <w:rsid w:val="00922BCB"/>
    <w:rsid w:val="009535DF"/>
    <w:rsid w:val="00976CDC"/>
    <w:rsid w:val="00994539"/>
    <w:rsid w:val="009B3C54"/>
    <w:rsid w:val="009F3916"/>
    <w:rsid w:val="009F4E96"/>
    <w:rsid w:val="00A16A77"/>
    <w:rsid w:val="00A94421"/>
    <w:rsid w:val="00AA489E"/>
    <w:rsid w:val="00B04EB2"/>
    <w:rsid w:val="00B16475"/>
    <w:rsid w:val="00B328D1"/>
    <w:rsid w:val="00B463E9"/>
    <w:rsid w:val="00BE697B"/>
    <w:rsid w:val="00C25290"/>
    <w:rsid w:val="00C44D51"/>
    <w:rsid w:val="00C54AB3"/>
    <w:rsid w:val="00C661F5"/>
    <w:rsid w:val="00C674E7"/>
    <w:rsid w:val="00C743AC"/>
    <w:rsid w:val="00C82A1F"/>
    <w:rsid w:val="00C836A9"/>
    <w:rsid w:val="00CB5142"/>
    <w:rsid w:val="00CD6880"/>
    <w:rsid w:val="00CE5DCF"/>
    <w:rsid w:val="00CF2D55"/>
    <w:rsid w:val="00D27E18"/>
    <w:rsid w:val="00D56677"/>
    <w:rsid w:val="00DB028B"/>
    <w:rsid w:val="00DB3F7E"/>
    <w:rsid w:val="00E11147"/>
    <w:rsid w:val="00E231DC"/>
    <w:rsid w:val="00E34458"/>
    <w:rsid w:val="00E64C11"/>
    <w:rsid w:val="00EC3FF2"/>
    <w:rsid w:val="00ED1C16"/>
    <w:rsid w:val="00EF15A2"/>
    <w:rsid w:val="00F2617A"/>
    <w:rsid w:val="00F529C7"/>
    <w:rsid w:val="00F67E43"/>
    <w:rsid w:val="00F821E0"/>
    <w:rsid w:val="00F82AFB"/>
    <w:rsid w:val="00F8434F"/>
    <w:rsid w:val="00F91E20"/>
    <w:rsid w:val="00FA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4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126347"/>
    <w:rPr>
      <w:rFonts w:ascii="Consolas" w:hAnsi="Consolas" w:cs="Consolas"/>
      <w:sz w:val="21"/>
      <w:szCs w:val="21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6347"/>
    <w:rPr>
      <w:rFonts w:ascii="Consolas" w:eastAsiaTheme="minorEastAsia" w:hAnsi="Consolas" w:cs="Consolas"/>
      <w:sz w:val="21"/>
      <w:szCs w:val="21"/>
      <w:lang w:eastAsia="es-ES"/>
    </w:rPr>
  </w:style>
  <w:style w:type="paragraph" w:styleId="Prrafodelista">
    <w:name w:val="List Paragraph"/>
    <w:basedOn w:val="Normal"/>
    <w:uiPriority w:val="34"/>
    <w:qFormat/>
    <w:rsid w:val="00126347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1263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637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374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3748"/>
    <w:rPr>
      <w:rFonts w:ascii="Times New Roman" w:eastAsiaTheme="minorEastAsia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37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3748"/>
    <w:rPr>
      <w:rFonts w:ascii="Times New Roman" w:eastAsiaTheme="minorEastAsia" w:hAnsi="Times New Roman" w:cs="Times New Roman"/>
      <w:b/>
      <w:bCs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7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748"/>
    <w:rPr>
      <w:rFonts w:ascii="Tahoma" w:eastAsiaTheme="minorEastAsia" w:hAnsi="Tahoma" w:cs="Tahoma"/>
      <w:sz w:val="16"/>
      <w:szCs w:val="16"/>
      <w:lang w:val="es-ES_tradnl" w:eastAsia="es-ES_tradnl"/>
    </w:rPr>
  </w:style>
  <w:style w:type="paragraph" w:styleId="Revisin">
    <w:name w:val="Revision"/>
    <w:hidden/>
    <w:uiPriority w:val="99"/>
    <w:semiHidden/>
    <w:rsid w:val="005779D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  <w:style w:type="table" w:customStyle="1" w:styleId="PlainTable31">
    <w:name w:val="Plain Table 31"/>
    <w:basedOn w:val="Tablanormal"/>
    <w:uiPriority w:val="43"/>
    <w:rsid w:val="00515DA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9A2D1-A702-46ED-A531-565427B0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29</Pages>
  <Words>5711</Words>
  <Characters>31413</Characters>
  <Application>Microsoft Office Word</Application>
  <DocSecurity>0</DocSecurity>
  <Lines>261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opnyssen</dc:creator>
  <cp:lastModifiedBy>opnyssen</cp:lastModifiedBy>
  <cp:revision>20</cp:revision>
  <dcterms:created xsi:type="dcterms:W3CDTF">2020-06-30T09:59:00Z</dcterms:created>
  <dcterms:modified xsi:type="dcterms:W3CDTF">2021-02-07T17:12:00Z</dcterms:modified>
</cp:coreProperties>
</file>