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2D" w:rsidRPr="00100FF7" w:rsidRDefault="00880A2D" w:rsidP="00880A2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FF7">
        <w:rPr>
          <w:rFonts w:ascii="Times New Roman" w:hAnsi="Times New Roman" w:cs="Times New Roman"/>
          <w:b/>
          <w:sz w:val="24"/>
          <w:szCs w:val="24"/>
        </w:rPr>
        <w:t xml:space="preserve">Supportive text for </w:t>
      </w:r>
      <w:r w:rsidR="00EB0C6A" w:rsidRPr="00100FF7">
        <w:rPr>
          <w:rFonts w:ascii="Times New Roman" w:hAnsi="Times New Roman" w:cs="Times New Roman"/>
          <w:b/>
          <w:sz w:val="24"/>
          <w:szCs w:val="24"/>
        </w:rPr>
        <w:t>statements 1-9</w:t>
      </w:r>
    </w:p>
    <w:p w:rsidR="00880A2D" w:rsidRPr="00100FF7" w:rsidRDefault="00880A2D" w:rsidP="00880A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0FF7">
        <w:rPr>
          <w:rFonts w:ascii="Times New Roman" w:hAnsi="Times New Roman" w:cs="Times New Roman"/>
          <w:sz w:val="24"/>
          <w:szCs w:val="24"/>
        </w:rPr>
        <w:t xml:space="preserve">Reactive </w:t>
      </w:r>
      <w:r w:rsidR="00EB0C6A" w:rsidRPr="00100FF7">
        <w:rPr>
          <w:rFonts w:ascii="Times New Roman" w:hAnsi="Times New Roman" w:cs="Times New Roman"/>
          <w:sz w:val="24"/>
          <w:szCs w:val="24"/>
        </w:rPr>
        <w:t>therapeutic drug monitoring (</w:t>
      </w:r>
      <w:r w:rsidRPr="00100FF7">
        <w:rPr>
          <w:rFonts w:ascii="Times New Roman" w:hAnsi="Times New Roman" w:cs="Times New Roman"/>
          <w:sz w:val="24"/>
          <w:szCs w:val="24"/>
        </w:rPr>
        <w:t>TDM</w:t>
      </w:r>
      <w:r w:rsidR="00EB0C6A" w:rsidRPr="00100FF7">
        <w:rPr>
          <w:rFonts w:ascii="Times New Roman" w:hAnsi="Times New Roman" w:cs="Times New Roman"/>
          <w:sz w:val="24"/>
          <w:szCs w:val="24"/>
        </w:rPr>
        <w:t>)</w:t>
      </w:r>
      <w:r w:rsidRPr="00100FF7">
        <w:rPr>
          <w:rFonts w:ascii="Times New Roman" w:hAnsi="Times New Roman" w:cs="Times New Roman"/>
          <w:sz w:val="24"/>
          <w:szCs w:val="24"/>
        </w:rPr>
        <w:t xml:space="preserve"> is the evaluation of drug concentration and </w:t>
      </w:r>
      <w:r w:rsidR="00EB0C6A" w:rsidRPr="00100FF7">
        <w:rPr>
          <w:rFonts w:ascii="Times New Roman" w:hAnsi="Times New Roman" w:cs="Times New Roman"/>
          <w:sz w:val="24"/>
          <w:szCs w:val="24"/>
        </w:rPr>
        <w:t>anti-drug antibodies (</w:t>
      </w:r>
      <w:r w:rsidRPr="00100FF7">
        <w:rPr>
          <w:rFonts w:ascii="Times New Roman" w:hAnsi="Times New Roman" w:cs="Times New Roman"/>
          <w:sz w:val="24"/>
          <w:szCs w:val="24"/>
        </w:rPr>
        <w:t>ADA</w:t>
      </w:r>
      <w:r w:rsidR="00EB0C6A" w:rsidRPr="00100FF7">
        <w:rPr>
          <w:rFonts w:ascii="Times New Roman" w:hAnsi="Times New Roman" w:cs="Times New Roman"/>
          <w:sz w:val="24"/>
          <w:szCs w:val="24"/>
        </w:rPr>
        <w:t>)</w:t>
      </w:r>
      <w:r w:rsidRPr="00100FF7">
        <w:rPr>
          <w:rFonts w:ascii="Times New Roman" w:hAnsi="Times New Roman" w:cs="Times New Roman"/>
          <w:sz w:val="24"/>
          <w:szCs w:val="24"/>
        </w:rPr>
        <w:t xml:space="preserve"> in the setting of treatment failure and can help explain the potential mechanism underlying </w:t>
      </w:r>
      <w:r w:rsidR="00EB0C6A" w:rsidRPr="00100FF7">
        <w:rPr>
          <w:rFonts w:ascii="Times New Roman" w:hAnsi="Times New Roman" w:cs="Times New Roman"/>
          <w:sz w:val="24"/>
          <w:szCs w:val="24"/>
        </w:rPr>
        <w:t>primary non-response</w:t>
      </w:r>
      <w:r w:rsidRPr="00100FF7">
        <w:rPr>
          <w:rFonts w:ascii="Times New Roman" w:hAnsi="Times New Roman" w:cs="Times New Roman"/>
          <w:sz w:val="24"/>
          <w:szCs w:val="24"/>
        </w:rPr>
        <w:t xml:space="preserve"> or </w:t>
      </w:r>
      <w:r w:rsidR="00B921F1" w:rsidRPr="00100FF7">
        <w:rPr>
          <w:rFonts w:ascii="Times New Roman" w:hAnsi="Times New Roman" w:cs="Times New Roman"/>
          <w:sz w:val="24"/>
          <w:szCs w:val="24"/>
        </w:rPr>
        <w:t>secondary loss of response</w:t>
      </w:r>
      <w:r w:rsidRPr="00100FF7">
        <w:rPr>
          <w:rFonts w:ascii="Times New Roman" w:hAnsi="Times New Roman" w:cs="Times New Roman"/>
          <w:sz w:val="24"/>
          <w:szCs w:val="24"/>
        </w:rPr>
        <w:t xml:space="preserve"> to anti-</w:t>
      </w:r>
      <w:proofErr w:type="spellStart"/>
      <w:r w:rsidR="00B921F1" w:rsidRPr="00100FF7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="00B921F1" w:rsidRPr="00100FF7">
        <w:rPr>
          <w:rFonts w:ascii="Times New Roman" w:hAnsi="Times New Roman" w:cs="Times New Roman"/>
          <w:sz w:val="24"/>
          <w:szCs w:val="24"/>
        </w:rPr>
        <w:t xml:space="preserve"> necrosis factor (anti-</w:t>
      </w:r>
      <w:r w:rsidRPr="00100FF7">
        <w:rPr>
          <w:rFonts w:ascii="Times New Roman" w:hAnsi="Times New Roman" w:cs="Times New Roman"/>
          <w:sz w:val="24"/>
          <w:szCs w:val="24"/>
        </w:rPr>
        <w:t>TNF</w:t>
      </w:r>
      <w:r w:rsidR="00B921F1" w:rsidRPr="00100FF7">
        <w:rPr>
          <w:rFonts w:ascii="Times New Roman" w:hAnsi="Times New Roman" w:cs="Times New Roman"/>
          <w:sz w:val="24"/>
          <w:szCs w:val="24"/>
        </w:rPr>
        <w:t>)</w:t>
      </w:r>
      <w:r w:rsidRPr="00100FF7">
        <w:rPr>
          <w:rFonts w:ascii="Times New Roman" w:hAnsi="Times New Roman" w:cs="Times New Roman"/>
          <w:sz w:val="24"/>
          <w:szCs w:val="24"/>
        </w:rPr>
        <w:t xml:space="preserve"> therapy and consequently better direct the next step of care. F</w:t>
      </w:r>
      <w:proofErr w:type="spellStart"/>
      <w:r w:rsidRPr="00100FF7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spellEnd"/>
      <w:r w:rsidRPr="00100FF7">
        <w:rPr>
          <w:rFonts w:ascii="Times New Roman" w:hAnsi="Times New Roman" w:cs="Times New Roman"/>
          <w:sz w:val="24"/>
          <w:szCs w:val="24"/>
          <w:lang w:val="en-US"/>
        </w:rPr>
        <w:t xml:space="preserve"> example, a higher amount of drug should be given to patients with low or undetectable drug concentrations and no ADA, whereas switching drug is recommended for patients with high-titer ADA, and switching drug class is recommended for patients with adequate drug concentrations.</w:t>
      </w:r>
      <w:r w:rsidRPr="00100F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6-9</w:t>
      </w:r>
      <w:r w:rsidRPr="00100FF7">
        <w:rPr>
          <w:rFonts w:ascii="Times New Roman" w:hAnsi="Times New Roman" w:cs="Times New Roman"/>
          <w:sz w:val="24"/>
          <w:szCs w:val="24"/>
          <w:lang w:val="en-US"/>
        </w:rPr>
        <w:t xml:space="preserve"> Though reactive TDM is recommended by many medical societies</w:t>
      </w:r>
      <w:r w:rsidRPr="00100FF7">
        <w:rPr>
          <w:rFonts w:ascii="Times New Roman" w:hAnsi="Times New Roman" w:cs="Times New Roman"/>
          <w:sz w:val="24"/>
          <w:szCs w:val="24"/>
        </w:rPr>
        <w:t xml:space="preserve"> high quality data from randomized controlled trials (RCTs) using objective endpoints are missing.</w:t>
      </w:r>
      <w:r w:rsidRPr="00100FF7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100FF7">
        <w:rPr>
          <w:rFonts w:ascii="Times New Roman" w:hAnsi="Times New Roman" w:cs="Times New Roman"/>
          <w:sz w:val="24"/>
          <w:szCs w:val="24"/>
        </w:rPr>
        <w:t xml:space="preserve">Moreover, reactive TDM compared to clinical symptoms alone has been proven more cost-effective to guide therapeutic decisions in patients with </w:t>
      </w:r>
      <w:r w:rsidR="00B921F1" w:rsidRPr="00100FF7">
        <w:rPr>
          <w:rFonts w:ascii="Times New Roman" w:hAnsi="Times New Roman" w:cs="Times New Roman"/>
          <w:sz w:val="24"/>
          <w:szCs w:val="24"/>
        </w:rPr>
        <w:t>inflammatory bowel disease (</w:t>
      </w:r>
      <w:r w:rsidRPr="00100FF7">
        <w:rPr>
          <w:rFonts w:ascii="Times New Roman" w:hAnsi="Times New Roman" w:cs="Times New Roman"/>
          <w:sz w:val="24"/>
          <w:szCs w:val="24"/>
        </w:rPr>
        <w:t>IBD</w:t>
      </w:r>
      <w:r w:rsidR="00B921F1" w:rsidRPr="00100FF7">
        <w:rPr>
          <w:rFonts w:ascii="Times New Roman" w:hAnsi="Times New Roman" w:cs="Times New Roman"/>
          <w:sz w:val="24"/>
          <w:szCs w:val="24"/>
        </w:rPr>
        <w:t>)</w:t>
      </w:r>
      <w:r w:rsidRPr="00100FF7">
        <w:rPr>
          <w:rFonts w:ascii="Times New Roman" w:hAnsi="Times New Roman" w:cs="Times New Roman"/>
          <w:sz w:val="24"/>
          <w:szCs w:val="24"/>
        </w:rPr>
        <w:t xml:space="preserve"> treated with infliximab.</w:t>
      </w:r>
      <w:r w:rsidRPr="00100FF7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100FF7">
        <w:rPr>
          <w:rFonts w:ascii="Times New Roman" w:hAnsi="Times New Roman" w:cs="Times New Roman"/>
          <w:sz w:val="24"/>
          <w:szCs w:val="24"/>
        </w:rPr>
        <w:t xml:space="preserve"> Nevertheless, emphasis should be given on confirming there is a link between measurement of drug concentrations/ADA with objective disease activity assessments (i.e. endoscopic/calprotectin) to ensure inappropriate and costly dose escalation is not undertaken.</w:t>
      </w:r>
    </w:p>
    <w:p w:rsidR="007A0CA6" w:rsidRPr="00B77BA5" w:rsidRDefault="00880A2D" w:rsidP="007A0CA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FF7">
        <w:rPr>
          <w:rFonts w:ascii="Times New Roman" w:hAnsi="Times New Roman" w:cs="Times New Roman"/>
          <w:sz w:val="24"/>
          <w:szCs w:val="24"/>
        </w:rPr>
        <w:t xml:space="preserve">When treating patients with IBD, and particularly when performing reactive TDM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0FF7">
        <w:rPr>
          <w:rFonts w:ascii="Times New Roman" w:hAnsi="Times New Roman" w:cs="Times New Roman"/>
          <w:sz w:val="24"/>
          <w:szCs w:val="24"/>
          <w:lang w:val="en-US"/>
        </w:rPr>
        <w:t>t is of great clinical significance to optimize the first biologic as this typically offers a higher rate of efficacy when compared to subsequent biologic therapies.</w:t>
      </w:r>
      <w:r w:rsidRPr="00100F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28, 29</w:t>
      </w:r>
      <w:r w:rsidRPr="00100FF7">
        <w:rPr>
          <w:rFonts w:ascii="Times New Roman" w:hAnsi="Times New Roman" w:cs="Times New Roman"/>
          <w:sz w:val="24"/>
          <w:szCs w:val="24"/>
          <w:lang w:val="en-US"/>
        </w:rPr>
        <w:t xml:space="preserve"> Moreover, there are still limited pharmacological options for IBD, particularly for certain phenotypes.</w:t>
      </w:r>
      <w:r w:rsidRPr="00100FF7">
        <w:rPr>
          <w:rFonts w:ascii="Times New Roman" w:hAnsi="Times New Roman" w:cs="Times New Roman"/>
          <w:sz w:val="24"/>
          <w:szCs w:val="24"/>
        </w:rPr>
        <w:t xml:space="preserve"> I</w:t>
      </w:r>
      <w:proofErr w:type="spellStart"/>
      <w:r w:rsidRPr="00100FF7">
        <w:rPr>
          <w:rFonts w:ascii="Times New Roman" w:hAnsi="Times New Roman" w:cs="Times New Roman"/>
          <w:sz w:val="24"/>
          <w:szCs w:val="24"/>
          <w:lang w:val="en-US"/>
        </w:rPr>
        <w:t>nfliximab</w:t>
      </w:r>
      <w:proofErr w:type="spellEnd"/>
      <w:r w:rsidRPr="00100FF7">
        <w:rPr>
          <w:rFonts w:ascii="Times New Roman" w:hAnsi="Times New Roman" w:cs="Times New Roman"/>
          <w:sz w:val="24"/>
          <w:szCs w:val="24"/>
          <w:lang w:val="en-US"/>
        </w:rPr>
        <w:t xml:space="preserve">, for example, continues to be the cornerstone pharmacological treatment in acute severe ulcerative colitis (UC) and perianal </w:t>
      </w:r>
      <w:proofErr w:type="spellStart"/>
      <w:r w:rsidRPr="00100FF7">
        <w:rPr>
          <w:rFonts w:ascii="Times New Roman" w:hAnsi="Times New Roman" w:cs="Times New Roman"/>
          <w:sz w:val="24"/>
          <w:szCs w:val="24"/>
          <w:lang w:val="en-US"/>
        </w:rPr>
        <w:t>fistulizing</w:t>
      </w:r>
      <w:proofErr w:type="spellEnd"/>
      <w:r w:rsidRPr="00100FF7">
        <w:rPr>
          <w:rFonts w:ascii="Times New Roman" w:hAnsi="Times New Roman" w:cs="Times New Roman"/>
          <w:sz w:val="24"/>
          <w:szCs w:val="24"/>
          <w:lang w:val="en-US"/>
        </w:rPr>
        <w:t xml:space="preserve"> Crohn’s disease (CD). Thus, treatment discontinuation should not be considered until an infliximab concentration of at least 10-15μg/ml is achieved. Similarly, treatment discontinuation should not be considered for adalimumab until a drug concentration of at least 10-15μg/ml is achieved. </w:t>
      </w:r>
      <w:r w:rsidRPr="00100FF7">
        <w:rPr>
          <w:rFonts w:ascii="Times New Roman" w:hAnsi="Times New Roman" w:cs="Times New Roman"/>
          <w:sz w:val="24"/>
          <w:szCs w:val="24"/>
        </w:rPr>
        <w:t xml:space="preserve">However, it should be noted, there may be </w:t>
      </w:r>
      <w:r w:rsidRPr="00100FF7">
        <w:rPr>
          <w:rFonts w:ascii="Times New Roman" w:hAnsi="Times New Roman" w:cs="Times New Roman"/>
          <w:sz w:val="24"/>
          <w:szCs w:val="24"/>
        </w:rPr>
        <w:lastRenderedPageBreak/>
        <w:t xml:space="preserve">some instances where these drug concentrations may not be achievable for various reasons including high drug clearance and lack of insurance approval for dose escalation. </w:t>
      </w:r>
    </w:p>
    <w:p w:rsidR="00880A2D" w:rsidRPr="00100FF7" w:rsidRDefault="00880A2D" w:rsidP="00880A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FF7">
        <w:rPr>
          <w:rFonts w:ascii="Times New Roman" w:hAnsi="Times New Roman" w:cs="Times New Roman"/>
          <w:sz w:val="24"/>
          <w:szCs w:val="24"/>
        </w:rPr>
        <w:t xml:space="preserve">At this time, the vast majority of the data on reactive TDM relates to anti-TNFs. For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non anti-</w:t>
      </w:r>
      <w:proofErr w:type="spellEnd"/>
      <w:r w:rsidRPr="00100FF7">
        <w:rPr>
          <w:rFonts w:ascii="Times New Roman" w:hAnsi="Times New Roman" w:cs="Times New Roman"/>
          <w:sz w:val="24"/>
          <w:szCs w:val="24"/>
        </w:rPr>
        <w:t xml:space="preserve">TNF biologics the only current evidence supporting the role of reactive TDM is derived mostly from exposure-response relationship studies showing that higher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 w:rsidRPr="00100F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0FF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Pr="00100F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0FF7">
        <w:rPr>
          <w:rFonts w:ascii="Times New Roman" w:hAnsi="Times New Roman" w:cs="Times New Roman"/>
          <w:sz w:val="24"/>
          <w:szCs w:val="24"/>
        </w:rPr>
        <w:t>concentrations are associated with better therapeutic outcomes.</w:t>
      </w:r>
      <w:r w:rsidRPr="00100FF7">
        <w:rPr>
          <w:rFonts w:ascii="Times New Roman" w:hAnsi="Times New Roman" w:cs="Times New Roman"/>
          <w:sz w:val="24"/>
          <w:szCs w:val="24"/>
          <w:vertAlign w:val="superscript"/>
        </w:rPr>
        <w:t xml:space="preserve">30-44 </w:t>
      </w:r>
    </w:p>
    <w:p w:rsidR="00880A2D" w:rsidRPr="00B77BA5" w:rsidRDefault="00880A2D" w:rsidP="008519B9">
      <w:pPr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35C5" w:rsidRPr="00100FF7" w:rsidRDefault="000035C5" w:rsidP="000035C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FF7">
        <w:rPr>
          <w:rFonts w:ascii="Times New Roman" w:hAnsi="Times New Roman" w:cs="Times New Roman"/>
          <w:b/>
          <w:sz w:val="24"/>
          <w:szCs w:val="24"/>
        </w:rPr>
        <w:t xml:space="preserve">Supportive text for statement 22 </w:t>
      </w:r>
    </w:p>
    <w:p w:rsidR="000035C5" w:rsidRPr="00100FF7" w:rsidRDefault="000035C5" w:rsidP="00003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0FF7">
        <w:rPr>
          <w:rFonts w:ascii="Times New Roman" w:hAnsi="Times New Roman" w:cs="Times New Roman"/>
          <w:sz w:val="24"/>
          <w:szCs w:val="24"/>
        </w:rPr>
        <w:t xml:space="preserve">Current data suggest that there are no differences in performing and interpreting the results of TDM between the infliximab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biosimilars</w:t>
      </w:r>
      <w:proofErr w:type="spellEnd"/>
      <w:r w:rsidRPr="00100FF7">
        <w:rPr>
          <w:rFonts w:ascii="Times New Roman" w:hAnsi="Times New Roman" w:cs="Times New Roman"/>
          <w:sz w:val="24"/>
          <w:szCs w:val="24"/>
        </w:rPr>
        <w:t xml:space="preserve"> SB2 and CT-P13 and the originator drug using commercially available </w:t>
      </w:r>
      <w:r w:rsidR="00B921F1" w:rsidRPr="00100FF7">
        <w:rPr>
          <w:rFonts w:ascii="Times New Roman" w:hAnsi="Times New Roman" w:cs="Times New Roman"/>
          <w:sz w:val="24"/>
          <w:szCs w:val="24"/>
        </w:rPr>
        <w:t>enzyme-linked immunosorbent assays (</w:t>
      </w:r>
      <w:r w:rsidRPr="00100FF7">
        <w:rPr>
          <w:rFonts w:ascii="Times New Roman" w:hAnsi="Times New Roman" w:cs="Times New Roman"/>
          <w:sz w:val="24"/>
          <w:szCs w:val="24"/>
        </w:rPr>
        <w:t>ELISAs</w:t>
      </w:r>
      <w:r w:rsidR="00B921F1" w:rsidRPr="00100FF7">
        <w:rPr>
          <w:rFonts w:ascii="Times New Roman" w:hAnsi="Times New Roman" w:cs="Times New Roman"/>
          <w:sz w:val="24"/>
          <w:szCs w:val="24"/>
        </w:rPr>
        <w:t>)</w:t>
      </w:r>
      <w:r w:rsidRPr="00100FF7">
        <w:rPr>
          <w:rFonts w:ascii="Times New Roman" w:hAnsi="Times New Roman" w:cs="Times New Roman"/>
          <w:sz w:val="24"/>
          <w:szCs w:val="24"/>
        </w:rPr>
        <w:t>.</w:t>
      </w:r>
      <w:r w:rsidRPr="00100FF7">
        <w:rPr>
          <w:rFonts w:ascii="Times New Roman" w:hAnsi="Times New Roman" w:cs="Times New Roman"/>
          <w:sz w:val="24"/>
          <w:szCs w:val="24"/>
          <w:vertAlign w:val="superscript"/>
        </w:rPr>
        <w:t>78-80</w:t>
      </w:r>
    </w:p>
    <w:p w:rsidR="00880A2D" w:rsidRPr="00B77BA5" w:rsidRDefault="00880A2D" w:rsidP="008519B9">
      <w:pPr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2000" w:rsidRPr="00100FF7" w:rsidRDefault="00EB0C6A" w:rsidP="009F20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F7">
        <w:rPr>
          <w:rFonts w:ascii="Times New Roman" w:hAnsi="Times New Roman" w:cs="Times New Roman"/>
          <w:b/>
          <w:sz w:val="24"/>
          <w:szCs w:val="24"/>
        </w:rPr>
        <w:t xml:space="preserve">Supportive text </w:t>
      </w:r>
      <w:r w:rsidR="009F2000" w:rsidRPr="00100FF7">
        <w:rPr>
          <w:rFonts w:ascii="Times New Roman" w:hAnsi="Times New Roman" w:cs="Times New Roman"/>
          <w:b/>
          <w:sz w:val="24"/>
          <w:szCs w:val="24"/>
        </w:rPr>
        <w:t>for statements 40 and 41</w:t>
      </w:r>
      <w:r w:rsidR="009F2000" w:rsidRPr="0010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00" w:rsidRPr="00100FF7" w:rsidRDefault="00EB0C6A" w:rsidP="009F20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0FF7">
        <w:rPr>
          <w:rFonts w:ascii="Times New Roman" w:hAnsi="Times New Roman" w:cs="Times New Roman"/>
          <w:sz w:val="24"/>
          <w:szCs w:val="24"/>
        </w:rPr>
        <w:t xml:space="preserve">A study from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Vande</w:t>
      </w:r>
      <w:proofErr w:type="spellEnd"/>
      <w:r w:rsidRPr="0010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Casteele</w:t>
      </w:r>
      <w:proofErr w:type="spellEnd"/>
      <w:r w:rsidRPr="00100FF7">
        <w:rPr>
          <w:rFonts w:ascii="Times New Roman" w:hAnsi="Times New Roman" w:cs="Times New Roman"/>
          <w:sz w:val="24"/>
          <w:szCs w:val="24"/>
        </w:rPr>
        <w:t xml:space="preserve"> et al.</w:t>
      </w:r>
      <w:r w:rsidR="004D5E31" w:rsidRPr="00100FF7">
        <w:rPr>
          <w:rFonts w:ascii="Times New Roman" w:hAnsi="Times New Roman" w:cs="Times New Roman"/>
          <w:sz w:val="24"/>
          <w:szCs w:val="24"/>
        </w:rPr>
        <w:t xml:space="preserve"> </w:t>
      </w:r>
      <w:r w:rsidR="00A65C3F" w:rsidRPr="00100FF7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4D5E31" w:rsidRPr="00100FF7">
        <w:rPr>
          <w:rFonts w:ascii="Times New Roman" w:hAnsi="Times New Roman" w:cs="Times New Roman"/>
          <w:sz w:val="24"/>
          <w:szCs w:val="24"/>
        </w:rPr>
        <w:t xml:space="preserve">(using an ELISA) </w:t>
      </w:r>
      <w:r w:rsidR="00A65C3F" w:rsidRPr="00100F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65C3F" w:rsidRPr="00100FF7">
        <w:rPr>
          <w:rFonts w:ascii="Times New Roman" w:hAnsi="Times New Roman" w:cs="Times New Roman"/>
          <w:sz w:val="24"/>
          <w:szCs w:val="24"/>
        </w:rPr>
        <w:t>certolizumab</w:t>
      </w:r>
      <w:proofErr w:type="spellEnd"/>
      <w:r w:rsidR="00A65C3F" w:rsidRPr="0010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E31" w:rsidRPr="00100FF7">
        <w:rPr>
          <w:rFonts w:ascii="Times New Roman" w:hAnsi="Times New Roman" w:cs="Times New Roman"/>
          <w:sz w:val="24"/>
          <w:szCs w:val="24"/>
        </w:rPr>
        <w:t>pegol</w:t>
      </w:r>
      <w:proofErr w:type="spellEnd"/>
      <w:r w:rsidR="004D5E31" w:rsidRPr="00100FF7">
        <w:rPr>
          <w:rFonts w:ascii="Times New Roman" w:hAnsi="Times New Roman" w:cs="Times New Roman"/>
          <w:sz w:val="24"/>
          <w:szCs w:val="24"/>
        </w:rPr>
        <w:t xml:space="preserve"> concentration cut-off of </w:t>
      </w:r>
      <w:r w:rsidR="00A65C3F" w:rsidRPr="00100FF7">
        <w:rPr>
          <w:rFonts w:ascii="Times New Roman" w:hAnsi="Times New Roman" w:cs="Times New Roman"/>
          <w:sz w:val="24"/>
          <w:szCs w:val="24"/>
        </w:rPr>
        <w:t>3</w:t>
      </w:r>
      <w:r w:rsidR="004D5E31" w:rsidRPr="00100FF7">
        <w:rPr>
          <w:rFonts w:ascii="Times New Roman" w:hAnsi="Times New Roman" w:cs="Times New Roman"/>
          <w:sz w:val="24"/>
          <w:szCs w:val="24"/>
        </w:rPr>
        <w:t>1.9</w:t>
      </w:r>
      <w:r w:rsidR="00A65C3F" w:rsidRPr="0010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C3F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A65C3F" w:rsidRPr="00100FF7">
        <w:rPr>
          <w:rFonts w:ascii="Times New Roman" w:hAnsi="Times New Roman" w:cs="Times New Roman"/>
          <w:sz w:val="24"/>
          <w:szCs w:val="24"/>
        </w:rPr>
        <w:t>/mL</w:t>
      </w:r>
      <w:r w:rsidR="004D5E31" w:rsidRPr="00100FF7">
        <w:rPr>
          <w:rFonts w:ascii="Times New Roman" w:hAnsi="Times New Roman" w:cs="Times New Roman"/>
          <w:sz w:val="24"/>
          <w:szCs w:val="24"/>
        </w:rPr>
        <w:t>,</w:t>
      </w:r>
      <w:r w:rsidR="00A65C3F" w:rsidRPr="00100FF7">
        <w:rPr>
          <w:rFonts w:ascii="Times New Roman" w:hAnsi="Times New Roman" w:cs="Times New Roman"/>
          <w:sz w:val="24"/>
          <w:szCs w:val="24"/>
        </w:rPr>
        <w:t xml:space="preserve"> </w:t>
      </w:r>
      <w:r w:rsidR="004D5E31" w:rsidRPr="00100FF7">
        <w:rPr>
          <w:rFonts w:ascii="Times New Roman" w:hAnsi="Times New Roman" w:cs="Times New Roman"/>
          <w:sz w:val="24"/>
          <w:szCs w:val="24"/>
        </w:rPr>
        <w:t xml:space="preserve">32.7 </w:t>
      </w:r>
      <w:proofErr w:type="spellStart"/>
      <w:r w:rsidR="004D5E31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4D5E31" w:rsidRPr="00100FF7">
        <w:rPr>
          <w:rFonts w:ascii="Times New Roman" w:hAnsi="Times New Roman" w:cs="Times New Roman"/>
          <w:sz w:val="24"/>
          <w:szCs w:val="24"/>
        </w:rPr>
        <w:t xml:space="preserve">/mL and 34.5 </w:t>
      </w:r>
      <w:proofErr w:type="spellStart"/>
      <w:r w:rsidR="004D5E31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4D5E31" w:rsidRPr="00100FF7">
        <w:rPr>
          <w:rFonts w:ascii="Times New Roman" w:hAnsi="Times New Roman" w:cs="Times New Roman"/>
          <w:sz w:val="24"/>
          <w:szCs w:val="24"/>
        </w:rPr>
        <w:t>/mL at week 6</w:t>
      </w:r>
      <w:r w:rsidR="00A65C3F" w:rsidRPr="00100FF7">
        <w:rPr>
          <w:rFonts w:ascii="Times New Roman" w:hAnsi="Times New Roman" w:cs="Times New Roman"/>
          <w:sz w:val="24"/>
          <w:szCs w:val="24"/>
        </w:rPr>
        <w:t xml:space="preserve"> for </w:t>
      </w:r>
      <w:r w:rsidR="004D5E31" w:rsidRPr="00100FF7">
        <w:rPr>
          <w:rFonts w:ascii="Times New Roman" w:hAnsi="Times New Roman" w:cs="Times New Roman"/>
          <w:sz w:val="24"/>
          <w:szCs w:val="24"/>
        </w:rPr>
        <w:t xml:space="preserve">C-reactive protein (CRP) ≤5mg/L, </w:t>
      </w:r>
      <w:proofErr w:type="spellStart"/>
      <w:r w:rsidR="004D5E31" w:rsidRPr="00100FF7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="004D5E31" w:rsidRPr="00100FF7">
        <w:rPr>
          <w:rFonts w:ascii="Times New Roman" w:hAnsi="Times New Roman" w:cs="Times New Roman"/>
          <w:sz w:val="24"/>
          <w:szCs w:val="24"/>
        </w:rPr>
        <w:t xml:space="preserve"> calprotectin (FC) &lt;250μg/g</w:t>
      </w:r>
      <w:r w:rsidR="00A65C3F" w:rsidRPr="00100FF7">
        <w:rPr>
          <w:rFonts w:ascii="Times New Roman" w:hAnsi="Times New Roman" w:cs="Times New Roman"/>
          <w:sz w:val="24"/>
          <w:szCs w:val="24"/>
        </w:rPr>
        <w:t xml:space="preserve"> and combined FC &lt;250μg/g and Crohn’</w:t>
      </w:r>
      <w:r w:rsidR="00040781" w:rsidRPr="00100FF7">
        <w:rPr>
          <w:rFonts w:ascii="Times New Roman" w:hAnsi="Times New Roman" w:cs="Times New Roman"/>
          <w:sz w:val="24"/>
          <w:szCs w:val="24"/>
        </w:rPr>
        <w:t>s disease activity index (CDAI)</w:t>
      </w:r>
      <w:r w:rsidR="004D5E31" w:rsidRPr="00100FF7">
        <w:rPr>
          <w:rFonts w:ascii="Times New Roman" w:hAnsi="Times New Roman" w:cs="Times New Roman"/>
          <w:sz w:val="24"/>
          <w:szCs w:val="24"/>
        </w:rPr>
        <w:t xml:space="preserve"> ≤150 at week </w:t>
      </w:r>
      <w:r w:rsidR="00A65C3F" w:rsidRPr="00100FF7">
        <w:rPr>
          <w:rFonts w:ascii="Times New Roman" w:hAnsi="Times New Roman" w:cs="Times New Roman"/>
          <w:sz w:val="24"/>
          <w:szCs w:val="24"/>
        </w:rPr>
        <w:t>6, respectively</w:t>
      </w:r>
      <w:r w:rsidR="003B1DFC" w:rsidRPr="00100FF7">
        <w:rPr>
          <w:rFonts w:ascii="Times New Roman" w:hAnsi="Times New Roman" w:cs="Times New Roman"/>
          <w:sz w:val="24"/>
          <w:szCs w:val="24"/>
        </w:rPr>
        <w:t>,</w:t>
      </w:r>
      <w:r w:rsidR="004D5E31" w:rsidRPr="00100FF7">
        <w:rPr>
          <w:rFonts w:ascii="Times New Roman" w:hAnsi="Times New Roman" w:cs="Times New Roman"/>
          <w:sz w:val="24"/>
          <w:szCs w:val="24"/>
        </w:rPr>
        <w:t xml:space="preserve"> in patients with CD</w:t>
      </w:r>
      <w:r w:rsidR="00A65C3F" w:rsidRPr="00100FF7">
        <w:rPr>
          <w:rFonts w:ascii="Times New Roman" w:hAnsi="Times New Roman" w:cs="Times New Roman"/>
          <w:sz w:val="24"/>
          <w:szCs w:val="24"/>
        </w:rPr>
        <w:t>.</w:t>
      </w:r>
      <w:r w:rsidR="004D5E31" w:rsidRPr="00100FF7">
        <w:rPr>
          <w:rFonts w:ascii="Times New Roman" w:hAnsi="Times New Roman" w:cs="Times New Roman"/>
          <w:sz w:val="24"/>
          <w:szCs w:val="24"/>
          <w:vertAlign w:val="superscript"/>
        </w:rPr>
        <w:t>117</w:t>
      </w:r>
      <w:r w:rsidR="00A65C3F" w:rsidRPr="00100FF7">
        <w:rPr>
          <w:rFonts w:ascii="Times New Roman" w:hAnsi="Times New Roman" w:cs="Times New Roman"/>
          <w:sz w:val="24"/>
          <w:szCs w:val="24"/>
        </w:rPr>
        <w:t xml:space="preserve"> The same study </w:t>
      </w:r>
      <w:r w:rsidR="004F189F" w:rsidRPr="00100FF7">
        <w:rPr>
          <w:rFonts w:ascii="Times New Roman" w:hAnsi="Times New Roman" w:cs="Times New Roman"/>
          <w:sz w:val="24"/>
          <w:szCs w:val="24"/>
        </w:rPr>
        <w:t xml:space="preserve">identified a </w:t>
      </w:r>
      <w:proofErr w:type="spellStart"/>
      <w:r w:rsidR="004F189F" w:rsidRPr="00100FF7">
        <w:rPr>
          <w:rFonts w:ascii="Times New Roman" w:hAnsi="Times New Roman" w:cs="Times New Roman"/>
          <w:sz w:val="24"/>
          <w:szCs w:val="24"/>
        </w:rPr>
        <w:t>certolizumab</w:t>
      </w:r>
      <w:proofErr w:type="spellEnd"/>
      <w:r w:rsidR="004F189F" w:rsidRPr="0010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89F" w:rsidRPr="00100FF7">
        <w:rPr>
          <w:rFonts w:ascii="Times New Roman" w:hAnsi="Times New Roman" w:cs="Times New Roman"/>
          <w:sz w:val="24"/>
          <w:szCs w:val="24"/>
        </w:rPr>
        <w:t>pegol</w:t>
      </w:r>
      <w:proofErr w:type="spellEnd"/>
      <w:r w:rsidR="004F189F" w:rsidRPr="00100FF7">
        <w:rPr>
          <w:rFonts w:ascii="Times New Roman" w:hAnsi="Times New Roman" w:cs="Times New Roman"/>
          <w:sz w:val="24"/>
          <w:szCs w:val="24"/>
        </w:rPr>
        <w:t xml:space="preserve"> concentration cut-off of 13.8 </w:t>
      </w:r>
      <w:proofErr w:type="spellStart"/>
      <w:r w:rsidR="004F189F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4F189F" w:rsidRPr="00100FF7">
        <w:rPr>
          <w:rFonts w:ascii="Times New Roman" w:hAnsi="Times New Roman" w:cs="Times New Roman"/>
          <w:sz w:val="24"/>
          <w:szCs w:val="24"/>
        </w:rPr>
        <w:t xml:space="preserve">/mL and 14.8 </w:t>
      </w:r>
      <w:proofErr w:type="spellStart"/>
      <w:r w:rsidR="004F189F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4F189F" w:rsidRPr="00100FF7">
        <w:rPr>
          <w:rFonts w:ascii="Times New Roman" w:hAnsi="Times New Roman" w:cs="Times New Roman"/>
          <w:sz w:val="24"/>
          <w:szCs w:val="24"/>
        </w:rPr>
        <w:t xml:space="preserve">/mL at </w:t>
      </w:r>
      <w:r w:rsidR="00040781" w:rsidRPr="00100FF7">
        <w:rPr>
          <w:rFonts w:ascii="Times New Roman" w:hAnsi="Times New Roman" w:cs="Times New Roman"/>
          <w:sz w:val="24"/>
          <w:szCs w:val="24"/>
        </w:rPr>
        <w:t>week 12 for FC</w:t>
      </w:r>
      <w:r w:rsidR="004F189F" w:rsidRPr="00100FF7">
        <w:rPr>
          <w:rFonts w:ascii="Times New Roman" w:hAnsi="Times New Roman" w:cs="Times New Roman"/>
          <w:sz w:val="24"/>
          <w:szCs w:val="24"/>
        </w:rPr>
        <w:t>&lt;250μg/g and combined FC &lt;250μg/g and CDAI≤150 at week 26, respectively.</w:t>
      </w:r>
      <w:r w:rsidR="004F189F" w:rsidRPr="00100FF7">
        <w:rPr>
          <w:rFonts w:ascii="Times New Roman" w:hAnsi="Times New Roman" w:cs="Times New Roman"/>
          <w:sz w:val="24"/>
          <w:szCs w:val="24"/>
          <w:vertAlign w:val="superscript"/>
        </w:rPr>
        <w:t>117</w:t>
      </w:r>
    </w:p>
    <w:p w:rsidR="009F2000" w:rsidRPr="00B77BA5" w:rsidRDefault="009F2000" w:rsidP="009F2000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2000" w:rsidRPr="00100FF7" w:rsidRDefault="00827C74" w:rsidP="009F20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F7">
        <w:rPr>
          <w:rFonts w:ascii="Times New Roman" w:hAnsi="Times New Roman" w:cs="Times New Roman"/>
          <w:b/>
          <w:sz w:val="24"/>
          <w:szCs w:val="24"/>
        </w:rPr>
        <w:t xml:space="preserve">Supportive text </w:t>
      </w:r>
      <w:r w:rsidR="009F2000" w:rsidRPr="00100FF7">
        <w:rPr>
          <w:rFonts w:ascii="Times New Roman" w:hAnsi="Times New Roman" w:cs="Times New Roman"/>
          <w:b/>
          <w:sz w:val="24"/>
          <w:szCs w:val="24"/>
        </w:rPr>
        <w:t>for statements 42 and 43.</w:t>
      </w:r>
      <w:r w:rsidR="009F2000" w:rsidRPr="0010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00" w:rsidRPr="00B77BA5" w:rsidRDefault="00D35BC2" w:rsidP="009F2000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FF7">
        <w:rPr>
          <w:rFonts w:ascii="Times New Roman" w:hAnsi="Times New Roman" w:cs="Times New Roman"/>
          <w:sz w:val="24"/>
          <w:szCs w:val="24"/>
        </w:rPr>
        <w:t xml:space="preserve">The GO-LEVEL (Study of the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 w:rsidRPr="00100FF7">
        <w:rPr>
          <w:rFonts w:ascii="Times New Roman" w:hAnsi="Times New Roman" w:cs="Times New Roman"/>
          <w:sz w:val="24"/>
          <w:szCs w:val="24"/>
        </w:rPr>
        <w:t xml:space="preserve"> Exposure-Response Relationship Using Serum Trough Levels) open label, phase IV study that included a prospective as well as a cross-sectional cohort of patients with UC receiving maintenance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 w:rsidRPr="00100FF7">
        <w:rPr>
          <w:rFonts w:ascii="Times New Roman" w:hAnsi="Times New Roman" w:cs="Times New Roman"/>
          <w:sz w:val="24"/>
          <w:szCs w:val="24"/>
        </w:rPr>
        <w:t xml:space="preserve"> treatment identified </w:t>
      </w:r>
      <w:r w:rsidRPr="00100FF7">
        <w:rPr>
          <w:rFonts w:ascii="Times New Roman" w:hAnsi="Times New Roman" w:cs="Times New Roman"/>
          <w:sz w:val="24"/>
          <w:szCs w:val="24"/>
        </w:rPr>
        <w:lastRenderedPageBreak/>
        <w:t xml:space="preserve">(using an ELISA) a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 w:rsidRPr="00100FF7">
        <w:rPr>
          <w:rFonts w:ascii="Times New Roman" w:hAnsi="Times New Roman" w:cs="Times New Roman"/>
          <w:sz w:val="24"/>
          <w:szCs w:val="24"/>
        </w:rPr>
        <w:t xml:space="preserve"> concentration cut-off of 3.</w:t>
      </w:r>
      <w:r w:rsidR="003B1DFC" w:rsidRPr="00100FF7">
        <w:rPr>
          <w:rFonts w:ascii="Times New Roman" w:hAnsi="Times New Roman" w:cs="Times New Roman"/>
          <w:sz w:val="24"/>
          <w:szCs w:val="24"/>
        </w:rPr>
        <w:t>2</w:t>
      </w:r>
      <w:r w:rsidRPr="0010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100FF7">
        <w:rPr>
          <w:rFonts w:ascii="Times New Roman" w:hAnsi="Times New Roman" w:cs="Times New Roman"/>
          <w:sz w:val="24"/>
          <w:szCs w:val="24"/>
        </w:rPr>
        <w:t>/mL</w:t>
      </w:r>
      <w:r w:rsidR="003B1DFC" w:rsidRPr="00100FF7">
        <w:rPr>
          <w:rFonts w:ascii="Times New Roman" w:hAnsi="Times New Roman" w:cs="Times New Roman"/>
          <w:sz w:val="24"/>
          <w:szCs w:val="24"/>
        </w:rPr>
        <w:t xml:space="preserve"> </w:t>
      </w:r>
      <w:r w:rsidRPr="00100FF7">
        <w:rPr>
          <w:rFonts w:ascii="Times New Roman" w:hAnsi="Times New Roman" w:cs="Times New Roman"/>
          <w:sz w:val="24"/>
          <w:szCs w:val="24"/>
        </w:rPr>
        <w:t>and 3.</w:t>
      </w:r>
      <w:r w:rsidR="003B1DFC" w:rsidRPr="00100FF7">
        <w:rPr>
          <w:rFonts w:ascii="Times New Roman" w:hAnsi="Times New Roman" w:cs="Times New Roman"/>
          <w:sz w:val="24"/>
          <w:szCs w:val="24"/>
        </w:rPr>
        <w:t>8</w:t>
      </w:r>
      <w:r w:rsidRPr="0010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100FF7">
        <w:rPr>
          <w:rFonts w:ascii="Times New Roman" w:hAnsi="Times New Roman" w:cs="Times New Roman"/>
          <w:sz w:val="24"/>
          <w:szCs w:val="24"/>
        </w:rPr>
        <w:t xml:space="preserve">/mL at week 6 for </w:t>
      </w:r>
      <w:r w:rsidR="003B1DFC" w:rsidRPr="00100FF7">
        <w:rPr>
          <w:rFonts w:ascii="Times New Roman" w:hAnsi="Times New Roman" w:cs="Times New Roman"/>
          <w:sz w:val="24"/>
          <w:szCs w:val="24"/>
        </w:rPr>
        <w:t>clinical [simple clinical colitis activity index (SCCAI ≤2)] remission</w:t>
      </w:r>
      <w:r w:rsidRPr="00100FF7">
        <w:rPr>
          <w:rFonts w:ascii="Times New Roman" w:hAnsi="Times New Roman" w:cs="Times New Roman"/>
          <w:sz w:val="24"/>
          <w:szCs w:val="24"/>
        </w:rPr>
        <w:t xml:space="preserve"> and combined </w:t>
      </w:r>
      <w:r w:rsidR="003B1DFC" w:rsidRPr="00100FF7">
        <w:rPr>
          <w:rFonts w:ascii="Times New Roman" w:hAnsi="Times New Roman" w:cs="Times New Roman"/>
          <w:sz w:val="24"/>
          <w:szCs w:val="24"/>
        </w:rPr>
        <w:t xml:space="preserve">clinical-biochemical remission (SCCAI ≤2 and FC &lt;250μg/g) at </w:t>
      </w:r>
      <w:r w:rsidRPr="00100FF7">
        <w:rPr>
          <w:rFonts w:ascii="Times New Roman" w:hAnsi="Times New Roman" w:cs="Times New Roman"/>
          <w:sz w:val="24"/>
          <w:szCs w:val="24"/>
        </w:rPr>
        <w:t>week 6, respectively.</w:t>
      </w:r>
      <w:r w:rsidR="00BF51CA" w:rsidRPr="00100FF7">
        <w:rPr>
          <w:rFonts w:ascii="Times New Roman" w:hAnsi="Times New Roman" w:cs="Times New Roman"/>
          <w:sz w:val="24"/>
          <w:szCs w:val="24"/>
          <w:vertAlign w:val="superscript"/>
        </w:rPr>
        <w:t>118</w:t>
      </w:r>
      <w:r w:rsidRPr="00100FF7">
        <w:rPr>
          <w:rFonts w:ascii="Times New Roman" w:hAnsi="Times New Roman" w:cs="Times New Roman"/>
          <w:sz w:val="24"/>
          <w:szCs w:val="24"/>
        </w:rPr>
        <w:t xml:space="preserve"> </w:t>
      </w:r>
      <w:r w:rsidR="009A274A" w:rsidRPr="00100FF7">
        <w:rPr>
          <w:rFonts w:ascii="Times New Roman" w:hAnsi="Times New Roman" w:cs="Times New Roman"/>
          <w:sz w:val="24"/>
          <w:szCs w:val="24"/>
        </w:rPr>
        <w:t xml:space="preserve">The same study identified a </w:t>
      </w:r>
      <w:proofErr w:type="spellStart"/>
      <w:r w:rsidR="009A274A" w:rsidRPr="00100FF7"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 w:rsidR="009A274A" w:rsidRPr="00100FF7">
        <w:rPr>
          <w:rFonts w:ascii="Times New Roman" w:hAnsi="Times New Roman" w:cs="Times New Roman"/>
          <w:sz w:val="24"/>
          <w:szCs w:val="24"/>
        </w:rPr>
        <w:t xml:space="preserve"> concentration cut-off of 2.4 </w:t>
      </w:r>
      <w:proofErr w:type="spellStart"/>
      <w:r w:rsidR="009A274A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9A274A" w:rsidRPr="00100FF7">
        <w:rPr>
          <w:rFonts w:ascii="Times New Roman" w:hAnsi="Times New Roman" w:cs="Times New Roman"/>
          <w:sz w:val="24"/>
          <w:szCs w:val="24"/>
        </w:rPr>
        <w:t>/mL for clinical and biochemical remission during maintenance therapy.</w:t>
      </w:r>
      <w:r w:rsidR="009A274A" w:rsidRPr="00100FF7">
        <w:rPr>
          <w:rFonts w:ascii="Times New Roman" w:hAnsi="Times New Roman" w:cs="Times New Roman"/>
          <w:sz w:val="24"/>
          <w:szCs w:val="24"/>
          <w:vertAlign w:val="superscript"/>
        </w:rPr>
        <w:t>118</w:t>
      </w:r>
      <w:r w:rsidR="009A274A" w:rsidRPr="00100FF7">
        <w:rPr>
          <w:rFonts w:ascii="Times New Roman" w:hAnsi="Times New Roman" w:cs="Times New Roman"/>
          <w:sz w:val="24"/>
          <w:szCs w:val="24"/>
        </w:rPr>
        <w:t xml:space="preserve"> </w:t>
      </w:r>
      <w:r w:rsidR="00626379" w:rsidRPr="00100FF7">
        <w:rPr>
          <w:rFonts w:ascii="Times New Roman" w:hAnsi="Times New Roman" w:cs="Times New Roman"/>
          <w:sz w:val="24"/>
          <w:szCs w:val="24"/>
        </w:rPr>
        <w:t xml:space="preserve">A post-hoc analysis of the PURSUIT (A study to Evaluate the Safety and Efficacy of </w:t>
      </w:r>
      <w:proofErr w:type="spellStart"/>
      <w:r w:rsidR="00626379" w:rsidRPr="00100FF7"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 w:rsidR="00626379" w:rsidRPr="00100FF7">
        <w:rPr>
          <w:rFonts w:ascii="Times New Roman" w:hAnsi="Times New Roman" w:cs="Times New Roman"/>
          <w:sz w:val="24"/>
          <w:szCs w:val="24"/>
        </w:rPr>
        <w:t xml:space="preserve"> Maintenance Therapy, Administered Subcutaneously, in Subjects With Moderately to Severely Active Ulcerative Colitis) studies identified </w:t>
      </w:r>
      <w:r w:rsidR="00A27746" w:rsidRPr="00100FF7">
        <w:rPr>
          <w:rFonts w:ascii="Times New Roman" w:hAnsi="Times New Roman" w:cs="Times New Roman"/>
          <w:sz w:val="24"/>
          <w:szCs w:val="24"/>
        </w:rPr>
        <w:t>[</w:t>
      </w:r>
      <w:r w:rsidR="00626379" w:rsidRPr="00100FF7">
        <w:rPr>
          <w:rFonts w:ascii="Times New Roman" w:hAnsi="Times New Roman" w:cs="Times New Roman"/>
          <w:sz w:val="24"/>
          <w:szCs w:val="24"/>
        </w:rPr>
        <w:t xml:space="preserve">using </w:t>
      </w:r>
      <w:r w:rsidR="00A27746" w:rsidRPr="00100FF7">
        <w:rPr>
          <w:rFonts w:ascii="Times New Roman" w:hAnsi="Times New Roman" w:cs="Times New Roman"/>
          <w:sz w:val="24"/>
          <w:szCs w:val="24"/>
        </w:rPr>
        <w:t xml:space="preserve">the Janssen </w:t>
      </w:r>
      <w:proofErr w:type="spellStart"/>
      <w:r w:rsidR="00A27746" w:rsidRPr="00100FF7">
        <w:rPr>
          <w:rFonts w:ascii="Times New Roman" w:eastAsia="Times New Roman" w:hAnsi="Times New Roman" w:cs="Times New Roman"/>
          <w:sz w:val="24"/>
          <w:szCs w:val="24"/>
          <w:lang w:eastAsia="en-GB"/>
        </w:rPr>
        <w:t>electrochemiluminescent</w:t>
      </w:r>
      <w:proofErr w:type="spellEnd"/>
      <w:r w:rsidR="00A27746" w:rsidRPr="00100F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immunoassay</w:t>
      </w:r>
      <w:r w:rsidR="00A27746" w:rsidRPr="00100FF7">
        <w:rPr>
          <w:rFonts w:ascii="Times New Roman" w:hAnsi="Times New Roman" w:cs="Times New Roman"/>
          <w:sz w:val="24"/>
          <w:szCs w:val="24"/>
        </w:rPr>
        <w:t xml:space="preserve"> (</w:t>
      </w:r>
      <w:r w:rsidR="00626379" w:rsidRPr="00100FF7">
        <w:rPr>
          <w:rFonts w:ascii="Times New Roman" w:hAnsi="Times New Roman" w:cs="Times New Roman"/>
          <w:sz w:val="24"/>
          <w:szCs w:val="24"/>
        </w:rPr>
        <w:t>ECLIA)</w:t>
      </w:r>
      <w:r w:rsidR="00A27746" w:rsidRPr="00100FF7">
        <w:rPr>
          <w:rFonts w:ascii="Times New Roman" w:hAnsi="Times New Roman" w:cs="Times New Roman"/>
          <w:sz w:val="24"/>
          <w:szCs w:val="24"/>
        </w:rPr>
        <w:t>]</w:t>
      </w:r>
      <w:r w:rsidR="00626379" w:rsidRPr="00100F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6379" w:rsidRPr="00100FF7"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 w:rsidR="00626379" w:rsidRPr="00100FF7">
        <w:rPr>
          <w:rFonts w:ascii="Times New Roman" w:hAnsi="Times New Roman" w:cs="Times New Roman"/>
          <w:sz w:val="24"/>
          <w:szCs w:val="24"/>
        </w:rPr>
        <w:t xml:space="preserve"> concentration cut-off of 2.5 </w:t>
      </w:r>
      <w:proofErr w:type="spellStart"/>
      <w:r w:rsidR="00626379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626379" w:rsidRPr="00100FF7">
        <w:rPr>
          <w:rFonts w:ascii="Times New Roman" w:hAnsi="Times New Roman" w:cs="Times New Roman"/>
          <w:sz w:val="24"/>
          <w:szCs w:val="24"/>
        </w:rPr>
        <w:t>/mL at week 6 for clinical response at week 6.</w:t>
      </w:r>
      <w:r w:rsidR="00626379" w:rsidRPr="00100FF7">
        <w:rPr>
          <w:rFonts w:ascii="Times New Roman" w:hAnsi="Times New Roman" w:cs="Times New Roman"/>
          <w:sz w:val="24"/>
          <w:szCs w:val="24"/>
          <w:vertAlign w:val="superscript"/>
        </w:rPr>
        <w:t xml:space="preserve">S1 </w:t>
      </w:r>
      <w:r w:rsidR="00B34CC1" w:rsidRPr="00100FF7">
        <w:rPr>
          <w:rFonts w:ascii="Times New Roman" w:hAnsi="Times New Roman" w:cs="Times New Roman"/>
          <w:sz w:val="24"/>
          <w:szCs w:val="24"/>
        </w:rPr>
        <w:t>The same study</w:t>
      </w:r>
      <w:r w:rsidR="00B34CC1" w:rsidRPr="00100F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34CC1" w:rsidRPr="00100FF7">
        <w:rPr>
          <w:rFonts w:ascii="Times New Roman" w:hAnsi="Times New Roman" w:cs="Times New Roman"/>
          <w:sz w:val="24"/>
          <w:szCs w:val="24"/>
        </w:rPr>
        <w:t xml:space="preserve">identified a </w:t>
      </w:r>
      <w:proofErr w:type="spellStart"/>
      <w:r w:rsidR="00B34CC1" w:rsidRPr="00100FF7"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 w:rsidR="00B34CC1" w:rsidRPr="00100FF7">
        <w:rPr>
          <w:rFonts w:ascii="Times New Roman" w:hAnsi="Times New Roman" w:cs="Times New Roman"/>
          <w:sz w:val="24"/>
          <w:szCs w:val="24"/>
        </w:rPr>
        <w:t xml:space="preserve"> concentration cut-off of 0.9 </w:t>
      </w:r>
      <w:proofErr w:type="spellStart"/>
      <w:r w:rsidR="00B34CC1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B34CC1" w:rsidRPr="00100FF7">
        <w:rPr>
          <w:rFonts w:ascii="Times New Roman" w:hAnsi="Times New Roman" w:cs="Times New Roman"/>
          <w:sz w:val="24"/>
          <w:szCs w:val="24"/>
        </w:rPr>
        <w:t xml:space="preserve">/mL at week 28 and 1.4 </w:t>
      </w:r>
      <w:proofErr w:type="spellStart"/>
      <w:r w:rsidR="00B34CC1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B34CC1" w:rsidRPr="00100FF7">
        <w:rPr>
          <w:rFonts w:ascii="Times New Roman" w:hAnsi="Times New Roman" w:cs="Times New Roman"/>
          <w:sz w:val="24"/>
          <w:szCs w:val="24"/>
        </w:rPr>
        <w:t>/mL at week 44 for clinical remission at week 54.</w:t>
      </w:r>
      <w:r w:rsidR="00B34CC1" w:rsidRPr="00100FF7">
        <w:rPr>
          <w:rFonts w:ascii="Times New Roman" w:hAnsi="Times New Roman" w:cs="Times New Roman"/>
          <w:sz w:val="24"/>
          <w:szCs w:val="24"/>
          <w:vertAlign w:val="superscript"/>
        </w:rPr>
        <w:t>S1</w:t>
      </w:r>
      <w:r w:rsidR="009A274A" w:rsidRPr="00100FF7">
        <w:rPr>
          <w:rFonts w:ascii="Times New Roman" w:hAnsi="Times New Roman" w:cs="Times New Roman"/>
          <w:sz w:val="24"/>
          <w:szCs w:val="24"/>
        </w:rPr>
        <w:t xml:space="preserve"> </w:t>
      </w:r>
      <w:r w:rsidR="0017463D" w:rsidRPr="00100FF7">
        <w:rPr>
          <w:rFonts w:ascii="Times New Roman" w:hAnsi="Times New Roman" w:cs="Times New Roman"/>
          <w:sz w:val="24"/>
          <w:szCs w:val="24"/>
        </w:rPr>
        <w:t xml:space="preserve">A study by </w:t>
      </w:r>
      <w:proofErr w:type="spellStart"/>
      <w:r w:rsidR="0017463D" w:rsidRPr="00100FF7">
        <w:rPr>
          <w:rFonts w:ascii="Times New Roman" w:hAnsi="Times New Roman" w:cs="Times New Roman"/>
          <w:sz w:val="24"/>
          <w:szCs w:val="24"/>
        </w:rPr>
        <w:t>Dreesen</w:t>
      </w:r>
      <w:proofErr w:type="spellEnd"/>
      <w:r w:rsidR="0017463D" w:rsidRPr="00100FF7">
        <w:rPr>
          <w:rFonts w:ascii="Times New Roman" w:hAnsi="Times New Roman" w:cs="Times New Roman"/>
          <w:sz w:val="24"/>
          <w:szCs w:val="24"/>
        </w:rPr>
        <w:t xml:space="preserve"> et al. in patients with UC identified (using an in-house ELISA) a </w:t>
      </w:r>
      <w:proofErr w:type="spellStart"/>
      <w:r w:rsidR="0017463D" w:rsidRPr="00100FF7"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 w:rsidR="0017463D" w:rsidRPr="00100FF7">
        <w:rPr>
          <w:rFonts w:ascii="Times New Roman" w:hAnsi="Times New Roman" w:cs="Times New Roman"/>
          <w:sz w:val="24"/>
          <w:szCs w:val="24"/>
        </w:rPr>
        <w:t xml:space="preserve"> concentration cut-off of 7.4 </w:t>
      </w:r>
      <w:proofErr w:type="spellStart"/>
      <w:r w:rsidR="0017463D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17463D" w:rsidRPr="00100FF7">
        <w:rPr>
          <w:rFonts w:ascii="Times New Roman" w:hAnsi="Times New Roman" w:cs="Times New Roman"/>
          <w:sz w:val="24"/>
          <w:szCs w:val="24"/>
        </w:rPr>
        <w:t xml:space="preserve">/mL at week 6 </w:t>
      </w:r>
      <w:r w:rsidR="00100FF7">
        <w:rPr>
          <w:rFonts w:ascii="Times New Roman" w:hAnsi="Times New Roman" w:cs="Times New Roman"/>
          <w:sz w:val="24"/>
          <w:szCs w:val="24"/>
        </w:rPr>
        <w:t xml:space="preserve">and </w:t>
      </w:r>
      <w:r w:rsidR="00100FF7" w:rsidRPr="00100FF7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="00100FF7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100FF7" w:rsidRPr="00100FF7">
        <w:rPr>
          <w:rFonts w:ascii="Times New Roman" w:hAnsi="Times New Roman" w:cs="Times New Roman"/>
          <w:sz w:val="24"/>
          <w:szCs w:val="24"/>
        </w:rPr>
        <w:t xml:space="preserve">/mL at week 14 </w:t>
      </w:r>
      <w:r w:rsidR="0017463D" w:rsidRPr="00100FF7">
        <w:rPr>
          <w:rFonts w:ascii="Times New Roman" w:hAnsi="Times New Roman" w:cs="Times New Roman"/>
          <w:sz w:val="24"/>
          <w:szCs w:val="24"/>
        </w:rPr>
        <w:t>for endoscopic remission (Mayo endoscopic score &lt;2) at week 14.</w:t>
      </w:r>
      <w:r w:rsidR="00626379" w:rsidRPr="00100FF7">
        <w:rPr>
          <w:rFonts w:ascii="Times New Roman" w:hAnsi="Times New Roman" w:cs="Times New Roman"/>
          <w:sz w:val="24"/>
          <w:szCs w:val="24"/>
          <w:vertAlign w:val="superscript"/>
        </w:rPr>
        <w:t>S2</w:t>
      </w:r>
      <w:r w:rsidR="0017463D" w:rsidRPr="0010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F7" w:rsidRDefault="00100FF7" w:rsidP="009F20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000" w:rsidRPr="00100FF7" w:rsidRDefault="00827C74" w:rsidP="009F20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F7">
        <w:rPr>
          <w:rFonts w:ascii="Times New Roman" w:hAnsi="Times New Roman" w:cs="Times New Roman"/>
          <w:b/>
          <w:sz w:val="24"/>
          <w:szCs w:val="24"/>
        </w:rPr>
        <w:t xml:space="preserve">Supportive text </w:t>
      </w:r>
      <w:r w:rsidR="009F2000" w:rsidRPr="00100FF7">
        <w:rPr>
          <w:rFonts w:ascii="Times New Roman" w:hAnsi="Times New Roman" w:cs="Times New Roman"/>
          <w:b/>
          <w:sz w:val="24"/>
          <w:szCs w:val="24"/>
        </w:rPr>
        <w:t>for statements 44-46</w:t>
      </w:r>
      <w:r w:rsidR="009F2000" w:rsidRPr="0010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9E" w:rsidRPr="00B77BA5" w:rsidRDefault="00AC2BB8" w:rsidP="00AD699E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FF7">
        <w:rPr>
          <w:rFonts w:ascii="Times New Roman" w:hAnsi="Times New Roman" w:cs="Times New Roman"/>
          <w:sz w:val="24"/>
          <w:szCs w:val="24"/>
        </w:rPr>
        <w:t>A Propensity-score-based case-matching analysis using data from GEMINI 1</w:t>
      </w:r>
      <w:r w:rsidR="00C970AF" w:rsidRPr="00100FF7">
        <w:rPr>
          <w:rFonts w:ascii="Times New Roman" w:hAnsi="Times New Roman" w:cs="Times New Roman"/>
          <w:sz w:val="24"/>
          <w:szCs w:val="24"/>
        </w:rPr>
        <w:t xml:space="preserve"> [A Study of </w:t>
      </w:r>
      <w:proofErr w:type="spellStart"/>
      <w:r w:rsidR="00C970AF" w:rsidRPr="00100FF7"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 w:rsidR="00C970AF" w:rsidRPr="00100FF7">
        <w:rPr>
          <w:rFonts w:ascii="Times New Roman" w:hAnsi="Times New Roman" w:cs="Times New Roman"/>
          <w:sz w:val="24"/>
          <w:szCs w:val="24"/>
        </w:rPr>
        <w:t xml:space="preserve"> (MLN0002) in Patients With Moderate to Severe Ulcerative Colitis]</w:t>
      </w:r>
      <w:r w:rsidRPr="00100FF7">
        <w:rPr>
          <w:rFonts w:ascii="Times New Roman" w:hAnsi="Times New Roman" w:cs="Times New Roman"/>
          <w:sz w:val="24"/>
          <w:szCs w:val="24"/>
        </w:rPr>
        <w:t xml:space="preserve"> and an earlier large population pharmacokinetic study</w:t>
      </w:r>
      <w:r w:rsidR="00306C97" w:rsidRPr="00100FF7">
        <w:rPr>
          <w:rFonts w:ascii="Times New Roman" w:hAnsi="Times New Roman" w:cs="Times New Roman"/>
          <w:sz w:val="24"/>
          <w:szCs w:val="24"/>
        </w:rPr>
        <w:t xml:space="preserve"> showed that</w:t>
      </w:r>
      <w:r w:rsidRPr="00100FF7">
        <w:rPr>
          <w:rFonts w:ascii="Times New Roman" w:hAnsi="Times New Roman" w:cs="Times New Roman"/>
          <w:sz w:val="24"/>
          <w:szCs w:val="24"/>
        </w:rPr>
        <w:t xml:space="preserve"> </w:t>
      </w:r>
      <w:r w:rsidR="00306C97" w:rsidRPr="00100FF7">
        <w:rPr>
          <w:rFonts w:ascii="Times New Roman" w:hAnsi="Times New Roman" w:cs="Times New Roman"/>
          <w:sz w:val="24"/>
          <w:szCs w:val="24"/>
        </w:rPr>
        <w:t xml:space="preserve">potential target </w:t>
      </w:r>
      <w:proofErr w:type="spellStart"/>
      <w:r w:rsidR="00306C97" w:rsidRPr="00100FF7"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 w:rsidR="00306C97" w:rsidRPr="00100FF7">
        <w:rPr>
          <w:rFonts w:ascii="Times New Roman" w:hAnsi="Times New Roman" w:cs="Times New Roman"/>
          <w:sz w:val="24"/>
          <w:szCs w:val="24"/>
        </w:rPr>
        <w:t xml:space="preserve"> concentrations at weeks 6, 14 and steady state </w:t>
      </w:r>
      <w:r w:rsidR="0027208E" w:rsidRPr="00100FF7">
        <w:rPr>
          <w:rFonts w:ascii="Times New Roman" w:hAnsi="Times New Roman" w:cs="Times New Roman"/>
          <w:sz w:val="24"/>
          <w:szCs w:val="24"/>
        </w:rPr>
        <w:t xml:space="preserve">(measured by an in-house ELISA) </w:t>
      </w:r>
      <w:r w:rsidR="00306C97" w:rsidRPr="00100FF7">
        <w:rPr>
          <w:rFonts w:ascii="Times New Roman" w:hAnsi="Times New Roman" w:cs="Times New Roman"/>
          <w:sz w:val="24"/>
          <w:szCs w:val="24"/>
        </w:rPr>
        <w:t>were 37.1, 18.4 and 12.7 µg/mL</w:t>
      </w:r>
      <w:r w:rsidR="0027208E" w:rsidRPr="00100FF7">
        <w:rPr>
          <w:rFonts w:ascii="Times New Roman" w:hAnsi="Times New Roman" w:cs="Times New Roman"/>
          <w:sz w:val="24"/>
          <w:szCs w:val="24"/>
        </w:rPr>
        <w:t>,</w:t>
      </w:r>
      <w:r w:rsidR="00306C97" w:rsidRPr="00100FF7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100FF7">
        <w:rPr>
          <w:rFonts w:ascii="Times New Roman" w:hAnsi="Times New Roman" w:cs="Times New Roman"/>
          <w:sz w:val="24"/>
          <w:szCs w:val="24"/>
        </w:rPr>
        <w:t>.</w:t>
      </w:r>
      <w:r w:rsidR="00C970AF" w:rsidRPr="00100FF7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="00AD699E" w:rsidRPr="00100FF7">
        <w:rPr>
          <w:rFonts w:ascii="Times New Roman" w:hAnsi="Times New Roman" w:cs="Times New Roman"/>
          <w:sz w:val="24"/>
          <w:szCs w:val="24"/>
        </w:rPr>
        <w:t xml:space="preserve"> A prospective study including 101 patients with IBD identified (using an ELISA) a </w:t>
      </w:r>
      <w:proofErr w:type="spellStart"/>
      <w:r w:rsidR="00AD699E" w:rsidRPr="00100FF7"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 w:rsidR="00AD699E" w:rsidRPr="00100FF7">
        <w:rPr>
          <w:rFonts w:ascii="Times New Roman" w:hAnsi="Times New Roman" w:cs="Times New Roman"/>
          <w:sz w:val="24"/>
          <w:szCs w:val="24"/>
        </w:rPr>
        <w:t xml:space="preserve"> concentration cut-off of 29.9 </w:t>
      </w:r>
      <w:proofErr w:type="spellStart"/>
      <w:r w:rsidR="00AD699E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AD699E" w:rsidRPr="00100FF7">
        <w:rPr>
          <w:rFonts w:ascii="Times New Roman" w:hAnsi="Times New Roman" w:cs="Times New Roman"/>
          <w:sz w:val="24"/>
          <w:szCs w:val="24"/>
        </w:rPr>
        <w:t>/mL at week 6 for clinical remission at week 14.</w:t>
      </w:r>
      <w:r w:rsidR="00A27746" w:rsidRPr="00100FF7">
        <w:rPr>
          <w:rFonts w:ascii="Times New Roman" w:hAnsi="Times New Roman" w:cs="Times New Roman"/>
          <w:sz w:val="24"/>
          <w:szCs w:val="24"/>
          <w:vertAlign w:val="superscript"/>
        </w:rPr>
        <w:t>S3</w:t>
      </w:r>
      <w:r w:rsidR="00AD699E" w:rsidRPr="00100FF7">
        <w:rPr>
          <w:rFonts w:ascii="Times New Roman" w:hAnsi="Times New Roman" w:cs="Times New Roman"/>
          <w:sz w:val="24"/>
          <w:szCs w:val="24"/>
        </w:rPr>
        <w:t xml:space="preserve"> The same study identified a </w:t>
      </w:r>
      <w:proofErr w:type="spellStart"/>
      <w:r w:rsidR="002F3345" w:rsidRPr="00100FF7"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 w:rsidR="002F3345" w:rsidRPr="00100FF7">
        <w:rPr>
          <w:rFonts w:ascii="Times New Roman" w:hAnsi="Times New Roman" w:cs="Times New Roman"/>
          <w:sz w:val="24"/>
          <w:szCs w:val="24"/>
        </w:rPr>
        <w:t xml:space="preserve"> </w:t>
      </w:r>
      <w:r w:rsidR="00AD699E" w:rsidRPr="00100FF7">
        <w:rPr>
          <w:rFonts w:ascii="Times New Roman" w:hAnsi="Times New Roman" w:cs="Times New Roman"/>
          <w:sz w:val="24"/>
          <w:szCs w:val="24"/>
        </w:rPr>
        <w:t xml:space="preserve">concentration cut-off of </w:t>
      </w:r>
      <w:r w:rsidR="002F3345" w:rsidRPr="00100FF7">
        <w:rPr>
          <w:rFonts w:ascii="Times New Roman" w:hAnsi="Times New Roman" w:cs="Times New Roman"/>
          <w:sz w:val="24"/>
          <w:szCs w:val="24"/>
        </w:rPr>
        <w:t>16</w:t>
      </w:r>
      <w:r w:rsidR="00AD699E" w:rsidRPr="00100FF7">
        <w:rPr>
          <w:rFonts w:ascii="Times New Roman" w:hAnsi="Times New Roman" w:cs="Times New Roman"/>
          <w:sz w:val="24"/>
          <w:szCs w:val="24"/>
        </w:rPr>
        <w:t>.</w:t>
      </w:r>
      <w:r w:rsidR="002F3345" w:rsidRPr="00100FF7">
        <w:rPr>
          <w:rFonts w:ascii="Times New Roman" w:hAnsi="Times New Roman" w:cs="Times New Roman"/>
          <w:sz w:val="24"/>
          <w:szCs w:val="24"/>
        </w:rPr>
        <w:t>6</w:t>
      </w:r>
      <w:r w:rsidR="00AD699E" w:rsidRPr="0010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99E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AD699E" w:rsidRPr="00100FF7">
        <w:rPr>
          <w:rFonts w:ascii="Times New Roman" w:hAnsi="Times New Roman" w:cs="Times New Roman"/>
          <w:sz w:val="24"/>
          <w:szCs w:val="24"/>
        </w:rPr>
        <w:t xml:space="preserve">/mL at week 14 for </w:t>
      </w:r>
      <w:r w:rsidR="002F3345" w:rsidRPr="00100FF7">
        <w:rPr>
          <w:rFonts w:ascii="Times New Roman" w:hAnsi="Times New Roman" w:cs="Times New Roman"/>
          <w:sz w:val="24"/>
          <w:szCs w:val="24"/>
        </w:rPr>
        <w:t>drug persistence within the first year of therapy</w:t>
      </w:r>
      <w:r w:rsidR="00AD699E" w:rsidRPr="00100FF7">
        <w:rPr>
          <w:rFonts w:ascii="Times New Roman" w:hAnsi="Times New Roman" w:cs="Times New Roman"/>
          <w:sz w:val="24"/>
          <w:szCs w:val="24"/>
        </w:rPr>
        <w:t>.</w:t>
      </w:r>
      <w:r w:rsidR="00A27746" w:rsidRPr="00100FF7">
        <w:rPr>
          <w:rFonts w:ascii="Times New Roman" w:hAnsi="Times New Roman" w:cs="Times New Roman"/>
          <w:sz w:val="24"/>
          <w:szCs w:val="24"/>
          <w:vertAlign w:val="superscript"/>
        </w:rPr>
        <w:t>S3</w:t>
      </w:r>
      <w:r w:rsidR="005929A4" w:rsidRPr="00100FF7">
        <w:rPr>
          <w:rFonts w:ascii="Times New Roman" w:hAnsi="Times New Roman" w:cs="Times New Roman"/>
          <w:sz w:val="24"/>
          <w:szCs w:val="24"/>
        </w:rPr>
        <w:t xml:space="preserve"> The prospective LOVE-CD (</w:t>
      </w:r>
      <w:r w:rsidR="00F80974" w:rsidRPr="00100FF7">
        <w:rPr>
          <w:rFonts w:ascii="Times New Roman" w:hAnsi="Times New Roman" w:cs="Times New Roman"/>
          <w:sz w:val="24"/>
          <w:szCs w:val="24"/>
        </w:rPr>
        <w:t xml:space="preserve">A Study to Evaluate Efficacy, of Early Versus Late Use of </w:t>
      </w:r>
      <w:proofErr w:type="spellStart"/>
      <w:r w:rsidR="00F80974" w:rsidRPr="00100FF7"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 w:rsidR="00F80974" w:rsidRPr="00100FF7">
        <w:rPr>
          <w:rFonts w:ascii="Times New Roman" w:hAnsi="Times New Roman" w:cs="Times New Roman"/>
          <w:sz w:val="24"/>
          <w:szCs w:val="24"/>
        </w:rPr>
        <w:t xml:space="preserve"> in Crohn's Disease) </w:t>
      </w:r>
      <w:r w:rsidR="005929A4" w:rsidRPr="00100FF7">
        <w:rPr>
          <w:rFonts w:ascii="Times New Roman" w:hAnsi="Times New Roman" w:cs="Times New Roman"/>
          <w:sz w:val="24"/>
          <w:szCs w:val="24"/>
        </w:rPr>
        <w:t xml:space="preserve">study </w:t>
      </w:r>
      <w:r w:rsidR="008966E0" w:rsidRPr="00100FF7">
        <w:rPr>
          <w:rFonts w:ascii="Times New Roman" w:hAnsi="Times New Roman" w:cs="Times New Roman"/>
          <w:sz w:val="24"/>
          <w:szCs w:val="24"/>
        </w:rPr>
        <w:t xml:space="preserve">identified (using an ELISA) a </w:t>
      </w:r>
      <w:proofErr w:type="spellStart"/>
      <w:r w:rsidR="008966E0" w:rsidRPr="00100FF7"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 w:rsidR="008966E0" w:rsidRPr="00100FF7">
        <w:rPr>
          <w:rFonts w:ascii="Times New Roman" w:hAnsi="Times New Roman" w:cs="Times New Roman"/>
          <w:sz w:val="24"/>
          <w:szCs w:val="24"/>
        </w:rPr>
        <w:t xml:space="preserve"> </w:t>
      </w:r>
      <w:r w:rsidR="008966E0" w:rsidRPr="00100FF7">
        <w:rPr>
          <w:rFonts w:ascii="Times New Roman" w:hAnsi="Times New Roman" w:cs="Times New Roman"/>
          <w:sz w:val="24"/>
          <w:szCs w:val="24"/>
        </w:rPr>
        <w:lastRenderedPageBreak/>
        <w:t xml:space="preserve">concentration cut-off of </w:t>
      </w:r>
      <w:r w:rsidR="00B15760" w:rsidRPr="00100FF7">
        <w:rPr>
          <w:rFonts w:ascii="Times New Roman" w:hAnsi="Times New Roman" w:cs="Times New Roman"/>
          <w:sz w:val="24"/>
          <w:szCs w:val="24"/>
        </w:rPr>
        <w:t>10</w:t>
      </w:r>
      <w:r w:rsidR="008966E0" w:rsidRPr="0010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6E0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8966E0" w:rsidRPr="00100FF7">
        <w:rPr>
          <w:rFonts w:ascii="Times New Roman" w:hAnsi="Times New Roman" w:cs="Times New Roman"/>
          <w:sz w:val="24"/>
          <w:szCs w:val="24"/>
        </w:rPr>
        <w:t xml:space="preserve">/mL </w:t>
      </w:r>
      <w:r w:rsidR="00B15760" w:rsidRPr="00100FF7">
        <w:rPr>
          <w:rFonts w:ascii="Times New Roman" w:hAnsi="Times New Roman" w:cs="Times New Roman"/>
          <w:sz w:val="24"/>
          <w:szCs w:val="24"/>
        </w:rPr>
        <w:t>at week 22</w:t>
      </w:r>
      <w:r w:rsidR="008966E0" w:rsidRPr="00100FF7">
        <w:rPr>
          <w:rFonts w:ascii="Times New Roman" w:hAnsi="Times New Roman" w:cs="Times New Roman"/>
          <w:sz w:val="24"/>
          <w:szCs w:val="24"/>
        </w:rPr>
        <w:t xml:space="preserve"> for </w:t>
      </w:r>
      <w:r w:rsidR="00B15760" w:rsidRPr="00100FF7">
        <w:rPr>
          <w:rFonts w:ascii="Times New Roman" w:hAnsi="Times New Roman" w:cs="Times New Roman"/>
          <w:sz w:val="24"/>
          <w:szCs w:val="24"/>
        </w:rPr>
        <w:t>endoscopic</w:t>
      </w:r>
      <w:r w:rsidR="008966E0" w:rsidRPr="00100FF7">
        <w:rPr>
          <w:rFonts w:ascii="Times New Roman" w:hAnsi="Times New Roman" w:cs="Times New Roman"/>
          <w:sz w:val="24"/>
          <w:szCs w:val="24"/>
        </w:rPr>
        <w:t xml:space="preserve"> remission at week </w:t>
      </w:r>
      <w:r w:rsidR="00B15760" w:rsidRPr="00100FF7">
        <w:rPr>
          <w:rFonts w:ascii="Times New Roman" w:hAnsi="Times New Roman" w:cs="Times New Roman"/>
          <w:sz w:val="24"/>
          <w:szCs w:val="24"/>
        </w:rPr>
        <w:t>26</w:t>
      </w:r>
      <w:r w:rsidR="008966E0" w:rsidRPr="00100FF7">
        <w:rPr>
          <w:rFonts w:ascii="Times New Roman" w:hAnsi="Times New Roman" w:cs="Times New Roman"/>
          <w:sz w:val="24"/>
          <w:szCs w:val="24"/>
        </w:rPr>
        <w:t>.</w:t>
      </w:r>
      <w:r w:rsidR="00A27746" w:rsidRPr="00100FF7">
        <w:rPr>
          <w:rFonts w:ascii="Times New Roman" w:hAnsi="Times New Roman" w:cs="Times New Roman"/>
          <w:sz w:val="24"/>
          <w:szCs w:val="24"/>
          <w:vertAlign w:val="superscript"/>
        </w:rPr>
        <w:t>S4</w:t>
      </w:r>
      <w:r w:rsidR="00B15760" w:rsidRPr="00100FF7">
        <w:rPr>
          <w:rFonts w:ascii="Times New Roman" w:hAnsi="Times New Roman" w:cs="Times New Roman"/>
          <w:sz w:val="24"/>
          <w:szCs w:val="24"/>
        </w:rPr>
        <w:t xml:space="preserve"> A large cross-sectional multi-centre study of patients with IBD on maintenance </w:t>
      </w:r>
      <w:proofErr w:type="spellStart"/>
      <w:r w:rsidR="00B15760" w:rsidRPr="00100FF7"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 w:rsidR="00B15760" w:rsidRPr="00100FF7">
        <w:rPr>
          <w:rFonts w:ascii="Times New Roman" w:hAnsi="Times New Roman" w:cs="Times New Roman"/>
          <w:sz w:val="24"/>
          <w:szCs w:val="24"/>
        </w:rPr>
        <w:t xml:space="preserve"> therapy identified </w:t>
      </w:r>
      <w:r w:rsidR="003F63EA" w:rsidRPr="00100FF7">
        <w:rPr>
          <w:rFonts w:ascii="Times New Roman" w:hAnsi="Times New Roman" w:cs="Times New Roman"/>
          <w:sz w:val="24"/>
          <w:szCs w:val="24"/>
        </w:rPr>
        <w:t>[</w:t>
      </w:r>
      <w:r w:rsidR="00B15760" w:rsidRPr="00100FF7">
        <w:rPr>
          <w:rFonts w:ascii="Times New Roman" w:hAnsi="Times New Roman" w:cs="Times New Roman"/>
          <w:sz w:val="24"/>
          <w:szCs w:val="24"/>
        </w:rPr>
        <w:t xml:space="preserve">using </w:t>
      </w:r>
      <w:r w:rsidR="003F63EA" w:rsidRPr="00100FF7">
        <w:rPr>
          <w:rFonts w:ascii="Times New Roman" w:hAnsi="Times New Roman" w:cs="Times New Roman"/>
          <w:sz w:val="24"/>
          <w:szCs w:val="24"/>
        </w:rPr>
        <w:t>the homogenous mobility shift assay (</w:t>
      </w:r>
      <w:r w:rsidR="00B15760" w:rsidRPr="00100FF7">
        <w:rPr>
          <w:rFonts w:ascii="Times New Roman" w:hAnsi="Times New Roman" w:cs="Times New Roman"/>
          <w:sz w:val="24"/>
          <w:szCs w:val="24"/>
        </w:rPr>
        <w:t>HMSA)</w:t>
      </w:r>
      <w:r w:rsidR="003F63EA" w:rsidRPr="00100FF7">
        <w:rPr>
          <w:rFonts w:ascii="Times New Roman" w:hAnsi="Times New Roman" w:cs="Times New Roman"/>
          <w:sz w:val="24"/>
          <w:szCs w:val="24"/>
        </w:rPr>
        <w:t>]</w:t>
      </w:r>
      <w:r w:rsidR="00B15760" w:rsidRPr="00100F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15760" w:rsidRPr="00100FF7"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 w:rsidR="00B15760" w:rsidRPr="00100FF7">
        <w:rPr>
          <w:rFonts w:ascii="Times New Roman" w:hAnsi="Times New Roman" w:cs="Times New Roman"/>
          <w:sz w:val="24"/>
          <w:szCs w:val="24"/>
        </w:rPr>
        <w:t xml:space="preserve"> concentration cut-off of </w:t>
      </w:r>
      <w:r w:rsidR="00640BE2" w:rsidRPr="00100FF7">
        <w:rPr>
          <w:rFonts w:ascii="Times New Roman" w:hAnsi="Times New Roman" w:cs="Times New Roman"/>
          <w:sz w:val="24"/>
          <w:szCs w:val="24"/>
        </w:rPr>
        <w:t>11.5</w:t>
      </w:r>
      <w:r w:rsidR="00B15760" w:rsidRPr="0010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760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B15760" w:rsidRPr="00100FF7">
        <w:rPr>
          <w:rFonts w:ascii="Times New Roman" w:hAnsi="Times New Roman" w:cs="Times New Roman"/>
          <w:sz w:val="24"/>
          <w:szCs w:val="24"/>
        </w:rPr>
        <w:t xml:space="preserve">/mL </w:t>
      </w:r>
      <w:r w:rsidR="00640BE2" w:rsidRPr="00100FF7">
        <w:rPr>
          <w:rFonts w:ascii="Times New Roman" w:hAnsi="Times New Roman" w:cs="Times New Roman"/>
          <w:sz w:val="24"/>
          <w:szCs w:val="24"/>
        </w:rPr>
        <w:t>and 14.8</w:t>
      </w:r>
      <w:r w:rsidR="00B15760" w:rsidRPr="0010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E2" w:rsidRPr="00100FF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640BE2" w:rsidRPr="00100FF7">
        <w:rPr>
          <w:rFonts w:ascii="Times New Roman" w:hAnsi="Times New Roman" w:cs="Times New Roman"/>
          <w:sz w:val="24"/>
          <w:szCs w:val="24"/>
        </w:rPr>
        <w:t xml:space="preserve">/mL </w:t>
      </w:r>
      <w:r w:rsidR="00B15760" w:rsidRPr="00100FF7">
        <w:rPr>
          <w:rFonts w:ascii="Times New Roman" w:hAnsi="Times New Roman" w:cs="Times New Roman"/>
          <w:sz w:val="24"/>
          <w:szCs w:val="24"/>
        </w:rPr>
        <w:t xml:space="preserve">for </w:t>
      </w:r>
      <w:r w:rsidR="00640BE2" w:rsidRPr="00100FF7">
        <w:rPr>
          <w:rFonts w:ascii="Times New Roman" w:hAnsi="Times New Roman" w:cs="Times New Roman"/>
          <w:sz w:val="24"/>
          <w:szCs w:val="24"/>
        </w:rPr>
        <w:t>corticosteroid-free combined clinical and biochemical remission and for corticosteroid-free deep remission, respectively</w:t>
      </w:r>
      <w:r w:rsidR="00B15760" w:rsidRPr="00100FF7">
        <w:rPr>
          <w:rFonts w:ascii="Times New Roman" w:hAnsi="Times New Roman" w:cs="Times New Roman"/>
          <w:sz w:val="24"/>
          <w:szCs w:val="24"/>
        </w:rPr>
        <w:t>.</w:t>
      </w:r>
      <w:r w:rsidR="00B15760" w:rsidRPr="00100FF7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="00B15760" w:rsidRPr="00100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000" w:rsidRPr="00B77BA5" w:rsidRDefault="009F2000" w:rsidP="009F2000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9B9" w:rsidRPr="0068411A" w:rsidRDefault="00827C74" w:rsidP="008519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A">
        <w:rPr>
          <w:rFonts w:ascii="Times New Roman" w:hAnsi="Times New Roman" w:cs="Times New Roman"/>
          <w:b/>
          <w:sz w:val="24"/>
          <w:szCs w:val="24"/>
        </w:rPr>
        <w:t xml:space="preserve">Supportive text </w:t>
      </w:r>
      <w:r w:rsidR="008519B9" w:rsidRPr="0068411A">
        <w:rPr>
          <w:rFonts w:ascii="Times New Roman" w:hAnsi="Times New Roman" w:cs="Times New Roman"/>
          <w:b/>
          <w:sz w:val="24"/>
          <w:szCs w:val="24"/>
        </w:rPr>
        <w:t>for statement</w:t>
      </w:r>
      <w:r w:rsidR="009F2000" w:rsidRPr="0068411A">
        <w:rPr>
          <w:rFonts w:ascii="Times New Roman" w:hAnsi="Times New Roman" w:cs="Times New Roman"/>
          <w:b/>
          <w:sz w:val="24"/>
          <w:szCs w:val="24"/>
        </w:rPr>
        <w:t>s 47 and</w:t>
      </w:r>
      <w:r w:rsidRPr="0068411A">
        <w:rPr>
          <w:rFonts w:ascii="Times New Roman" w:hAnsi="Times New Roman" w:cs="Times New Roman"/>
          <w:b/>
          <w:sz w:val="24"/>
          <w:szCs w:val="24"/>
        </w:rPr>
        <w:t xml:space="preserve"> 48</w:t>
      </w:r>
      <w:r w:rsidR="008519B9" w:rsidRPr="0068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46" w:rsidRPr="00B77BA5" w:rsidRDefault="008519B9" w:rsidP="008519B9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411A">
        <w:rPr>
          <w:rFonts w:ascii="Times New Roman" w:hAnsi="Times New Roman" w:cs="Times New Roman"/>
          <w:sz w:val="24"/>
          <w:szCs w:val="24"/>
        </w:rPr>
        <w:t xml:space="preserve">The UNITI (A Study to Evaluate the Safety and Efficacy of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Induction Therapy in Subjects With Moderately to Severely Active Crohn’s Disease) RCT regarding mainte</w:t>
      </w:r>
      <w:r w:rsidR="00CF1656" w:rsidRPr="0068411A">
        <w:rPr>
          <w:rFonts w:ascii="Times New Roman" w:hAnsi="Times New Roman" w:cs="Times New Roman"/>
          <w:sz w:val="24"/>
          <w:szCs w:val="24"/>
        </w:rPr>
        <w:t>nance therapy (</w:t>
      </w:r>
      <w:r w:rsidRPr="0068411A">
        <w:rPr>
          <w:rFonts w:ascii="Times New Roman" w:hAnsi="Times New Roman" w:cs="Times New Roman"/>
          <w:sz w:val="24"/>
          <w:szCs w:val="24"/>
        </w:rPr>
        <w:t xml:space="preserve">using the Janssen </w:t>
      </w:r>
      <w:r w:rsidR="00CF1656" w:rsidRPr="0068411A">
        <w:rPr>
          <w:rFonts w:ascii="Times New Roman" w:hAnsi="Times New Roman" w:cs="Times New Roman"/>
          <w:sz w:val="24"/>
          <w:szCs w:val="24"/>
        </w:rPr>
        <w:t>ECLIA)</w:t>
      </w:r>
      <w:r w:rsidRPr="0068411A">
        <w:rPr>
          <w:rFonts w:ascii="Times New Roman" w:hAnsi="Times New Roman" w:cs="Times New Roman"/>
          <w:sz w:val="24"/>
          <w:szCs w:val="24"/>
        </w:rPr>
        <w:t xml:space="preserve"> identified an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concentration cut-off of 0.8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/ml </w:t>
      </w:r>
      <w:r w:rsidR="0068411A" w:rsidRPr="0068411A">
        <w:rPr>
          <w:rFonts w:ascii="Times New Roman" w:hAnsi="Times New Roman" w:cs="Times New Roman"/>
          <w:sz w:val="24"/>
          <w:szCs w:val="24"/>
        </w:rPr>
        <w:t xml:space="preserve">at week 24 </w:t>
      </w:r>
      <w:r w:rsidRPr="0068411A">
        <w:rPr>
          <w:rFonts w:ascii="Times New Roman" w:hAnsi="Times New Roman" w:cs="Times New Roman"/>
          <w:sz w:val="24"/>
          <w:szCs w:val="24"/>
        </w:rPr>
        <w:t xml:space="preserve">and 1.4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/ml </w:t>
      </w:r>
      <w:r w:rsidR="0068411A" w:rsidRPr="0068411A">
        <w:rPr>
          <w:rFonts w:ascii="Times New Roman" w:hAnsi="Times New Roman" w:cs="Times New Roman"/>
          <w:sz w:val="24"/>
          <w:szCs w:val="24"/>
        </w:rPr>
        <w:t>at week</w:t>
      </w:r>
      <w:r w:rsidRPr="0068411A">
        <w:rPr>
          <w:rFonts w:ascii="Times New Roman" w:hAnsi="Times New Roman" w:cs="Times New Roman"/>
          <w:sz w:val="24"/>
          <w:szCs w:val="24"/>
        </w:rPr>
        <w:t xml:space="preserve"> 40 for clinical remission at weeks 24 and 44, respectively.</w:t>
      </w:r>
      <w:r w:rsidRPr="0068411A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Pr="0068411A">
        <w:rPr>
          <w:rFonts w:ascii="Times New Roman" w:hAnsi="Times New Roman" w:cs="Times New Roman"/>
          <w:sz w:val="24"/>
          <w:szCs w:val="24"/>
        </w:rPr>
        <w:t xml:space="preserve"> </w:t>
      </w:r>
      <w:r w:rsidR="001C76F0" w:rsidRPr="0068411A">
        <w:rPr>
          <w:rFonts w:ascii="Times New Roman" w:hAnsi="Times New Roman" w:cs="Times New Roman"/>
          <w:sz w:val="24"/>
          <w:szCs w:val="24"/>
        </w:rPr>
        <w:t xml:space="preserve">The same study </w:t>
      </w:r>
      <w:r w:rsidR="00DF7472" w:rsidRPr="0068411A">
        <w:rPr>
          <w:rFonts w:ascii="Times New Roman" w:hAnsi="Times New Roman" w:cs="Times New Roman"/>
          <w:sz w:val="24"/>
          <w:szCs w:val="24"/>
        </w:rPr>
        <w:t xml:space="preserve">identified an </w:t>
      </w:r>
      <w:proofErr w:type="spellStart"/>
      <w:r w:rsidR="00DF7472"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="00DF7472" w:rsidRPr="0068411A">
        <w:rPr>
          <w:rFonts w:ascii="Times New Roman" w:hAnsi="Times New Roman" w:cs="Times New Roman"/>
          <w:sz w:val="24"/>
          <w:szCs w:val="24"/>
        </w:rPr>
        <w:t xml:space="preserve"> concentration cut-off of 3.3 </w:t>
      </w:r>
      <w:proofErr w:type="spellStart"/>
      <w:r w:rsidR="00DF7472"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DF7472" w:rsidRPr="0068411A">
        <w:rPr>
          <w:rFonts w:ascii="Times New Roman" w:hAnsi="Times New Roman" w:cs="Times New Roman"/>
          <w:sz w:val="24"/>
          <w:szCs w:val="24"/>
        </w:rPr>
        <w:t>/ml at week 8 for clinical remission at week 8.</w:t>
      </w:r>
      <w:r w:rsidR="00DF7472" w:rsidRPr="0068411A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="00216D40" w:rsidRPr="0068411A">
        <w:rPr>
          <w:rFonts w:ascii="Times New Roman" w:hAnsi="Times New Roman" w:cs="Times New Roman"/>
          <w:sz w:val="24"/>
          <w:szCs w:val="24"/>
        </w:rPr>
        <w:t xml:space="preserve"> </w:t>
      </w:r>
      <w:r w:rsidRPr="0068411A">
        <w:rPr>
          <w:rFonts w:ascii="Times New Roman" w:hAnsi="Times New Roman" w:cs="Times New Roman"/>
          <w:sz w:val="24"/>
          <w:szCs w:val="24"/>
        </w:rPr>
        <w:t xml:space="preserve">The UNIFI (A Study to Evaluate the Safety and Efficacy of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Induction Therapy in Subjects With Moderately to Severely Active Ulcerative Colitis) RCT regarding maintenance therapy (using the Janssen ECLIA) identified an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concentration cut-off of 1.1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/ml and 1.3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>/ml during maintenance therapy for endoscopic and histologic improvement at week 44, respectively.</w:t>
      </w:r>
      <w:r w:rsidRPr="0068411A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68411A">
        <w:rPr>
          <w:rFonts w:ascii="Times New Roman" w:hAnsi="Times New Roman" w:cs="Times New Roman"/>
          <w:sz w:val="24"/>
          <w:szCs w:val="24"/>
        </w:rPr>
        <w:t xml:space="preserve"> The same study identified an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concentration cut-off of </w:t>
      </w:r>
      <w:r w:rsidR="00FA3CBB" w:rsidRPr="0068411A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="00FA3CBB"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FA3CBB" w:rsidRPr="0068411A">
        <w:rPr>
          <w:rFonts w:ascii="Times New Roman" w:hAnsi="Times New Roman" w:cs="Times New Roman"/>
          <w:sz w:val="24"/>
          <w:szCs w:val="24"/>
        </w:rPr>
        <w:t xml:space="preserve">/ml and 3.7 </w:t>
      </w:r>
      <w:proofErr w:type="spellStart"/>
      <w:r w:rsidR="00FA3CBB"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FA3CBB" w:rsidRPr="0068411A">
        <w:rPr>
          <w:rFonts w:ascii="Times New Roman" w:hAnsi="Times New Roman" w:cs="Times New Roman"/>
          <w:sz w:val="24"/>
          <w:szCs w:val="24"/>
        </w:rPr>
        <w:t>/ml at week 8 for endoscopic and histologic improvement at week 8, respectively.</w:t>
      </w:r>
      <w:r w:rsidR="00FA3CBB" w:rsidRPr="0068411A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68411A">
        <w:rPr>
          <w:rFonts w:ascii="Times New Roman" w:hAnsi="Times New Roman" w:cs="Times New Roman"/>
          <w:sz w:val="24"/>
          <w:szCs w:val="24"/>
        </w:rPr>
        <w:t xml:space="preserve"> The prospective study by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Verstoc</w:t>
      </w:r>
      <w:r w:rsidR="004D5E31" w:rsidRPr="0068411A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4D5E31" w:rsidRPr="0068411A">
        <w:rPr>
          <w:rFonts w:ascii="Times New Roman" w:hAnsi="Times New Roman" w:cs="Times New Roman"/>
          <w:sz w:val="24"/>
          <w:szCs w:val="24"/>
        </w:rPr>
        <w:t xml:space="preserve"> et al. (using an in-house ELISA)</w:t>
      </w:r>
      <w:r w:rsidRPr="0068411A">
        <w:rPr>
          <w:rFonts w:ascii="Times New Roman" w:hAnsi="Times New Roman" w:cs="Times New Roman"/>
          <w:sz w:val="24"/>
          <w:szCs w:val="24"/>
        </w:rPr>
        <w:t xml:space="preserve"> identified an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concentration cut-off of 2.3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/ml </w:t>
      </w:r>
      <w:r w:rsidR="0068411A" w:rsidRPr="0068411A">
        <w:rPr>
          <w:rFonts w:ascii="Times New Roman" w:hAnsi="Times New Roman" w:cs="Times New Roman"/>
          <w:sz w:val="24"/>
          <w:szCs w:val="24"/>
        </w:rPr>
        <w:t xml:space="preserve">at week 16 </w:t>
      </w:r>
      <w:r w:rsidRPr="0068411A">
        <w:rPr>
          <w:rFonts w:ascii="Times New Roman" w:hAnsi="Times New Roman" w:cs="Times New Roman"/>
          <w:sz w:val="24"/>
          <w:szCs w:val="24"/>
        </w:rPr>
        <w:t xml:space="preserve">and 1.9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/ml </w:t>
      </w:r>
      <w:r w:rsidR="0068411A" w:rsidRPr="0068411A">
        <w:rPr>
          <w:rFonts w:ascii="Times New Roman" w:hAnsi="Times New Roman" w:cs="Times New Roman"/>
          <w:sz w:val="24"/>
          <w:szCs w:val="24"/>
        </w:rPr>
        <w:t xml:space="preserve">at week 24 </w:t>
      </w:r>
      <w:r w:rsidRPr="0068411A">
        <w:rPr>
          <w:rFonts w:ascii="Times New Roman" w:hAnsi="Times New Roman" w:cs="Times New Roman"/>
          <w:sz w:val="24"/>
          <w:szCs w:val="24"/>
        </w:rPr>
        <w:t>for endoscopic response at week 24.</w:t>
      </w:r>
      <w:r w:rsidRPr="0068411A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68411A">
        <w:rPr>
          <w:rFonts w:ascii="Times New Roman" w:hAnsi="Times New Roman" w:cs="Times New Roman"/>
          <w:sz w:val="24"/>
          <w:szCs w:val="24"/>
        </w:rPr>
        <w:t xml:space="preserve"> </w:t>
      </w:r>
      <w:r w:rsidR="00FA3CBB" w:rsidRPr="0068411A">
        <w:rPr>
          <w:rFonts w:ascii="Times New Roman" w:hAnsi="Times New Roman" w:cs="Times New Roman"/>
          <w:sz w:val="24"/>
          <w:szCs w:val="24"/>
        </w:rPr>
        <w:t xml:space="preserve">The same study identified an </w:t>
      </w:r>
      <w:proofErr w:type="spellStart"/>
      <w:r w:rsidR="00FA3CBB" w:rsidRPr="0068411A">
        <w:rPr>
          <w:rFonts w:ascii="Times New Roman" w:hAnsi="Times New Roman" w:cs="Times New Roman"/>
          <w:sz w:val="24"/>
          <w:szCs w:val="24"/>
        </w:rPr>
        <w:t>usteki</w:t>
      </w:r>
      <w:r w:rsidR="005411C0" w:rsidRPr="0068411A">
        <w:rPr>
          <w:rFonts w:ascii="Times New Roman" w:hAnsi="Times New Roman" w:cs="Times New Roman"/>
          <w:sz w:val="24"/>
          <w:szCs w:val="24"/>
        </w:rPr>
        <w:t>numab</w:t>
      </w:r>
      <w:proofErr w:type="spellEnd"/>
      <w:r w:rsidR="005411C0" w:rsidRPr="0068411A">
        <w:rPr>
          <w:rFonts w:ascii="Times New Roman" w:hAnsi="Times New Roman" w:cs="Times New Roman"/>
          <w:sz w:val="24"/>
          <w:szCs w:val="24"/>
        </w:rPr>
        <w:t xml:space="preserve"> concentration cut-off of 4.2 </w:t>
      </w:r>
      <w:proofErr w:type="spellStart"/>
      <w:r w:rsidR="005411C0"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5411C0" w:rsidRPr="0068411A">
        <w:rPr>
          <w:rFonts w:ascii="Times New Roman" w:hAnsi="Times New Roman" w:cs="Times New Roman"/>
          <w:sz w:val="24"/>
          <w:szCs w:val="24"/>
        </w:rPr>
        <w:t xml:space="preserve">/ml and 7.2 </w:t>
      </w:r>
      <w:proofErr w:type="spellStart"/>
      <w:r w:rsidR="005411C0"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5411C0" w:rsidRPr="0068411A">
        <w:rPr>
          <w:rFonts w:ascii="Times New Roman" w:hAnsi="Times New Roman" w:cs="Times New Roman"/>
          <w:sz w:val="24"/>
          <w:szCs w:val="24"/>
        </w:rPr>
        <w:t>/ml at week 8</w:t>
      </w:r>
      <w:r w:rsidR="00FA3CBB" w:rsidRPr="0068411A">
        <w:rPr>
          <w:rFonts w:ascii="Times New Roman" w:hAnsi="Times New Roman" w:cs="Times New Roman"/>
          <w:sz w:val="24"/>
          <w:szCs w:val="24"/>
        </w:rPr>
        <w:t xml:space="preserve"> for </w:t>
      </w:r>
      <w:r w:rsidR="005411C0" w:rsidRPr="0068411A">
        <w:rPr>
          <w:rFonts w:ascii="Times New Roman" w:hAnsi="Times New Roman" w:cs="Times New Roman"/>
          <w:sz w:val="24"/>
          <w:szCs w:val="24"/>
        </w:rPr>
        <w:t>50% decrease in FC and biological remission at week 8, respectively</w:t>
      </w:r>
      <w:r w:rsidR="00FA3CBB" w:rsidRPr="0068411A">
        <w:rPr>
          <w:rFonts w:ascii="Times New Roman" w:hAnsi="Times New Roman" w:cs="Times New Roman"/>
          <w:sz w:val="24"/>
          <w:szCs w:val="24"/>
        </w:rPr>
        <w:t>.</w:t>
      </w:r>
      <w:r w:rsidR="00FA3CBB" w:rsidRPr="0068411A">
        <w:rPr>
          <w:rFonts w:ascii="Times New Roman" w:hAnsi="Times New Roman" w:cs="Times New Roman"/>
          <w:sz w:val="24"/>
          <w:szCs w:val="24"/>
          <w:vertAlign w:val="superscript"/>
        </w:rPr>
        <w:t xml:space="preserve">33 </w:t>
      </w:r>
      <w:r w:rsidRPr="0068411A">
        <w:rPr>
          <w:rFonts w:ascii="Times New Roman" w:hAnsi="Times New Roman" w:cs="Times New Roman"/>
          <w:sz w:val="24"/>
          <w:szCs w:val="24"/>
        </w:rPr>
        <w:t xml:space="preserve">The study by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Ba</w:t>
      </w:r>
      <w:r w:rsidR="004D5E31" w:rsidRPr="0068411A">
        <w:rPr>
          <w:rFonts w:ascii="Times New Roman" w:hAnsi="Times New Roman" w:cs="Times New Roman"/>
          <w:sz w:val="24"/>
          <w:szCs w:val="24"/>
        </w:rPr>
        <w:t>ttat</w:t>
      </w:r>
      <w:proofErr w:type="spellEnd"/>
      <w:r w:rsidR="004D5E31" w:rsidRPr="0068411A">
        <w:rPr>
          <w:rFonts w:ascii="Times New Roman" w:hAnsi="Times New Roman" w:cs="Times New Roman"/>
          <w:sz w:val="24"/>
          <w:szCs w:val="24"/>
        </w:rPr>
        <w:t xml:space="preserve"> et al. (</w:t>
      </w:r>
      <w:r w:rsidRPr="0068411A">
        <w:rPr>
          <w:rFonts w:ascii="Times New Roman" w:hAnsi="Times New Roman" w:cs="Times New Roman"/>
          <w:sz w:val="24"/>
          <w:szCs w:val="24"/>
        </w:rPr>
        <w:t xml:space="preserve">using the </w:t>
      </w:r>
      <w:r w:rsidR="0068411A" w:rsidRPr="0068411A">
        <w:rPr>
          <w:rFonts w:ascii="Times New Roman" w:hAnsi="Times New Roman" w:cs="Times New Roman"/>
          <w:sz w:val="24"/>
          <w:szCs w:val="24"/>
        </w:rPr>
        <w:t>HMSA)</w:t>
      </w:r>
      <w:r w:rsidRPr="0068411A">
        <w:rPr>
          <w:rFonts w:ascii="Times New Roman" w:hAnsi="Times New Roman" w:cs="Times New Roman"/>
          <w:sz w:val="24"/>
          <w:szCs w:val="24"/>
        </w:rPr>
        <w:t xml:space="preserve"> in</w:t>
      </w:r>
      <w:r w:rsidR="004D5E31" w:rsidRPr="0068411A">
        <w:rPr>
          <w:rFonts w:ascii="Times New Roman" w:hAnsi="Times New Roman" w:cs="Times New Roman"/>
          <w:sz w:val="24"/>
          <w:szCs w:val="24"/>
        </w:rPr>
        <w:t xml:space="preserve"> a combined cohort of patients [</w:t>
      </w:r>
      <w:r w:rsidRPr="0068411A">
        <w:rPr>
          <w:rFonts w:ascii="Times New Roman" w:hAnsi="Times New Roman" w:cs="Times New Roman"/>
          <w:sz w:val="24"/>
          <w:szCs w:val="24"/>
        </w:rPr>
        <w:t xml:space="preserve">a longitudinal cohort prospectively received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ust</w:t>
      </w:r>
      <w:r w:rsidR="00C9655A" w:rsidRPr="0068411A">
        <w:rPr>
          <w:rFonts w:ascii="Times New Roman" w:hAnsi="Times New Roman" w:cs="Times New Roman"/>
          <w:sz w:val="24"/>
          <w:szCs w:val="24"/>
        </w:rPr>
        <w:t>ekinumab</w:t>
      </w:r>
      <w:proofErr w:type="spellEnd"/>
      <w:r w:rsidR="00C9655A" w:rsidRPr="0068411A">
        <w:rPr>
          <w:rFonts w:ascii="Times New Roman" w:hAnsi="Times New Roman" w:cs="Times New Roman"/>
          <w:sz w:val="24"/>
          <w:szCs w:val="24"/>
        </w:rPr>
        <w:t xml:space="preserve"> 90 mg subcutaneous </w:t>
      </w:r>
      <w:r w:rsidRPr="0068411A">
        <w:rPr>
          <w:rFonts w:ascii="Times New Roman" w:hAnsi="Times New Roman" w:cs="Times New Roman"/>
          <w:sz w:val="24"/>
          <w:szCs w:val="24"/>
        </w:rPr>
        <w:t xml:space="preserve">(SC) induction at weeks 0, 1, and 2, followed by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lastRenderedPageBreak/>
        <w:t>ustekinumab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90 mg SC maintenance Q8 wee</w:t>
      </w:r>
      <w:r w:rsidR="004D5E31" w:rsidRPr="0068411A">
        <w:rPr>
          <w:rFonts w:ascii="Times New Roman" w:hAnsi="Times New Roman" w:cs="Times New Roman"/>
          <w:sz w:val="24"/>
          <w:szCs w:val="24"/>
        </w:rPr>
        <w:t>ks and a cross-sectional cohort]</w:t>
      </w:r>
      <w:r w:rsidRPr="0068411A">
        <w:rPr>
          <w:rFonts w:ascii="Times New Roman" w:hAnsi="Times New Roman" w:cs="Times New Roman"/>
          <w:sz w:val="24"/>
          <w:szCs w:val="24"/>
        </w:rPr>
        <w:t xml:space="preserve"> identified an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concentration cut-off of 4.5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>/ml at 26 weeks or later for biomarker reduction and endoscopic response.</w:t>
      </w:r>
      <w:r w:rsidRPr="0068411A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="00C9655A" w:rsidRPr="0068411A">
        <w:rPr>
          <w:rFonts w:ascii="Times New Roman" w:hAnsi="Times New Roman" w:cs="Times New Roman"/>
          <w:sz w:val="24"/>
          <w:szCs w:val="24"/>
        </w:rPr>
        <w:t xml:space="preserve"> A prospective study including patients with CD identified (using an ELISA) an </w:t>
      </w:r>
      <w:proofErr w:type="spellStart"/>
      <w:r w:rsidR="00C9655A"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="00C9655A" w:rsidRPr="0068411A">
        <w:rPr>
          <w:rFonts w:ascii="Times New Roman" w:hAnsi="Times New Roman" w:cs="Times New Roman"/>
          <w:sz w:val="24"/>
          <w:szCs w:val="24"/>
        </w:rPr>
        <w:t xml:space="preserve"> concentration cut-off of 1.1 </w:t>
      </w:r>
      <w:proofErr w:type="spellStart"/>
      <w:r w:rsidR="00C9655A"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C9655A" w:rsidRPr="0068411A">
        <w:rPr>
          <w:rFonts w:ascii="Times New Roman" w:hAnsi="Times New Roman" w:cs="Times New Roman"/>
          <w:sz w:val="24"/>
          <w:szCs w:val="24"/>
        </w:rPr>
        <w:t xml:space="preserve">/ml </w:t>
      </w:r>
      <w:r w:rsidR="00B54D63" w:rsidRPr="0068411A">
        <w:rPr>
          <w:rFonts w:ascii="Times New Roman" w:hAnsi="Times New Roman" w:cs="Times New Roman"/>
          <w:sz w:val="24"/>
          <w:szCs w:val="24"/>
        </w:rPr>
        <w:t>at week 12</w:t>
      </w:r>
      <w:r w:rsidR="00C9655A" w:rsidRPr="0068411A">
        <w:rPr>
          <w:rFonts w:ascii="Times New Roman" w:hAnsi="Times New Roman" w:cs="Times New Roman"/>
          <w:sz w:val="24"/>
          <w:szCs w:val="24"/>
        </w:rPr>
        <w:t xml:space="preserve"> for biological re</w:t>
      </w:r>
      <w:r w:rsidR="00B54D63" w:rsidRPr="0068411A">
        <w:rPr>
          <w:rFonts w:ascii="Times New Roman" w:hAnsi="Times New Roman" w:cs="Times New Roman"/>
          <w:sz w:val="24"/>
          <w:szCs w:val="24"/>
        </w:rPr>
        <w:t>sponse</w:t>
      </w:r>
      <w:r w:rsidR="00C9655A" w:rsidRPr="0068411A">
        <w:rPr>
          <w:rFonts w:ascii="Times New Roman" w:hAnsi="Times New Roman" w:cs="Times New Roman"/>
          <w:sz w:val="24"/>
          <w:szCs w:val="24"/>
        </w:rPr>
        <w:t xml:space="preserve"> </w:t>
      </w:r>
      <w:r w:rsidR="00B54D63" w:rsidRPr="0068411A">
        <w:rPr>
          <w:rFonts w:ascii="Times New Roman" w:hAnsi="Times New Roman" w:cs="Times New Roman"/>
          <w:sz w:val="24"/>
          <w:szCs w:val="24"/>
        </w:rPr>
        <w:t>at month 6</w:t>
      </w:r>
      <w:r w:rsidR="00C9655A" w:rsidRPr="0068411A">
        <w:rPr>
          <w:rFonts w:ascii="Times New Roman" w:hAnsi="Times New Roman" w:cs="Times New Roman"/>
          <w:sz w:val="24"/>
          <w:szCs w:val="24"/>
        </w:rPr>
        <w:t>.</w:t>
      </w:r>
      <w:r w:rsidR="00B54D63" w:rsidRPr="0068411A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CF1656" w:rsidRPr="0068411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54D63" w:rsidRPr="0068411A">
        <w:rPr>
          <w:rFonts w:ascii="Times New Roman" w:hAnsi="Times New Roman" w:cs="Times New Roman"/>
          <w:sz w:val="24"/>
          <w:szCs w:val="24"/>
        </w:rPr>
        <w:t xml:space="preserve"> Another prospective study </w:t>
      </w:r>
      <w:r w:rsidR="00A47DC1" w:rsidRPr="0068411A">
        <w:rPr>
          <w:rFonts w:ascii="Times New Roman" w:hAnsi="Times New Roman" w:cs="Times New Roman"/>
          <w:sz w:val="24"/>
          <w:szCs w:val="24"/>
        </w:rPr>
        <w:t xml:space="preserve">in </w:t>
      </w:r>
      <w:r w:rsidR="00584EDC" w:rsidRPr="0068411A">
        <w:rPr>
          <w:rFonts w:ascii="Times New Roman" w:hAnsi="Times New Roman" w:cs="Times New Roman"/>
          <w:sz w:val="24"/>
          <w:szCs w:val="24"/>
        </w:rPr>
        <w:t xml:space="preserve">CD identified (using an ELISA) an </w:t>
      </w:r>
      <w:proofErr w:type="spellStart"/>
      <w:r w:rsidR="00584EDC"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="00584EDC" w:rsidRPr="0068411A">
        <w:rPr>
          <w:rFonts w:ascii="Times New Roman" w:hAnsi="Times New Roman" w:cs="Times New Roman"/>
          <w:sz w:val="24"/>
          <w:szCs w:val="24"/>
        </w:rPr>
        <w:t xml:space="preserve"> concentration cut-off of 2 </w:t>
      </w:r>
      <w:proofErr w:type="spellStart"/>
      <w:r w:rsidR="00584EDC"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584EDC" w:rsidRPr="0068411A">
        <w:rPr>
          <w:rFonts w:ascii="Times New Roman" w:hAnsi="Times New Roman" w:cs="Times New Roman"/>
          <w:sz w:val="24"/>
          <w:szCs w:val="24"/>
        </w:rPr>
        <w:t xml:space="preserve">/ml at week 8 and 1.4 </w:t>
      </w:r>
      <w:proofErr w:type="spellStart"/>
      <w:r w:rsidR="00584EDC"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584EDC" w:rsidRPr="0068411A">
        <w:rPr>
          <w:rFonts w:ascii="Times New Roman" w:hAnsi="Times New Roman" w:cs="Times New Roman"/>
          <w:sz w:val="24"/>
          <w:szCs w:val="24"/>
        </w:rPr>
        <w:t>/ml at week 16 for composite remission (Harvey-Bradshaw Index ≤4, CRP&lt;5mg/L and FC&lt;250μg/g) at week 16.</w:t>
      </w:r>
      <w:r w:rsidR="00584EDC" w:rsidRPr="0068411A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CF1656" w:rsidRPr="0068411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43368" w:rsidRPr="0068411A">
        <w:rPr>
          <w:rFonts w:ascii="Times New Roman" w:hAnsi="Times New Roman" w:cs="Times New Roman"/>
          <w:sz w:val="24"/>
          <w:szCs w:val="24"/>
        </w:rPr>
        <w:t xml:space="preserve"> </w:t>
      </w:r>
      <w:r w:rsidR="00366FED" w:rsidRPr="0068411A">
        <w:rPr>
          <w:rFonts w:ascii="Times New Roman" w:hAnsi="Times New Roman" w:cs="Times New Roman"/>
          <w:sz w:val="24"/>
          <w:szCs w:val="24"/>
        </w:rPr>
        <w:t>Finally, a</w:t>
      </w:r>
      <w:r w:rsidR="00A43368" w:rsidRPr="0068411A">
        <w:rPr>
          <w:rFonts w:ascii="Times New Roman" w:hAnsi="Times New Roman" w:cs="Times New Roman"/>
          <w:sz w:val="24"/>
          <w:szCs w:val="24"/>
        </w:rPr>
        <w:t xml:space="preserve"> prospective study by </w:t>
      </w:r>
      <w:proofErr w:type="spellStart"/>
      <w:r w:rsidR="00A43368" w:rsidRPr="0068411A">
        <w:rPr>
          <w:rFonts w:ascii="Times New Roman" w:hAnsi="Times New Roman" w:cs="Times New Roman"/>
          <w:sz w:val="24"/>
          <w:szCs w:val="24"/>
        </w:rPr>
        <w:t>Hanžel</w:t>
      </w:r>
      <w:proofErr w:type="spellEnd"/>
      <w:r w:rsidR="00A43368" w:rsidRPr="0068411A">
        <w:rPr>
          <w:rFonts w:ascii="Times New Roman" w:hAnsi="Times New Roman" w:cs="Times New Roman"/>
          <w:sz w:val="24"/>
          <w:szCs w:val="24"/>
        </w:rPr>
        <w:t xml:space="preserve"> et al. </w:t>
      </w:r>
      <w:r w:rsidR="00A47DC1" w:rsidRPr="0068411A">
        <w:rPr>
          <w:rFonts w:ascii="Times New Roman" w:hAnsi="Times New Roman" w:cs="Times New Roman"/>
          <w:sz w:val="24"/>
          <w:szCs w:val="24"/>
        </w:rPr>
        <w:t xml:space="preserve">in CD identified (using an ELISA) an </w:t>
      </w:r>
      <w:proofErr w:type="spellStart"/>
      <w:r w:rsidR="00A47DC1"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="00A47DC1" w:rsidRPr="0068411A">
        <w:rPr>
          <w:rFonts w:ascii="Times New Roman" w:hAnsi="Times New Roman" w:cs="Times New Roman"/>
          <w:sz w:val="24"/>
          <w:szCs w:val="24"/>
        </w:rPr>
        <w:t xml:space="preserve"> concentration cut-off of 6.9 </w:t>
      </w:r>
      <w:proofErr w:type="spellStart"/>
      <w:r w:rsidR="00A47DC1"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A47DC1" w:rsidRPr="0068411A">
        <w:rPr>
          <w:rFonts w:ascii="Times New Roman" w:hAnsi="Times New Roman" w:cs="Times New Roman"/>
          <w:sz w:val="24"/>
          <w:szCs w:val="24"/>
        </w:rPr>
        <w:t xml:space="preserve">/ml and 11.1 </w:t>
      </w:r>
      <w:proofErr w:type="spellStart"/>
      <w:r w:rsidR="00A47DC1" w:rsidRPr="0068411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A47DC1" w:rsidRPr="0068411A">
        <w:rPr>
          <w:rFonts w:ascii="Times New Roman" w:hAnsi="Times New Roman" w:cs="Times New Roman"/>
          <w:sz w:val="24"/>
          <w:szCs w:val="24"/>
        </w:rPr>
        <w:t>/ml at week 8 for FC&lt;100μg/g and endoscopic remission at week 24, respectively.</w:t>
      </w:r>
      <w:r w:rsidR="00A47DC1" w:rsidRPr="0068411A">
        <w:rPr>
          <w:rFonts w:ascii="Times New Roman" w:hAnsi="Times New Roman" w:cs="Times New Roman"/>
          <w:sz w:val="24"/>
          <w:szCs w:val="24"/>
          <w:vertAlign w:val="superscript"/>
        </w:rPr>
        <w:t>39</w:t>
      </w:r>
    </w:p>
    <w:p w:rsidR="00827C74" w:rsidRPr="00B77BA5" w:rsidRDefault="00827C74" w:rsidP="008519B9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:rsidR="00827C74" w:rsidRPr="0068411A" w:rsidRDefault="00827C74" w:rsidP="00827C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11A">
        <w:rPr>
          <w:rFonts w:ascii="Times New Roman" w:hAnsi="Times New Roman" w:cs="Times New Roman"/>
          <w:b/>
          <w:sz w:val="24"/>
          <w:szCs w:val="24"/>
        </w:rPr>
        <w:t>Supplementary References</w:t>
      </w:r>
    </w:p>
    <w:p w:rsidR="00827C74" w:rsidRPr="0068411A" w:rsidRDefault="00827C74" w:rsidP="00827C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7954"/>
      <w:r w:rsidRPr="0068411A">
        <w:rPr>
          <w:rFonts w:ascii="Times New Roman" w:hAnsi="Times New Roman" w:cs="Times New Roman"/>
          <w:sz w:val="24"/>
          <w:szCs w:val="24"/>
          <w:lang w:val="nl-BE"/>
        </w:rPr>
        <w:t xml:space="preserve">S1. Adedokun OJ, Xu Z, Marano CW, et al. </w:t>
      </w:r>
      <w:r w:rsidRPr="0068411A">
        <w:rPr>
          <w:rFonts w:ascii="Times New Roman" w:hAnsi="Times New Roman" w:cs="Times New Roman"/>
          <w:sz w:val="24"/>
          <w:szCs w:val="24"/>
        </w:rPr>
        <w:t xml:space="preserve">Pharmacokinetics and exposure-response relationship of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in patients with moderately-to-severely active ulcerative colitis: results from phase 2/3 PURSUIT induction and maintenance studies. J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Crohns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Colitis. 2017</w:t>
      </w:r>
      <w:proofErr w:type="gramStart"/>
      <w:r w:rsidRPr="0068411A">
        <w:rPr>
          <w:rFonts w:ascii="Times New Roman" w:hAnsi="Times New Roman" w:cs="Times New Roman"/>
          <w:sz w:val="24"/>
          <w:szCs w:val="24"/>
        </w:rPr>
        <w:t>;11:35</w:t>
      </w:r>
      <w:proofErr w:type="gramEnd"/>
      <w:r w:rsidRPr="0068411A">
        <w:rPr>
          <w:rFonts w:ascii="Times New Roman" w:hAnsi="Times New Roman" w:cs="Times New Roman"/>
          <w:sz w:val="24"/>
          <w:szCs w:val="24"/>
        </w:rPr>
        <w:t xml:space="preserve">-46. </w:t>
      </w:r>
    </w:p>
    <w:p w:rsidR="00827C74" w:rsidRPr="0068411A" w:rsidRDefault="00827C74" w:rsidP="008519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A">
        <w:rPr>
          <w:rFonts w:ascii="Times New Roman" w:hAnsi="Times New Roman" w:cs="Times New Roman"/>
          <w:sz w:val="24"/>
          <w:szCs w:val="24"/>
        </w:rPr>
        <w:t xml:space="preserve">S2.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Dreesen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Kantasiripitak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Detrez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I, et al. A population pharmacokinetic and exposure-response model of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for targeting endoscopic remission in patients with ulcerative colitis.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Inflamm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Bowel Dis 2020;26:570-</w:t>
      </w:r>
      <w:r w:rsidR="00D86745"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 w:rsidRPr="0068411A">
        <w:rPr>
          <w:rFonts w:ascii="Times New Roman" w:hAnsi="Times New Roman" w:cs="Times New Roman"/>
          <w:sz w:val="24"/>
          <w:szCs w:val="24"/>
        </w:rPr>
        <w:t>80.</w:t>
      </w:r>
      <w:bookmarkEnd w:id="0"/>
    </w:p>
    <w:p w:rsidR="00A27746" w:rsidRPr="0068411A" w:rsidRDefault="00A27746" w:rsidP="00A277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8411A">
        <w:rPr>
          <w:rFonts w:ascii="Times New Roman" w:hAnsi="Times New Roman" w:cs="Times New Roman"/>
          <w:sz w:val="24"/>
          <w:szCs w:val="24"/>
          <w:lang w:val="nl-BE"/>
        </w:rPr>
        <w:t xml:space="preserve">S3. Guidi L, Pugliese D, Tonucci TP, et al. </w:t>
      </w:r>
      <w:r w:rsidRPr="0068411A">
        <w:rPr>
          <w:rFonts w:ascii="Times New Roman" w:hAnsi="Times New Roman" w:cs="Times New Roman"/>
          <w:sz w:val="24"/>
          <w:szCs w:val="24"/>
        </w:rPr>
        <w:t xml:space="preserve">Early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trough levels predict treatment persistence over the first year in inflammatory bowel disease. </w:t>
      </w:r>
      <w:r w:rsidRPr="0068411A">
        <w:rPr>
          <w:rFonts w:ascii="Times New Roman" w:hAnsi="Times New Roman" w:cs="Times New Roman"/>
          <w:sz w:val="24"/>
          <w:szCs w:val="24"/>
          <w:lang w:val="nl-BE"/>
        </w:rPr>
        <w:t>United European Gastroenterol J 2019;7:1189-</w:t>
      </w:r>
      <w:r w:rsidR="00D86745">
        <w:rPr>
          <w:rFonts w:ascii="Times New Roman" w:hAnsi="Times New Roman" w:cs="Times New Roman"/>
          <w:sz w:val="24"/>
          <w:szCs w:val="24"/>
          <w:lang w:val="nl-BE"/>
        </w:rPr>
        <w:t>11</w:t>
      </w:r>
      <w:r w:rsidRPr="0068411A">
        <w:rPr>
          <w:rFonts w:ascii="Times New Roman" w:hAnsi="Times New Roman" w:cs="Times New Roman"/>
          <w:sz w:val="24"/>
          <w:szCs w:val="24"/>
          <w:lang w:val="nl-BE"/>
        </w:rPr>
        <w:t>97.</w:t>
      </w:r>
    </w:p>
    <w:p w:rsidR="00A27746" w:rsidRPr="0068411A" w:rsidRDefault="00A27746" w:rsidP="00A277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1A">
        <w:rPr>
          <w:rFonts w:ascii="Times New Roman" w:hAnsi="Times New Roman" w:cs="Times New Roman"/>
          <w:sz w:val="24"/>
          <w:szCs w:val="24"/>
        </w:rPr>
        <w:t xml:space="preserve">S4.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Löwenberg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Vermeire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Mostafavi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N, et al.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induces endoscopic and histologic remission in patients with Crohn's disease. Gastroenterology 2019</w:t>
      </w:r>
      <w:proofErr w:type="gramStart"/>
      <w:r w:rsidRPr="0068411A">
        <w:rPr>
          <w:rFonts w:ascii="Times New Roman" w:hAnsi="Times New Roman" w:cs="Times New Roman"/>
          <w:sz w:val="24"/>
          <w:szCs w:val="24"/>
        </w:rPr>
        <w:t>;157:997</w:t>
      </w:r>
      <w:proofErr w:type="gramEnd"/>
      <w:r w:rsidRPr="0068411A">
        <w:rPr>
          <w:rFonts w:ascii="Times New Roman" w:hAnsi="Times New Roman" w:cs="Times New Roman"/>
          <w:sz w:val="24"/>
          <w:szCs w:val="24"/>
        </w:rPr>
        <w:t>-1006.</w:t>
      </w:r>
    </w:p>
    <w:p w:rsidR="00C9655A" w:rsidRPr="0068411A" w:rsidRDefault="00C9655A" w:rsidP="008519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411A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F63EA" w:rsidRPr="0068411A">
        <w:rPr>
          <w:rFonts w:ascii="Times New Roman" w:hAnsi="Times New Roman" w:cs="Times New Roman"/>
          <w:sz w:val="24"/>
          <w:szCs w:val="24"/>
        </w:rPr>
        <w:t>5</w:t>
      </w:r>
      <w:r w:rsidRPr="00684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Painchart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C, Brabant S,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Duveau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N, et al.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serum trough levels may identify suboptimal responders to </w:t>
      </w:r>
      <w:proofErr w:type="spellStart"/>
      <w:r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Pr="0068411A">
        <w:rPr>
          <w:rFonts w:ascii="Times New Roman" w:hAnsi="Times New Roman" w:cs="Times New Roman"/>
          <w:sz w:val="24"/>
          <w:szCs w:val="24"/>
        </w:rPr>
        <w:t xml:space="preserve"> in Crohn's disease. </w:t>
      </w:r>
      <w:proofErr w:type="spellStart"/>
      <w:r w:rsidRPr="0068411A">
        <w:rPr>
          <w:rFonts w:ascii="Times New Roman" w:hAnsi="Times New Roman" w:cs="Times New Roman"/>
          <w:sz w:val="24"/>
          <w:szCs w:val="24"/>
          <w:lang w:val="fr-FR"/>
        </w:rPr>
        <w:t>Dig</w:t>
      </w:r>
      <w:proofErr w:type="spellEnd"/>
      <w:r w:rsidRPr="0068411A">
        <w:rPr>
          <w:rFonts w:ascii="Times New Roman" w:hAnsi="Times New Roman" w:cs="Times New Roman"/>
          <w:sz w:val="24"/>
          <w:szCs w:val="24"/>
          <w:lang w:val="fr-FR"/>
        </w:rPr>
        <w:t xml:space="preserve"> Dis </w:t>
      </w:r>
      <w:proofErr w:type="spellStart"/>
      <w:r w:rsidRPr="0068411A">
        <w:rPr>
          <w:rFonts w:ascii="Times New Roman" w:hAnsi="Times New Roman" w:cs="Times New Roman"/>
          <w:sz w:val="24"/>
          <w:szCs w:val="24"/>
          <w:lang w:val="fr-FR"/>
        </w:rPr>
        <w:t>Sci</w:t>
      </w:r>
      <w:proofErr w:type="spellEnd"/>
      <w:r w:rsidRPr="0068411A">
        <w:rPr>
          <w:rFonts w:ascii="Times New Roman" w:hAnsi="Times New Roman" w:cs="Times New Roman"/>
          <w:sz w:val="24"/>
          <w:szCs w:val="24"/>
          <w:lang w:val="fr-FR"/>
        </w:rPr>
        <w:t xml:space="preserve"> 2020;65:1445-</w:t>
      </w:r>
      <w:r w:rsidR="00D86745">
        <w:rPr>
          <w:rFonts w:ascii="Times New Roman" w:hAnsi="Times New Roman" w:cs="Times New Roman"/>
          <w:sz w:val="24"/>
          <w:szCs w:val="24"/>
          <w:lang w:val="fr-FR"/>
        </w:rPr>
        <w:t>14</w:t>
      </w:r>
      <w:r w:rsidRPr="0068411A">
        <w:rPr>
          <w:rFonts w:ascii="Times New Roman" w:hAnsi="Times New Roman" w:cs="Times New Roman"/>
          <w:sz w:val="24"/>
          <w:szCs w:val="24"/>
          <w:lang w:val="fr-FR"/>
        </w:rPr>
        <w:t>52.</w:t>
      </w:r>
    </w:p>
    <w:p w:rsidR="00E601B3" w:rsidRPr="0068411A" w:rsidRDefault="003F63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8411A">
        <w:rPr>
          <w:rFonts w:ascii="Times New Roman" w:hAnsi="Times New Roman" w:cs="Times New Roman"/>
          <w:sz w:val="24"/>
          <w:szCs w:val="24"/>
          <w:lang w:val="fr-FR"/>
        </w:rPr>
        <w:t>S6</w:t>
      </w:r>
      <w:r w:rsidR="00B54D63" w:rsidRPr="0068411A">
        <w:rPr>
          <w:rFonts w:ascii="Times New Roman" w:hAnsi="Times New Roman" w:cs="Times New Roman"/>
          <w:sz w:val="24"/>
          <w:szCs w:val="24"/>
          <w:lang w:val="fr-FR"/>
        </w:rPr>
        <w:t xml:space="preserve">. Soufflet N, </w:t>
      </w:r>
      <w:proofErr w:type="spellStart"/>
      <w:r w:rsidR="00B54D63" w:rsidRPr="0068411A">
        <w:rPr>
          <w:rFonts w:ascii="Times New Roman" w:hAnsi="Times New Roman" w:cs="Times New Roman"/>
          <w:sz w:val="24"/>
          <w:szCs w:val="24"/>
          <w:lang w:val="fr-FR"/>
        </w:rPr>
        <w:t>Boschetti</w:t>
      </w:r>
      <w:proofErr w:type="spellEnd"/>
      <w:r w:rsidR="00B54D63" w:rsidRPr="0068411A">
        <w:rPr>
          <w:rFonts w:ascii="Times New Roman" w:hAnsi="Times New Roman" w:cs="Times New Roman"/>
          <w:sz w:val="24"/>
          <w:szCs w:val="24"/>
          <w:lang w:val="fr-FR"/>
        </w:rPr>
        <w:t xml:space="preserve"> G, </w:t>
      </w:r>
      <w:proofErr w:type="spellStart"/>
      <w:r w:rsidR="00B54D63" w:rsidRPr="0068411A">
        <w:rPr>
          <w:rFonts w:ascii="Times New Roman" w:hAnsi="Times New Roman" w:cs="Times New Roman"/>
          <w:sz w:val="24"/>
          <w:szCs w:val="24"/>
          <w:lang w:val="fr-FR"/>
        </w:rPr>
        <w:t>Roblin</w:t>
      </w:r>
      <w:proofErr w:type="spellEnd"/>
      <w:r w:rsidR="00B54D63" w:rsidRPr="0068411A">
        <w:rPr>
          <w:rFonts w:ascii="Times New Roman" w:hAnsi="Times New Roman" w:cs="Times New Roman"/>
          <w:sz w:val="24"/>
          <w:szCs w:val="24"/>
          <w:lang w:val="fr-FR"/>
        </w:rPr>
        <w:t xml:space="preserve"> X, et al. </w:t>
      </w:r>
      <w:r w:rsidR="00B54D63" w:rsidRPr="0068411A">
        <w:rPr>
          <w:rFonts w:ascii="Times New Roman" w:hAnsi="Times New Roman" w:cs="Times New Roman"/>
          <w:sz w:val="24"/>
          <w:szCs w:val="24"/>
        </w:rPr>
        <w:t xml:space="preserve">Concentrations of </w:t>
      </w:r>
      <w:proofErr w:type="spellStart"/>
      <w:r w:rsidR="00B54D63" w:rsidRPr="0068411A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="00B54D63" w:rsidRPr="0068411A">
        <w:rPr>
          <w:rFonts w:ascii="Times New Roman" w:hAnsi="Times New Roman" w:cs="Times New Roman"/>
          <w:sz w:val="24"/>
          <w:szCs w:val="24"/>
        </w:rPr>
        <w:t xml:space="preserve"> during induction therapy associate with remission in patients with Crohn's disease. </w:t>
      </w:r>
      <w:r w:rsidR="00B54D63" w:rsidRPr="0068411A">
        <w:rPr>
          <w:rFonts w:ascii="Times New Roman" w:hAnsi="Times New Roman" w:cs="Times New Roman"/>
          <w:sz w:val="24"/>
          <w:szCs w:val="24"/>
          <w:lang w:val="nl-BE"/>
        </w:rPr>
        <w:t>Clin Gastroenterol Hepatol 2019;17:2610-</w:t>
      </w:r>
      <w:r w:rsidR="00D86745">
        <w:rPr>
          <w:rFonts w:ascii="Times New Roman" w:hAnsi="Times New Roman" w:cs="Times New Roman"/>
          <w:sz w:val="24"/>
          <w:szCs w:val="24"/>
          <w:lang w:val="nl-BE"/>
        </w:rPr>
        <w:t>261</w:t>
      </w:r>
      <w:r w:rsidR="00B54D63" w:rsidRPr="0068411A">
        <w:rPr>
          <w:rFonts w:ascii="Times New Roman" w:hAnsi="Times New Roman" w:cs="Times New Roman"/>
          <w:sz w:val="24"/>
          <w:szCs w:val="24"/>
          <w:lang w:val="nl-BE"/>
        </w:rPr>
        <w:t>2</w:t>
      </w:r>
      <w:r w:rsidR="00E179F5" w:rsidRPr="0068411A">
        <w:rPr>
          <w:rFonts w:ascii="Times New Roman" w:hAnsi="Times New Roman" w:cs="Times New Roman"/>
          <w:sz w:val="24"/>
          <w:szCs w:val="24"/>
          <w:lang w:val="nl-BE"/>
        </w:rPr>
        <w:t>.</w:t>
      </w:r>
      <w:r w:rsidR="00B54D63" w:rsidRPr="0068411A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sectPr w:rsidR="00E601B3" w:rsidRPr="0068411A" w:rsidSect="00D843D8">
      <w:head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05" w:rsidRDefault="004A5E05">
      <w:pPr>
        <w:spacing w:after="0" w:line="240" w:lineRule="auto"/>
      </w:pPr>
      <w:r>
        <w:separator/>
      </w:r>
    </w:p>
  </w:endnote>
  <w:endnote w:type="continuationSeparator" w:id="0">
    <w:p w:rsidR="004A5E05" w:rsidRDefault="004A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05" w:rsidRDefault="004A5E05">
      <w:pPr>
        <w:spacing w:after="0" w:line="240" w:lineRule="auto"/>
      </w:pPr>
      <w:r>
        <w:separator/>
      </w:r>
    </w:p>
  </w:footnote>
  <w:footnote w:type="continuationSeparator" w:id="0">
    <w:p w:rsidR="004A5E05" w:rsidRDefault="004A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666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29EC" w:rsidRDefault="008519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7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29EC" w:rsidRDefault="004A5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B"/>
    <w:rsid w:val="000035C5"/>
    <w:rsid w:val="00040781"/>
    <w:rsid w:val="00040989"/>
    <w:rsid w:val="000B7BE2"/>
    <w:rsid w:val="00100FF7"/>
    <w:rsid w:val="0014797A"/>
    <w:rsid w:val="0017463D"/>
    <w:rsid w:val="001C76F0"/>
    <w:rsid w:val="001F18BF"/>
    <w:rsid w:val="00216D40"/>
    <w:rsid w:val="0027208E"/>
    <w:rsid w:val="002B40CB"/>
    <w:rsid w:val="002C4F51"/>
    <w:rsid w:val="002D2DDE"/>
    <w:rsid w:val="002F3345"/>
    <w:rsid w:val="00306C97"/>
    <w:rsid w:val="00366FED"/>
    <w:rsid w:val="003B1DFC"/>
    <w:rsid w:val="003F63EA"/>
    <w:rsid w:val="004177C4"/>
    <w:rsid w:val="004A5E05"/>
    <w:rsid w:val="004D5E31"/>
    <w:rsid w:val="004F189F"/>
    <w:rsid w:val="005411C0"/>
    <w:rsid w:val="00584EDC"/>
    <w:rsid w:val="005929A4"/>
    <w:rsid w:val="00626379"/>
    <w:rsid w:val="00640BE2"/>
    <w:rsid w:val="0068411A"/>
    <w:rsid w:val="0070221B"/>
    <w:rsid w:val="007A0CA6"/>
    <w:rsid w:val="007E1020"/>
    <w:rsid w:val="00827C74"/>
    <w:rsid w:val="008519B9"/>
    <w:rsid w:val="00880A2D"/>
    <w:rsid w:val="008966E0"/>
    <w:rsid w:val="00926246"/>
    <w:rsid w:val="009A274A"/>
    <w:rsid w:val="009A3281"/>
    <w:rsid w:val="009F2000"/>
    <w:rsid w:val="00A204A3"/>
    <w:rsid w:val="00A27746"/>
    <w:rsid w:val="00A43368"/>
    <w:rsid w:val="00A47DC1"/>
    <w:rsid w:val="00A65C3F"/>
    <w:rsid w:val="00AC2BB8"/>
    <w:rsid w:val="00AD699E"/>
    <w:rsid w:val="00B1202D"/>
    <w:rsid w:val="00B15760"/>
    <w:rsid w:val="00B34CC1"/>
    <w:rsid w:val="00B52130"/>
    <w:rsid w:val="00B54D63"/>
    <w:rsid w:val="00B60E96"/>
    <w:rsid w:val="00B777F5"/>
    <w:rsid w:val="00B77BA5"/>
    <w:rsid w:val="00B921F1"/>
    <w:rsid w:val="00BF51CA"/>
    <w:rsid w:val="00C9655A"/>
    <w:rsid w:val="00C970AF"/>
    <w:rsid w:val="00CF1656"/>
    <w:rsid w:val="00D35BC2"/>
    <w:rsid w:val="00D86745"/>
    <w:rsid w:val="00DF7472"/>
    <w:rsid w:val="00E179F5"/>
    <w:rsid w:val="00E601B3"/>
    <w:rsid w:val="00EB0C6A"/>
    <w:rsid w:val="00F122FB"/>
    <w:rsid w:val="00F80974"/>
    <w:rsid w:val="00FA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AB15-9030-45DD-810C-CD465440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B9"/>
  </w:style>
  <w:style w:type="character" w:styleId="LineNumber">
    <w:name w:val="line number"/>
    <w:basedOn w:val="DefaultParagraphFont"/>
    <w:uiPriority w:val="99"/>
    <w:semiHidden/>
    <w:unhideWhenUsed/>
    <w:rsid w:val="008519B9"/>
  </w:style>
  <w:style w:type="table" w:customStyle="1" w:styleId="TableGrid1">
    <w:name w:val="Table Grid1"/>
    <w:basedOn w:val="TableNormal"/>
    <w:next w:val="TableGrid"/>
    <w:uiPriority w:val="59"/>
    <w:rsid w:val="002C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papamichail</dc:creator>
  <cp:keywords/>
  <dc:description/>
  <cp:lastModifiedBy>kostas papamichail</cp:lastModifiedBy>
  <cp:revision>42</cp:revision>
  <dcterms:created xsi:type="dcterms:W3CDTF">2021-04-12T09:46:00Z</dcterms:created>
  <dcterms:modified xsi:type="dcterms:W3CDTF">2021-05-26T17:31:00Z</dcterms:modified>
</cp:coreProperties>
</file>