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7820F" w14:textId="77777777" w:rsidR="003E2AB7" w:rsidRDefault="003E2AB7" w:rsidP="003E2AB7">
      <w:pPr>
        <w:rPr>
          <w:rFonts w:ascii="Times New Roman" w:hAnsi="Times New Roman" w:cs="Times New Roman"/>
          <w:b/>
        </w:rPr>
      </w:pPr>
      <w:r w:rsidRPr="004110BA">
        <w:rPr>
          <w:rFonts w:ascii="Times New Roman" w:hAnsi="Times New Roman" w:cs="Times New Roman"/>
          <w:b/>
        </w:rPr>
        <w:t>Supplementary Table 3.  Baseline characteristics of patients with ACE2 levels in the prospective research cohort</w:t>
      </w:r>
    </w:p>
    <w:p w14:paraId="65A5262E" w14:textId="77777777" w:rsidR="003E2AB7" w:rsidRPr="00180A1C" w:rsidRDefault="003E2AB7" w:rsidP="003E2AB7">
      <w:pPr>
        <w:rPr>
          <w:rFonts w:ascii="Times New Roman" w:hAnsi="Times New Roman" w:cs="Times New Roman"/>
          <w:b/>
        </w:rPr>
      </w:pPr>
    </w:p>
    <w:tbl>
      <w:tblPr>
        <w:tblW w:w="9188" w:type="dxa"/>
        <w:tblInd w:w="93" w:type="dxa"/>
        <w:tblLook w:val="04A0" w:firstRow="1" w:lastRow="0" w:firstColumn="1" w:lastColumn="0" w:noHBand="0" w:noVBand="1"/>
      </w:tblPr>
      <w:tblGrid>
        <w:gridCol w:w="1626"/>
        <w:gridCol w:w="2116"/>
        <w:gridCol w:w="1730"/>
        <w:gridCol w:w="2013"/>
        <w:gridCol w:w="1703"/>
      </w:tblGrid>
      <w:tr w:rsidR="003E2AB7" w:rsidRPr="00180A1C" w14:paraId="17D74146" w14:textId="77777777" w:rsidTr="00203007">
        <w:trPr>
          <w:trHeight w:val="30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9D6A" w14:textId="77777777" w:rsidR="003E2AB7" w:rsidRPr="00180A1C" w:rsidRDefault="003E2AB7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91CB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Control - no PPI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11FB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Control - PPI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A021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COVID - no PPI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D295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COVID - PPI</w:t>
            </w:r>
          </w:p>
        </w:tc>
      </w:tr>
      <w:tr w:rsidR="003E2AB7" w:rsidRPr="00180A1C" w14:paraId="0C034EB7" w14:textId="77777777" w:rsidTr="00203007">
        <w:trPr>
          <w:trHeight w:val="30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D52D" w14:textId="77777777" w:rsidR="003E2AB7" w:rsidRPr="00180A1C" w:rsidRDefault="003E2AB7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E26A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N=9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9F6D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E4CD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5BE6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N=17 </w:t>
            </w:r>
          </w:p>
        </w:tc>
      </w:tr>
      <w:tr w:rsidR="003E2AB7" w:rsidRPr="00180A1C" w14:paraId="216417C1" w14:textId="77777777" w:rsidTr="00203007">
        <w:trPr>
          <w:trHeight w:val="30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72E2" w14:textId="77777777" w:rsidR="003E2AB7" w:rsidRPr="00180A1C" w:rsidRDefault="003E2AB7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2EFA" w14:textId="77777777" w:rsidR="003E2AB7" w:rsidRPr="00180A1C" w:rsidRDefault="003E2AB7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5CB" w14:textId="77777777" w:rsidR="003E2AB7" w:rsidRPr="00180A1C" w:rsidRDefault="003E2AB7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F904" w14:textId="77777777" w:rsidR="003E2AB7" w:rsidRPr="00180A1C" w:rsidRDefault="003E2AB7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FA59" w14:textId="77777777" w:rsidR="003E2AB7" w:rsidRPr="00180A1C" w:rsidRDefault="003E2AB7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2AB7" w:rsidRPr="00180A1C" w14:paraId="588F2B06" w14:textId="77777777" w:rsidTr="00203007">
        <w:trPr>
          <w:trHeight w:val="30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FE6A" w14:textId="77777777" w:rsidR="003E2AB7" w:rsidRPr="00180A1C" w:rsidRDefault="003E2AB7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Age (years)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DDEE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58   ± 8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E0DC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 ±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12E5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57   ±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8CCB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64   ± 9</w:t>
            </w:r>
          </w:p>
        </w:tc>
      </w:tr>
      <w:tr w:rsidR="003E2AB7" w:rsidRPr="00180A1C" w14:paraId="2C3BC35B" w14:textId="77777777" w:rsidTr="00203007">
        <w:trPr>
          <w:trHeight w:val="30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78DF" w14:textId="77777777" w:rsidR="003E2AB7" w:rsidRPr="00180A1C" w:rsidRDefault="003E2AB7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C7DF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3   (33%)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8D14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14A7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2316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11 (65%)</w:t>
            </w:r>
          </w:p>
        </w:tc>
      </w:tr>
      <w:tr w:rsidR="003E2AB7" w:rsidRPr="00180A1C" w14:paraId="1314BAD1" w14:textId="77777777" w:rsidTr="00203007">
        <w:trPr>
          <w:trHeight w:val="30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5507" w14:textId="77777777" w:rsidR="003E2AB7" w:rsidRPr="00180A1C" w:rsidRDefault="003E2AB7" w:rsidP="00203007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Race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A54A" w14:textId="77777777" w:rsidR="003E2AB7" w:rsidRPr="00180A1C" w:rsidRDefault="003E2AB7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E71F" w14:textId="77777777" w:rsidR="003E2AB7" w:rsidRPr="00180A1C" w:rsidRDefault="003E2AB7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3E91" w14:textId="77777777" w:rsidR="003E2AB7" w:rsidRPr="00180A1C" w:rsidRDefault="003E2AB7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2441" w14:textId="77777777" w:rsidR="003E2AB7" w:rsidRPr="00180A1C" w:rsidRDefault="003E2AB7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2AB7" w:rsidRPr="00180A1C" w14:paraId="6707E63C" w14:textId="77777777" w:rsidTr="00203007">
        <w:trPr>
          <w:trHeight w:val="30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984E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Black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9A8B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(56%)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6E6F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7  (58%)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6B0B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21 (81%)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7338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8  (47%) </w:t>
            </w:r>
          </w:p>
        </w:tc>
      </w:tr>
      <w:tr w:rsidR="003E2AB7" w:rsidRPr="00180A1C" w14:paraId="54C2BA1E" w14:textId="77777777" w:rsidTr="00203007">
        <w:trPr>
          <w:trHeight w:val="30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8329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Caucasian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7CF0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4  (44%)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A9C7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(42%)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FFAC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3  (12%)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5528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7  (41%) </w:t>
            </w:r>
          </w:p>
        </w:tc>
      </w:tr>
      <w:tr w:rsidR="003E2AB7" w:rsidRPr="00180A1C" w14:paraId="7AA1B3EF" w14:textId="77777777" w:rsidTr="00203007">
        <w:trPr>
          <w:trHeight w:val="30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01E4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Other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5E5F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0  (0%)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347B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47F3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2  (8 %)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F318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2  (12%) </w:t>
            </w:r>
          </w:p>
        </w:tc>
      </w:tr>
      <w:tr w:rsidR="003E2AB7" w:rsidRPr="00180A1C" w14:paraId="2286E59F" w14:textId="77777777" w:rsidTr="00203007">
        <w:trPr>
          <w:trHeight w:val="30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DE52" w14:textId="77777777" w:rsidR="003E2AB7" w:rsidRDefault="003E2AB7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DDCB6C" w14:textId="77777777" w:rsidR="003E2AB7" w:rsidRPr="00180A1C" w:rsidRDefault="003E2AB7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F40E" w14:textId="77777777" w:rsidR="003E2AB7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8CA6D0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32.6 ± 6.5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385A" w14:textId="77777777" w:rsidR="003E2AB7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C6B6C7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37.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± 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C137" w14:textId="77777777" w:rsidR="003E2AB7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273B6A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33.0 ± 11.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2294" w14:textId="77777777" w:rsidR="003E2AB7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7E7623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35.3 ± 11.0</w:t>
            </w:r>
          </w:p>
        </w:tc>
      </w:tr>
      <w:tr w:rsidR="003E2AB7" w:rsidRPr="00180A1C" w14:paraId="2F26EFC3" w14:textId="77777777" w:rsidTr="00203007">
        <w:trPr>
          <w:trHeight w:val="30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D47D" w14:textId="77777777" w:rsidR="003E2AB7" w:rsidRDefault="003E2AB7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9B7D13" w14:textId="77777777" w:rsidR="003E2AB7" w:rsidRPr="00180A1C" w:rsidRDefault="003E2AB7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H2RA use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2E8C" w14:textId="77777777" w:rsidR="003E2AB7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789963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2D5A" w14:textId="77777777" w:rsidR="003E2AB7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55ACFD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2 (17%)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30D7" w14:textId="77777777" w:rsidR="003E2AB7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907428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0  (0%)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0A62" w14:textId="77777777" w:rsidR="003E2AB7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2C2226" w14:textId="77777777" w:rsidR="003E2AB7" w:rsidRPr="00180A1C" w:rsidRDefault="003E2AB7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3  (18%)</w:t>
            </w:r>
          </w:p>
        </w:tc>
      </w:tr>
    </w:tbl>
    <w:p w14:paraId="4A87A04E" w14:textId="168AD66D" w:rsidR="003E2AB7" w:rsidRDefault="003E2AB7"/>
    <w:p w14:paraId="6750D3CF" w14:textId="4454C30B" w:rsidR="0096690C" w:rsidRDefault="0096690C">
      <w:r w:rsidRPr="00161785">
        <w:rPr>
          <w:rFonts w:ascii="Times New Roman" w:hAnsi="Times New Roman" w:cs="Times New Roman"/>
          <w:bCs/>
        </w:rPr>
        <w:t>PPI=proton pump inhibitor</w:t>
      </w:r>
      <w:r>
        <w:rPr>
          <w:rFonts w:ascii="Times New Roman" w:hAnsi="Times New Roman" w:cs="Times New Roman"/>
          <w:bCs/>
        </w:rPr>
        <w:t>,</w:t>
      </w:r>
      <w:r w:rsidRPr="0016178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BMI=body mass index, </w:t>
      </w:r>
      <w:r w:rsidRPr="00161785">
        <w:rPr>
          <w:rFonts w:ascii="Times New Roman" w:hAnsi="Times New Roman" w:cs="Times New Roman"/>
          <w:bCs/>
        </w:rPr>
        <w:t>H2RA=histamine H2-receptor antagonists</w:t>
      </w:r>
    </w:p>
    <w:sectPr w:rsidR="0096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B7"/>
    <w:rsid w:val="003E2AB7"/>
    <w:rsid w:val="009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7D190"/>
  <w15:chartTrackingRefBased/>
  <w15:docId w15:val="{B67AE137-C53E-2D41-90F3-666B34D8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A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2021-04-02T00:15:00Z</dcterms:created>
  <dcterms:modified xsi:type="dcterms:W3CDTF">2021-04-02T17:35:00Z</dcterms:modified>
</cp:coreProperties>
</file>