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BFDC" w14:textId="33FE39E8" w:rsidR="003826B3" w:rsidRPr="00441238" w:rsidRDefault="007F24B9" w:rsidP="006B67D6">
      <w:pPr>
        <w:spacing w:line="480" w:lineRule="auto"/>
        <w:rPr>
          <w:rFonts w:cs="Calibri"/>
          <w:b/>
        </w:rPr>
      </w:pPr>
      <w:r>
        <w:rPr>
          <w:rFonts w:cs="Calibri"/>
          <w:b/>
        </w:rPr>
        <w:t>S</w:t>
      </w:r>
      <w:r>
        <w:rPr>
          <w:rFonts w:cs="Calibri" w:hint="eastAsia"/>
          <w:b/>
        </w:rPr>
        <w:t>upplementary</w:t>
      </w:r>
      <w:r>
        <w:rPr>
          <w:rFonts w:cs="Calibri"/>
          <w:b/>
        </w:rPr>
        <w:t xml:space="preserve"> </w:t>
      </w:r>
      <w:r w:rsidR="003826B3" w:rsidRPr="00441238">
        <w:rPr>
          <w:rFonts w:cs="Calibri"/>
          <w:b/>
        </w:rPr>
        <w:t>Methods</w:t>
      </w:r>
    </w:p>
    <w:p w14:paraId="7B380845" w14:textId="0EEE8C3C" w:rsidR="007A683F" w:rsidRPr="006B67D6" w:rsidRDefault="007A683F" w:rsidP="004D3B86">
      <w:pPr>
        <w:spacing w:line="480" w:lineRule="auto"/>
        <w:rPr>
          <w:rFonts w:cs="Calibri"/>
          <w:b/>
          <w:bCs/>
        </w:rPr>
      </w:pPr>
      <w:bookmarkStart w:id="0" w:name="OLE_LINK18"/>
      <w:bookmarkStart w:id="1" w:name="OLE_LINK19"/>
      <w:bookmarkStart w:id="2" w:name="OLE_LINK57"/>
      <w:bookmarkStart w:id="3" w:name="OLE_LINK58"/>
      <w:bookmarkStart w:id="4" w:name="OLE_LINK73"/>
      <w:r w:rsidRPr="006B67D6">
        <w:rPr>
          <w:rFonts w:cs="Calibri" w:hint="eastAsia"/>
          <w:b/>
          <w:bCs/>
        </w:rPr>
        <w:t>S</w:t>
      </w:r>
      <w:r w:rsidRPr="006B67D6">
        <w:rPr>
          <w:rFonts w:cs="Calibri"/>
          <w:b/>
          <w:bCs/>
        </w:rPr>
        <w:t>tudy population</w:t>
      </w:r>
    </w:p>
    <w:p w14:paraId="4F214206" w14:textId="2B3717B7" w:rsidR="003826B3" w:rsidRPr="00441238" w:rsidRDefault="003826B3" w:rsidP="003826B3">
      <w:pPr>
        <w:spacing w:line="480" w:lineRule="auto"/>
        <w:ind w:firstLineChars="193" w:firstLine="425"/>
        <w:rPr>
          <w:rFonts w:cs="Calibri"/>
        </w:rPr>
      </w:pPr>
      <w:r w:rsidRPr="00441238">
        <w:rPr>
          <w:rFonts w:cs="Calibri"/>
        </w:rPr>
        <w:t xml:space="preserve">The </w:t>
      </w:r>
      <w:bookmarkStart w:id="5" w:name="OLE_LINK46"/>
      <w:bookmarkStart w:id="6" w:name="OLE_LINK47"/>
      <w:bookmarkEnd w:id="0"/>
      <w:bookmarkEnd w:id="1"/>
      <w:bookmarkEnd w:id="2"/>
      <w:bookmarkEnd w:id="3"/>
      <w:bookmarkEnd w:id="4"/>
      <w:r w:rsidR="00A86EEB" w:rsidRPr="00A86EEB">
        <w:rPr>
          <w:rFonts w:cs="Calibri"/>
        </w:rPr>
        <w:t xml:space="preserve">NIH-AARP Diet and Health cohort (referred to as the NIH-AARP cohort) </w:t>
      </w:r>
      <w:bookmarkEnd w:id="5"/>
      <w:bookmarkEnd w:id="6"/>
      <w:r w:rsidRPr="00441238">
        <w:rPr>
          <w:rFonts w:cs="Calibri"/>
        </w:rPr>
        <w:t xml:space="preserve">was established in 1995-1996 with the mailing of questionnaires to 3.5 million AARP members, aged 50-71 years, living in one of six US states (California, Florida, Louisiana, New Jersey, North Carolina, and Pennsylvania) or one of two metropolitan areas (Atlanta, Georgia, and Detroit, Michigan) </w:t>
      </w:r>
      <w:r w:rsidRPr="00441238">
        <w:rPr>
          <w:rFonts w:cs="Calibri"/>
        </w:rPr>
        <w:fldChar w:fldCharType="begin">
          <w:fldData xml:space="preserve">PEVuZE5vdGU+PENpdGU+PEF1dGhvcj5TY2hhdHpraW48L0F1dGhvcj48WWVhcj4yMDAxPC9ZZWFy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</w:fldData>
        </w:fldChar>
      </w:r>
      <w:r w:rsidR="00F47179">
        <w:rPr>
          <w:rFonts w:cs="Calibri"/>
        </w:rPr>
        <w:instrText xml:space="preserve"> ADDIN EN.CITE </w:instrText>
      </w:r>
      <w:r w:rsidR="00F47179">
        <w:rPr>
          <w:rFonts w:cs="Calibri"/>
        </w:rPr>
        <w:fldChar w:fldCharType="begin">
          <w:fldData xml:space="preserve">PEVuZE5vdGU+PENpdGU+PEF1dGhvcj5TY2hhdHpraW48L0F1dGhvcj48WWVhcj4yMDAxPC9ZZWFy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</w:fldData>
        </w:fldChar>
      </w:r>
      <w:r w:rsidR="00F47179">
        <w:rPr>
          <w:rFonts w:cs="Calibri"/>
        </w:rPr>
        <w:instrText xml:space="preserve"> ADDIN EN.CITE.DATA </w:instrText>
      </w:r>
      <w:r w:rsidR="00F47179">
        <w:rPr>
          <w:rFonts w:cs="Calibri"/>
        </w:rPr>
      </w:r>
      <w:r w:rsidR="00F47179">
        <w:rPr>
          <w:rFonts w:cs="Calibri"/>
        </w:rPr>
        <w:fldChar w:fldCharType="end"/>
      </w:r>
      <w:r w:rsidRPr="00441238">
        <w:rPr>
          <w:rFonts w:cs="Calibri"/>
        </w:rPr>
      </w:r>
      <w:r w:rsidRPr="00441238">
        <w:rPr>
          <w:rFonts w:cs="Calibri"/>
        </w:rPr>
        <w:fldChar w:fldCharType="separate"/>
      </w:r>
      <w:r w:rsidR="00F47179">
        <w:rPr>
          <w:rFonts w:cs="Calibri"/>
          <w:noProof/>
        </w:rPr>
        <w:t>(1)</w:t>
      </w:r>
      <w:r w:rsidRPr="00441238">
        <w:rPr>
          <w:rFonts w:cs="Calibri"/>
        </w:rPr>
        <w:fldChar w:fldCharType="end"/>
      </w:r>
      <w:r w:rsidRPr="00441238">
        <w:rPr>
          <w:rFonts w:cs="Calibri"/>
        </w:rPr>
        <w:t xml:space="preserve">. Overall, 17.6% (n= 617,119) of potential participants returned the questionnaire. Of the 566,398 respondents who satisfactorily completed the baseline questionnaire, we further excluded: proxy respondents (n= 15,760), subjects with a history of cancer (except nonmelanoma skin cancer) at baseline (n=51,346), </w:t>
      </w:r>
      <w:bookmarkStart w:id="7" w:name="_Hlk512935186"/>
      <w:r w:rsidRPr="00441238">
        <w:rPr>
          <w:rFonts w:cs="Calibri"/>
        </w:rPr>
        <w:t xml:space="preserve">those with only information on cancer death (n=4,268), </w:t>
      </w:r>
      <w:bookmarkEnd w:id="7"/>
      <w:r w:rsidRPr="00441238">
        <w:rPr>
          <w:rFonts w:cs="Calibri"/>
        </w:rPr>
        <w:t>those with energy intake more than two interquartile ranges above or below the median, which we have used as a marker for questionnaire completeness and accuracy (n=4,387), and those who died or were diagnosed with cancer on the first day of follow-up (n =32). Our final analytic sample included 490,605 participants of whom 454,038 (92.6%) self-reported their race/ethnicity as non-Hispanic white</w:t>
      </w:r>
      <w:r w:rsidR="004A7AF6">
        <w:rPr>
          <w:rFonts w:cs="Calibri"/>
        </w:rPr>
        <w:t xml:space="preserve"> (see </w:t>
      </w:r>
      <w:r w:rsidR="004A7AF6" w:rsidRPr="0088155F">
        <w:rPr>
          <w:rFonts w:cs="Calibri"/>
          <w:b/>
          <w:bCs/>
        </w:rPr>
        <w:t>Supplementary Figure</w:t>
      </w:r>
      <w:r w:rsidR="004A7AF6">
        <w:rPr>
          <w:rFonts w:cs="Calibri"/>
        </w:rPr>
        <w:t xml:space="preserve"> for flowchart of patient enrollment)</w:t>
      </w:r>
      <w:r w:rsidRPr="00441238">
        <w:rPr>
          <w:rFonts w:cs="Calibri"/>
        </w:rPr>
        <w:t xml:space="preserve">. </w:t>
      </w:r>
      <w:bookmarkStart w:id="8" w:name="_Hlk508293105"/>
      <w:r w:rsidRPr="00441238">
        <w:rPr>
          <w:rFonts w:cs="Calibri"/>
        </w:rPr>
        <w:t>The study was approved by the Institutional Review Board of the US National Cancer Institute.</w:t>
      </w:r>
    </w:p>
    <w:bookmarkEnd w:id="8"/>
    <w:p w14:paraId="49EEB79F" w14:textId="7897A643" w:rsidR="003826B3" w:rsidRPr="00441238" w:rsidRDefault="006B67D6" w:rsidP="004D3B86">
      <w:pPr>
        <w:spacing w:line="480" w:lineRule="auto"/>
        <w:rPr>
          <w:rFonts w:cs="Calibri"/>
          <w:b/>
        </w:rPr>
      </w:pPr>
      <w:r>
        <w:rPr>
          <w:rFonts w:cs="Calibri"/>
          <w:b/>
        </w:rPr>
        <w:t>C</w:t>
      </w:r>
      <w:r w:rsidR="003826B3" w:rsidRPr="00441238">
        <w:rPr>
          <w:rFonts w:cs="Calibri"/>
          <w:b/>
        </w:rPr>
        <w:t>ohort follow-up and outcomes</w:t>
      </w:r>
    </w:p>
    <w:p w14:paraId="660727A0" w14:textId="7ED3613A" w:rsidR="003826B3" w:rsidRPr="00441238" w:rsidRDefault="003826B3" w:rsidP="003826B3">
      <w:pPr>
        <w:spacing w:line="480" w:lineRule="auto"/>
        <w:ind w:firstLineChars="193" w:firstLine="425"/>
        <w:rPr>
          <w:rFonts w:cs="Calibri"/>
          <w:color w:val="000000" w:themeColor="text1"/>
        </w:rPr>
      </w:pPr>
      <w:r w:rsidRPr="00441238">
        <w:rPr>
          <w:rFonts w:cs="Calibri"/>
        </w:rPr>
        <w:t xml:space="preserve">Vital status </w:t>
      </w:r>
      <w:bookmarkStart w:id="9" w:name="OLE_LINK173"/>
      <w:bookmarkStart w:id="10" w:name="_Hlk515457607"/>
      <w:r w:rsidRPr="00441238">
        <w:rPr>
          <w:rFonts w:cs="Calibri"/>
        </w:rPr>
        <w:t xml:space="preserve">was obtained by linkage to the National Death Index </w:t>
      </w:r>
      <w:bookmarkEnd w:id="9"/>
      <w:bookmarkEnd w:id="10"/>
      <w:r w:rsidRPr="00441238">
        <w:rPr>
          <w:rFonts w:cs="Calibri"/>
        </w:rPr>
        <w:t xml:space="preserve">and cancer diagnoses were updated via linkage to state cancer registries. Incident </w:t>
      </w:r>
      <w:bookmarkStart w:id="11" w:name="OLE_LINK43"/>
      <w:bookmarkStart w:id="12" w:name="OLE_LINK112"/>
      <w:bookmarkStart w:id="13" w:name="OLE_LINK118"/>
      <w:bookmarkStart w:id="14" w:name="OLE_LINK119"/>
      <w:r w:rsidRPr="00441238">
        <w:rPr>
          <w:rFonts w:cs="Calibri"/>
          <w:color w:val="000000" w:themeColor="text1"/>
        </w:rPr>
        <w:t xml:space="preserve">ESCC, </w:t>
      </w:r>
      <w:r w:rsidR="00FE384B">
        <w:rPr>
          <w:rFonts w:cs="Calibri"/>
          <w:color w:val="000000" w:themeColor="text1"/>
        </w:rPr>
        <w:t>EAC</w:t>
      </w:r>
      <w:r w:rsidRPr="00441238">
        <w:rPr>
          <w:rFonts w:cs="Calibri"/>
          <w:color w:val="000000" w:themeColor="text1"/>
        </w:rPr>
        <w:t xml:space="preserve">, </w:t>
      </w:r>
      <w:bookmarkEnd w:id="11"/>
      <w:bookmarkEnd w:id="12"/>
      <w:r w:rsidRPr="00441238">
        <w:rPr>
          <w:rFonts w:cs="Calibri"/>
        </w:rPr>
        <w:t xml:space="preserve">GCA, and </w:t>
      </w:r>
      <w:bookmarkStart w:id="15" w:name="OLE_LINK29"/>
      <w:bookmarkStart w:id="16" w:name="OLE_LINK30"/>
      <w:bookmarkStart w:id="17" w:name="OLE_LINK39"/>
      <w:bookmarkStart w:id="18" w:name="OLE_LINK38"/>
      <w:r w:rsidRPr="00441238">
        <w:rPr>
          <w:rFonts w:cs="Calibri"/>
          <w:color w:val="000000" w:themeColor="text1"/>
        </w:rPr>
        <w:t xml:space="preserve">GNCA </w:t>
      </w:r>
      <w:bookmarkEnd w:id="13"/>
      <w:bookmarkEnd w:id="14"/>
      <w:bookmarkEnd w:id="15"/>
      <w:bookmarkEnd w:id="16"/>
      <w:bookmarkEnd w:id="17"/>
      <w:bookmarkEnd w:id="18"/>
      <w:r w:rsidRPr="00441238">
        <w:rPr>
          <w:rFonts w:cs="Calibri"/>
          <w:color w:val="000000" w:themeColor="text1"/>
        </w:rPr>
        <w:t xml:space="preserve">were identified by anatomic site and histologic codes of the International Classification of Diseases </w:t>
      </w:r>
      <w:r w:rsidRPr="00441238">
        <w:rPr>
          <w:rFonts w:cs="Calibri"/>
          <w:color w:val="000000" w:themeColor="text1"/>
        </w:rPr>
        <w:lastRenderedPageBreak/>
        <w:t xml:space="preserve">for Oncology, Third </w:t>
      </w:r>
      <w:bookmarkStart w:id="19" w:name="OLE_LINK37"/>
      <w:bookmarkStart w:id="20" w:name="OLE_LINK36"/>
      <w:r w:rsidRPr="00441238">
        <w:rPr>
          <w:rFonts w:cs="Calibri"/>
          <w:color w:val="000000" w:themeColor="text1"/>
        </w:rPr>
        <w:t>Edition</w:t>
      </w:r>
      <w:r w:rsidR="00BF7120">
        <w:rPr>
          <w:rFonts w:cs="Calibri"/>
          <w:color w:val="000000" w:themeColor="text1"/>
        </w:rPr>
        <w:t xml:space="preserve"> </w:t>
      </w:r>
      <w:r w:rsidRPr="00441238">
        <w:rPr>
          <w:rFonts w:cs="Calibri"/>
        </w:rPr>
        <w:fldChar w:fldCharType="begin"/>
      </w:r>
      <w:r w:rsidR="00F47179">
        <w:rPr>
          <w:rFonts w:cs="Calibri"/>
        </w:rPr>
        <w:instrText xml:space="preserve"> ADDIN EN.CITE &lt;EndNote&gt;&lt;Cite&gt;&lt;Author&gt;A.G.&lt;/Author&gt;&lt;Year&gt;2000&lt;/Year&gt;&lt;RecNum&gt;744&lt;/RecNum&gt;&lt;DisplayText&gt;(2)&lt;/DisplayText&gt;&lt;record&gt;&lt;rec-number&gt;744&lt;/rec-number&gt;&lt;foreign-keys&gt;&lt;key app="EN" db-id="frxpaprzc095tse0szppv0eq9f2909vddp2d" timestamp="1510176291"&gt;744&lt;/key&gt;&lt;/foreign-keys&gt;&lt;ref-type name="Journal Article"&gt;17&lt;/ref-type&gt;&lt;contributors&gt;&lt;authors&gt;&lt;author&gt;Fritz A.G. &lt;/author&gt;&lt;/authors&gt;&lt;/contributors&gt;&lt;titles&gt;&lt;title&gt;International classification of diseases for oncology: ICD-O. 3rd edition&lt;/title&gt;&lt;secondary-title&gt;Geneva, Switzerland: World Health Organization&lt;/secondary-title&gt;&lt;/titles&gt;&lt;periodical&gt;&lt;full-title&gt;Geneva, Switzerland: World Health Organization&lt;/full-title&gt;&lt;/periodical&gt;&lt;dates&gt;&lt;year&gt;2000&lt;/year&gt;&lt;/dates&gt;&lt;urls&gt;&lt;/urls&gt;&lt;/record&gt;&lt;/Cite&gt;&lt;/EndNote&gt;</w:instrText>
      </w:r>
      <w:r w:rsidRPr="00441238">
        <w:rPr>
          <w:rFonts w:cs="Calibri"/>
        </w:rPr>
        <w:fldChar w:fldCharType="separate"/>
      </w:r>
      <w:r w:rsidR="00F47179">
        <w:rPr>
          <w:rFonts w:cs="Calibri"/>
          <w:noProof/>
        </w:rPr>
        <w:t>(2)</w:t>
      </w:r>
      <w:r w:rsidRPr="00441238">
        <w:rPr>
          <w:rFonts w:cs="Calibri"/>
        </w:rPr>
        <w:fldChar w:fldCharType="end"/>
      </w:r>
      <w:r w:rsidRPr="00441238">
        <w:rPr>
          <w:rFonts w:cs="Calibri"/>
          <w:color w:val="000000" w:themeColor="text1"/>
        </w:rPr>
        <w:t xml:space="preserve">. Both ESCC and </w:t>
      </w:r>
      <w:r w:rsidR="00FE384B">
        <w:rPr>
          <w:rFonts w:cs="Calibri"/>
          <w:color w:val="000000" w:themeColor="text1"/>
        </w:rPr>
        <w:t>EAC</w:t>
      </w:r>
      <w:r w:rsidRPr="00441238">
        <w:rPr>
          <w:rFonts w:cs="Calibri"/>
          <w:color w:val="000000" w:themeColor="text1"/>
        </w:rPr>
        <w:t xml:space="preserve"> were defined with site code C15.0-C15.9. ESCC included histologic codes of 8070, 8071, 8072, 8074, and 8083, and </w:t>
      </w:r>
      <w:r w:rsidR="00FE384B">
        <w:rPr>
          <w:rFonts w:cs="Calibri"/>
          <w:color w:val="000000" w:themeColor="text1"/>
        </w:rPr>
        <w:t>EAC</w:t>
      </w:r>
      <w:r w:rsidRPr="00441238">
        <w:rPr>
          <w:rFonts w:cs="Calibri"/>
          <w:color w:val="000000" w:themeColor="text1"/>
        </w:rPr>
        <w:t xml:space="preserve"> included 8140, 8142, 8144, 8260, 8261, 8263, 8310, 8480, 8481, 8490, 8570, 8145, 8211, and 8255. GCA</w:t>
      </w:r>
      <w:bookmarkEnd w:id="19"/>
      <w:bookmarkEnd w:id="20"/>
      <w:r w:rsidRPr="00441238">
        <w:rPr>
          <w:rFonts w:cs="Calibri"/>
          <w:color w:val="000000" w:themeColor="text1"/>
        </w:rPr>
        <w:t xml:space="preserve"> was defined with site code C16.0, which presented the </w:t>
      </w:r>
      <w:proofErr w:type="spellStart"/>
      <w:r w:rsidRPr="00441238">
        <w:rPr>
          <w:rFonts w:cs="Calibri"/>
          <w:color w:val="000000" w:themeColor="text1"/>
        </w:rPr>
        <w:t>cardioesophageal</w:t>
      </w:r>
      <w:proofErr w:type="spellEnd"/>
      <w:r w:rsidRPr="00441238">
        <w:rPr>
          <w:rFonts w:cs="Calibri"/>
          <w:color w:val="000000" w:themeColor="text1"/>
        </w:rPr>
        <w:t xml:space="preserve"> junction, the esophagogastric junction, and the gastroesophageal junction</w:t>
      </w:r>
      <w:r w:rsidR="00FB3EAB">
        <w:rPr>
          <w:rFonts w:cs="Calibri"/>
          <w:color w:val="000000" w:themeColor="text1"/>
        </w:rPr>
        <w:t xml:space="preserve"> (GEJ)</w:t>
      </w:r>
      <w:r w:rsidRPr="00441238">
        <w:rPr>
          <w:rFonts w:cs="Calibri"/>
          <w:color w:val="000000" w:themeColor="text1"/>
        </w:rPr>
        <w:t>. GNCA</w:t>
      </w:r>
      <w:bookmarkStart w:id="21" w:name="OLE_LINK35"/>
      <w:bookmarkStart w:id="22" w:name="OLE_LINK34"/>
      <w:bookmarkStart w:id="23" w:name="OLE_LINK33"/>
      <w:r w:rsidRPr="00441238">
        <w:rPr>
          <w:rFonts w:cs="Calibri"/>
          <w:color w:val="000000" w:themeColor="text1"/>
        </w:rPr>
        <w:t xml:space="preserve"> was</w:t>
      </w:r>
      <w:bookmarkEnd w:id="21"/>
      <w:bookmarkEnd w:id="22"/>
      <w:bookmarkEnd w:id="23"/>
      <w:r w:rsidRPr="00441238">
        <w:rPr>
          <w:rFonts w:cs="Calibri"/>
          <w:color w:val="000000" w:themeColor="text1"/>
        </w:rPr>
        <w:t xml:space="preserve"> classified with site codes C16.1–C16.9. Both types of gastric adenocarcinomas excluded histologic codes of 8070, 8072, 8240, 8246, 8560, ≥8800, 8083, 8050, 8245, and 8512. GCA additionally excluded 8000 and 8071, and GNCA further excluded 8000, 8013, 8032, 8041, 8046, and 8572. </w:t>
      </w:r>
    </w:p>
    <w:p w14:paraId="4FB7D272" w14:textId="20E8E54D" w:rsidR="006130A5" w:rsidRPr="006B67D6" w:rsidRDefault="008A2EF0" w:rsidP="004D3B86">
      <w:pPr>
        <w:rPr>
          <w:rFonts w:cs="Calibri"/>
          <w:b/>
          <w:bCs/>
          <w:color w:val="000000" w:themeColor="text1"/>
        </w:rPr>
      </w:pPr>
      <w:r w:rsidRPr="006B67D6">
        <w:rPr>
          <w:rFonts w:cs="Calibri" w:hint="eastAsia"/>
          <w:b/>
          <w:bCs/>
          <w:color w:val="000000" w:themeColor="text1"/>
        </w:rPr>
        <w:t>D</w:t>
      </w:r>
      <w:r w:rsidRPr="006B67D6">
        <w:rPr>
          <w:rFonts w:cs="Calibri"/>
          <w:b/>
          <w:bCs/>
          <w:color w:val="000000" w:themeColor="text1"/>
        </w:rPr>
        <w:t>efinition of risk factors</w:t>
      </w:r>
    </w:p>
    <w:p w14:paraId="21B17771" w14:textId="5E38F90E" w:rsidR="008A2EF0" w:rsidRPr="00603324" w:rsidRDefault="00CE0E7A" w:rsidP="00D50D2D">
      <w:pPr>
        <w:spacing w:line="480" w:lineRule="auto"/>
        <w:rPr>
          <w:rFonts w:cs="Calibri"/>
          <w:color w:val="000000" w:themeColor="text1"/>
        </w:rPr>
      </w:pPr>
      <w:r>
        <w:rPr>
          <w:rFonts w:cs="Calibri"/>
          <w:color w:val="000000" w:themeColor="text1"/>
        </w:rPr>
        <w:tab/>
      </w:r>
      <w:r w:rsidR="008A2EF0" w:rsidRPr="00603324">
        <w:rPr>
          <w:rFonts w:cs="Calibri"/>
          <w:color w:val="000000" w:themeColor="text1"/>
        </w:rPr>
        <w:t>We defined BMI(kg/m2) as a categorical variable according to WHO definitions</w:t>
      </w:r>
      <w:r w:rsidR="008A2EF0" w:rsidRPr="00603324">
        <w:rPr>
          <w:rFonts w:cs="Calibri"/>
          <w:color w:val="000000" w:themeColor="text1"/>
        </w:rPr>
        <w:fldChar w:fldCharType="begin"/>
      </w:r>
      <w:r w:rsidR="00F47179">
        <w:rPr>
          <w:rFonts w:cs="Calibri"/>
          <w:color w:val="000000" w:themeColor="text1"/>
        </w:rPr>
        <w:instrText xml:space="preserve"> ADDIN EN.CITE &lt;EndNote&gt;&lt;Cite&gt;&lt;Author&gt;WHO&lt;/Author&gt;&lt;Year&gt;1995&lt;/Year&gt;&lt;RecNum&gt;826&lt;/RecNum&gt;&lt;DisplayText&gt;(3)&lt;/DisplayText&gt;&lt;record&gt;&lt;rec-number&gt;826&lt;/rec-number&gt;&lt;foreign-keys&gt;&lt;key app="EN" db-id="frxpaprzc095tse0szppv0eq9f2909vddp2d" timestamp="1520528210"&gt;826&lt;/key&gt;&lt;/foreign-keys&gt;&lt;ref-type name="Journal Article"&gt;17&lt;/ref-type&gt;&lt;contributors&gt;&lt;authors&gt;&lt;author&gt;WHO&lt;/author&gt;&lt;/authors&gt;&lt;/contributors&gt;&lt;titles&gt;&lt;title&gt;Physical status: the use and interpretation of anthropometry. Report of a WHO Expert Committee. WHO Technical Report Series 854. Geneva: World Health Organization&lt;/title&gt;&lt;/titles&gt;&lt;dates&gt;&lt;year&gt;1995&lt;/year&gt;&lt;/dates&gt;&lt;urls&gt;&lt;/urls&gt;&lt;/record&gt;&lt;/Cite&gt;&lt;/EndNote&gt;</w:instrText>
      </w:r>
      <w:r w:rsidR="008A2EF0" w:rsidRPr="00603324">
        <w:rPr>
          <w:rFonts w:cs="Calibri"/>
          <w:color w:val="000000" w:themeColor="text1"/>
        </w:rPr>
        <w:fldChar w:fldCharType="separate"/>
      </w:r>
      <w:r w:rsidR="00F47179">
        <w:rPr>
          <w:rFonts w:cs="Calibri"/>
          <w:noProof/>
          <w:color w:val="000000" w:themeColor="text1"/>
        </w:rPr>
        <w:t>(3)</w:t>
      </w:r>
      <w:r w:rsidR="008A2EF0" w:rsidRPr="00603324">
        <w:rPr>
          <w:rFonts w:cs="Calibri"/>
          <w:color w:val="000000" w:themeColor="text1"/>
        </w:rPr>
        <w:fldChar w:fldCharType="end"/>
      </w:r>
      <w:r w:rsidR="008A2EF0" w:rsidRPr="00603324">
        <w:rPr>
          <w:rFonts w:cs="Calibri"/>
          <w:color w:val="000000" w:themeColor="text1"/>
        </w:rPr>
        <w:t xml:space="preserve">: underweight (&lt;18.5), normal weight (18.5–24.9), overweight (25.0–29.9), and obese (≥30.0); we defined smoking status as never, former, and current (participants who reported quitting within the past year were considered current smokers). </w:t>
      </w:r>
      <w:bookmarkStart w:id="24" w:name="OLE_LINK41"/>
      <w:bookmarkStart w:id="25" w:name="OLE_LINK42"/>
      <w:bookmarkStart w:id="26" w:name="OLE_LINK1"/>
      <w:bookmarkStart w:id="27" w:name="OLE_LINK2"/>
      <w:r w:rsidRPr="00D2718D">
        <w:rPr>
          <w:rFonts w:cs="Calibri"/>
          <w:color w:val="000000" w:themeColor="text1"/>
        </w:rPr>
        <w:t xml:space="preserve">We categorized total alcohol beverage consumption as: </w:t>
      </w:r>
      <w:bookmarkStart w:id="28" w:name="OLE_LINK238"/>
      <w:bookmarkStart w:id="29" w:name="OLE_LINK239"/>
      <w:r w:rsidRPr="00D2718D">
        <w:rPr>
          <w:rFonts w:cs="Calibri"/>
          <w:color w:val="000000" w:themeColor="text1"/>
        </w:rPr>
        <w:t>non-drinker, up to or including one drink/day, greater than one to three drinks/day</w:t>
      </w:r>
      <w:bookmarkEnd w:id="28"/>
      <w:bookmarkEnd w:id="29"/>
      <w:r w:rsidRPr="00D2718D">
        <w:rPr>
          <w:rFonts w:cs="Calibri"/>
          <w:color w:val="000000" w:themeColor="text1"/>
        </w:rPr>
        <w:t>, and greater than three drinks/day</w:t>
      </w:r>
      <w:r w:rsidRPr="00D2718D">
        <w:rPr>
          <w:rFonts w:cs="Calibri"/>
          <w:color w:val="000000" w:themeColor="text1"/>
        </w:rPr>
        <w:fldChar w:fldCharType="begin">
          <w:fldData xml:space="preserve">PEVuZE5vdGU+PENpdGU+PEF1dGhvcj5XYW5nPC9BdXRob3I+PFllYXI+MjAxODwvWWVhcj48UmVj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</w:fldData>
        </w:fldChar>
      </w:r>
      <w:r w:rsidR="00F47179">
        <w:rPr>
          <w:rFonts w:cs="Calibri"/>
          <w:color w:val="000000" w:themeColor="text1"/>
        </w:rPr>
        <w:instrText xml:space="preserve"> ADDIN EN.CITE </w:instrText>
      </w:r>
      <w:r w:rsidR="00F47179">
        <w:rPr>
          <w:rFonts w:cs="Calibri"/>
          <w:color w:val="000000" w:themeColor="text1"/>
        </w:rPr>
        <w:fldChar w:fldCharType="begin">
          <w:fldData xml:space="preserve">PEVuZE5vdGU+PENpdGU+PEF1dGhvcj5XYW5nPC9BdXRob3I+PFllYXI+MjAxODwvWWVhcj48UmVj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</w:fldData>
        </w:fldChar>
      </w:r>
      <w:r w:rsidR="00F47179">
        <w:rPr>
          <w:rFonts w:cs="Calibri"/>
          <w:color w:val="000000" w:themeColor="text1"/>
        </w:rPr>
        <w:instrText xml:space="preserve"> ADDIN EN.CITE.DATA </w:instrText>
      </w:r>
      <w:r w:rsidR="00F47179">
        <w:rPr>
          <w:rFonts w:cs="Calibri"/>
          <w:color w:val="000000" w:themeColor="text1"/>
        </w:rPr>
      </w:r>
      <w:r w:rsidR="00F47179">
        <w:rPr>
          <w:rFonts w:cs="Calibri"/>
          <w:color w:val="000000" w:themeColor="text1"/>
        </w:rPr>
        <w:fldChar w:fldCharType="end"/>
      </w:r>
      <w:r w:rsidRPr="00D2718D">
        <w:rPr>
          <w:rFonts w:cs="Calibri"/>
          <w:color w:val="000000" w:themeColor="text1"/>
        </w:rPr>
      </w:r>
      <w:r w:rsidRPr="00D2718D">
        <w:rPr>
          <w:rFonts w:cs="Calibri"/>
          <w:color w:val="000000" w:themeColor="text1"/>
        </w:rPr>
        <w:fldChar w:fldCharType="separate"/>
      </w:r>
      <w:r w:rsidR="00F47179">
        <w:rPr>
          <w:rFonts w:cs="Calibri"/>
          <w:noProof/>
          <w:color w:val="000000" w:themeColor="text1"/>
        </w:rPr>
        <w:t>(4)</w:t>
      </w:r>
      <w:r w:rsidRPr="00D2718D">
        <w:rPr>
          <w:rFonts w:cs="Calibri"/>
          <w:color w:val="000000" w:themeColor="text1"/>
        </w:rPr>
        <w:fldChar w:fldCharType="end"/>
      </w:r>
      <w:r w:rsidR="00BF7120">
        <w:rPr>
          <w:rFonts w:cs="Calibri"/>
          <w:color w:val="000000" w:themeColor="text1"/>
        </w:rPr>
        <w:t>)</w:t>
      </w:r>
      <w:r w:rsidRPr="00D2718D">
        <w:rPr>
          <w:rFonts w:cs="Calibri"/>
          <w:color w:val="000000" w:themeColor="text1"/>
        </w:rPr>
        <w:t xml:space="preserve">. </w:t>
      </w:r>
      <w:bookmarkEnd w:id="24"/>
      <w:bookmarkEnd w:id="25"/>
      <w:r w:rsidRPr="00D2718D">
        <w:rPr>
          <w:rFonts w:cs="Calibri"/>
          <w:color w:val="000000" w:themeColor="text1"/>
        </w:rPr>
        <w:t>One drink corresponded to one serving size according to the US Department of Agriculture’s food guide pyramid: one 12-fluid ounce beer, one 5-fluid ounce glass of wine, or one 1.5-ounce shot of liquor (each approximately 13-14 g of ethanol)</w:t>
      </w:r>
      <w:bookmarkEnd w:id="26"/>
      <w:bookmarkEnd w:id="27"/>
      <w:r w:rsidRPr="00D2718D">
        <w:rPr>
          <w:rFonts w:cs="Calibri"/>
          <w:color w:val="000000" w:themeColor="text1"/>
        </w:rPr>
        <w:fldChar w:fldCharType="begin">
          <w:fldData xml:space="preserve">PEVuZE5vdGU+PENpdGU+PEF1dGhvcj5TdWJhcjwvQXV0aG9yPjxZZWFyPjIwMDA8L1llYXI+PFJl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</w:fldData>
        </w:fldChar>
      </w:r>
      <w:r w:rsidR="00F47179">
        <w:rPr>
          <w:rFonts w:cs="Calibri"/>
          <w:color w:val="000000" w:themeColor="text1"/>
        </w:rPr>
        <w:instrText xml:space="preserve"> ADDIN EN.CITE </w:instrText>
      </w:r>
      <w:r w:rsidR="00F47179">
        <w:rPr>
          <w:rFonts w:cs="Calibri"/>
          <w:color w:val="000000" w:themeColor="text1"/>
        </w:rPr>
        <w:fldChar w:fldCharType="begin">
          <w:fldData xml:space="preserve">PEVuZE5vdGU+PENpdGU+PEF1dGhvcj5TdWJhcjwvQXV0aG9yPjxZZWFyPjIwMDA8L1llYXI+PFJl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</w:fldData>
        </w:fldChar>
      </w:r>
      <w:r w:rsidR="00F47179">
        <w:rPr>
          <w:rFonts w:cs="Calibri"/>
          <w:color w:val="000000" w:themeColor="text1"/>
        </w:rPr>
        <w:instrText xml:space="preserve"> ADDIN EN.CITE.DATA </w:instrText>
      </w:r>
      <w:r w:rsidR="00F47179">
        <w:rPr>
          <w:rFonts w:cs="Calibri"/>
          <w:color w:val="000000" w:themeColor="text1"/>
        </w:rPr>
      </w:r>
      <w:r w:rsidR="00F47179">
        <w:rPr>
          <w:rFonts w:cs="Calibri"/>
          <w:color w:val="000000" w:themeColor="text1"/>
        </w:rPr>
        <w:fldChar w:fldCharType="end"/>
      </w:r>
      <w:r w:rsidRPr="00D2718D">
        <w:rPr>
          <w:rFonts w:cs="Calibri"/>
          <w:color w:val="000000" w:themeColor="text1"/>
        </w:rPr>
      </w:r>
      <w:r w:rsidRPr="00D2718D">
        <w:rPr>
          <w:rFonts w:cs="Calibri"/>
          <w:color w:val="000000" w:themeColor="text1"/>
        </w:rPr>
        <w:fldChar w:fldCharType="separate"/>
      </w:r>
      <w:r w:rsidR="00F47179">
        <w:rPr>
          <w:rFonts w:cs="Calibri"/>
          <w:noProof/>
          <w:color w:val="000000" w:themeColor="text1"/>
        </w:rPr>
        <w:t>(5, 6)</w:t>
      </w:r>
      <w:r w:rsidRPr="00D2718D">
        <w:rPr>
          <w:rFonts w:cs="Calibri"/>
          <w:color w:val="000000" w:themeColor="text1"/>
        </w:rPr>
        <w:fldChar w:fldCharType="end"/>
      </w:r>
      <w:r w:rsidR="00BF7120">
        <w:rPr>
          <w:rFonts w:cs="Calibri"/>
          <w:color w:val="000000" w:themeColor="text1"/>
        </w:rPr>
        <w:t>)</w:t>
      </w:r>
      <w:r w:rsidR="008A2EF0" w:rsidRPr="00603324">
        <w:rPr>
          <w:rFonts w:cs="Calibri"/>
          <w:color w:val="000000" w:themeColor="text1"/>
        </w:rPr>
        <w:t xml:space="preserve">. </w:t>
      </w:r>
      <w:bookmarkStart w:id="30" w:name="OLE_LINK236"/>
      <w:r w:rsidR="008A2EF0" w:rsidRPr="00603324">
        <w:rPr>
          <w:rFonts w:cs="Calibri"/>
          <w:color w:val="000000" w:themeColor="text1"/>
        </w:rPr>
        <w:t>GERD</w:t>
      </w:r>
      <w:bookmarkEnd w:id="30"/>
      <w:r w:rsidR="008A2EF0" w:rsidRPr="00603324">
        <w:rPr>
          <w:rFonts w:cs="Calibri"/>
          <w:color w:val="000000" w:themeColor="text1"/>
        </w:rPr>
        <w:t xml:space="preserve"> diagnoses were extracted from the linkage of the NIH-AARP cohort to the Medicare dataset (1994-2008)</w:t>
      </w:r>
      <w:r w:rsidR="008A2EF0" w:rsidRPr="00603324">
        <w:rPr>
          <w:rFonts w:cs="Calibri" w:hint="eastAsia"/>
          <w:color w:val="000000" w:themeColor="text1"/>
        </w:rPr>
        <w:t xml:space="preserve"> from </w:t>
      </w:r>
      <w:bookmarkStart w:id="31" w:name="OLE_LINK217"/>
      <w:bookmarkStart w:id="32" w:name="OLE_LINK218"/>
      <w:r w:rsidR="008A2EF0" w:rsidRPr="00603324">
        <w:rPr>
          <w:rFonts w:cs="Calibri"/>
          <w:color w:val="000000" w:themeColor="text1"/>
        </w:rPr>
        <w:t>107,258</w:t>
      </w:r>
      <w:bookmarkEnd w:id="31"/>
      <w:bookmarkEnd w:id="32"/>
      <w:r w:rsidR="008A2EF0" w:rsidRPr="00603324">
        <w:rPr>
          <w:rFonts w:cs="Calibri"/>
          <w:color w:val="000000" w:themeColor="text1"/>
        </w:rPr>
        <w:t xml:space="preserve"> (21.9%) of eligible participants. We considered a</w:t>
      </w:r>
      <w:r w:rsidR="008A2EF0" w:rsidRPr="00603324">
        <w:rPr>
          <w:rFonts w:cs="Calibri" w:hint="eastAsia"/>
          <w:color w:val="000000" w:themeColor="text1"/>
        </w:rPr>
        <w:t xml:space="preserve"> </w:t>
      </w:r>
      <w:r w:rsidR="008A2EF0" w:rsidRPr="00603324">
        <w:rPr>
          <w:rFonts w:cs="Calibri"/>
          <w:color w:val="000000" w:themeColor="text1"/>
        </w:rPr>
        <w:t xml:space="preserve">subject had GERD if they had two or more Medicare claims which matched the GERD definition using all claims from the </w:t>
      </w:r>
      <w:bookmarkStart w:id="33" w:name="_Hlk15463243"/>
      <w:r w:rsidR="008A2EF0" w:rsidRPr="00603324">
        <w:rPr>
          <w:rFonts w:cs="Calibri"/>
          <w:color w:val="000000" w:themeColor="text1"/>
        </w:rPr>
        <w:t xml:space="preserve">Medicare Provider Analysis and </w:t>
      </w:r>
      <w:r w:rsidR="008A2EF0" w:rsidRPr="00603324">
        <w:rPr>
          <w:rFonts w:cs="Calibri"/>
          <w:color w:val="000000" w:themeColor="text1"/>
        </w:rPr>
        <w:lastRenderedPageBreak/>
        <w:t>Review file (MEDPAR)</w:t>
      </w:r>
      <w:bookmarkEnd w:id="33"/>
      <w:r w:rsidR="008A2EF0" w:rsidRPr="00603324">
        <w:rPr>
          <w:rFonts w:cs="Calibri"/>
          <w:color w:val="000000" w:themeColor="text1"/>
        </w:rPr>
        <w:t xml:space="preserve">, Outpatient, and the </w:t>
      </w:r>
      <w:bookmarkStart w:id="34" w:name="_Hlk15463255"/>
      <w:r w:rsidR="008A2EF0" w:rsidRPr="00603324">
        <w:rPr>
          <w:rFonts w:cs="Calibri"/>
          <w:color w:val="000000" w:themeColor="text1"/>
        </w:rPr>
        <w:t>National Claims History file (NCH)</w:t>
      </w:r>
      <w:bookmarkEnd w:id="34"/>
      <w:r w:rsidR="008A2EF0" w:rsidRPr="00603324">
        <w:rPr>
          <w:rFonts w:cs="Calibri"/>
          <w:color w:val="000000" w:themeColor="text1"/>
        </w:rPr>
        <w:t xml:space="preserve"> during or after their second eligible year using the NCI Comorbidity Index approach </w:t>
      </w:r>
      <w:r w:rsidR="008A2EF0" w:rsidRPr="00603324">
        <w:rPr>
          <w:rFonts w:cs="Calibri"/>
          <w:color w:val="000000" w:themeColor="text1"/>
        </w:rPr>
        <w:fldChar w:fldCharType="begin">
          <w:fldData xml:space="preserve">PEVuZE5vdGU+PENpdGU+PEF1dGhvcj5DaGFybHNvbjwvQXV0aG9yPjxZZWFyPjE5ODc8L1llYXI+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</w:fldData>
        </w:fldChar>
      </w:r>
      <w:r w:rsidR="00F47179">
        <w:rPr>
          <w:rFonts w:cs="Calibri"/>
          <w:color w:val="000000" w:themeColor="text1"/>
        </w:rPr>
        <w:instrText xml:space="preserve"> ADDIN EN.CITE </w:instrText>
      </w:r>
      <w:r w:rsidR="00F47179">
        <w:rPr>
          <w:rFonts w:cs="Calibri"/>
          <w:color w:val="000000" w:themeColor="text1"/>
        </w:rPr>
        <w:fldChar w:fldCharType="begin">
          <w:fldData xml:space="preserve">PEVuZE5vdGU+PENpdGU+PEF1dGhvcj5DaGFybHNvbjwvQXV0aG9yPjxZZWFyPjE5ODc8L1llYXI+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</w:fldData>
        </w:fldChar>
      </w:r>
      <w:r w:rsidR="00F47179">
        <w:rPr>
          <w:rFonts w:cs="Calibri"/>
          <w:color w:val="000000" w:themeColor="text1"/>
        </w:rPr>
        <w:instrText xml:space="preserve"> ADDIN EN.CITE.DATA </w:instrText>
      </w:r>
      <w:r w:rsidR="00F47179">
        <w:rPr>
          <w:rFonts w:cs="Calibri"/>
          <w:color w:val="000000" w:themeColor="text1"/>
        </w:rPr>
      </w:r>
      <w:r w:rsidR="00F47179">
        <w:rPr>
          <w:rFonts w:cs="Calibri"/>
          <w:color w:val="000000" w:themeColor="text1"/>
        </w:rPr>
        <w:fldChar w:fldCharType="end"/>
      </w:r>
      <w:r w:rsidR="008A2EF0" w:rsidRPr="00603324">
        <w:rPr>
          <w:rFonts w:cs="Calibri"/>
          <w:color w:val="000000" w:themeColor="text1"/>
        </w:rPr>
      </w:r>
      <w:r w:rsidR="008A2EF0" w:rsidRPr="00603324">
        <w:rPr>
          <w:rFonts w:cs="Calibri"/>
          <w:color w:val="000000" w:themeColor="text1"/>
        </w:rPr>
        <w:fldChar w:fldCharType="separate"/>
      </w:r>
      <w:r w:rsidR="00F47179">
        <w:rPr>
          <w:rFonts w:cs="Calibri"/>
          <w:noProof/>
          <w:color w:val="000000" w:themeColor="text1"/>
        </w:rPr>
        <w:t>(7, 8)</w:t>
      </w:r>
      <w:r w:rsidR="008A2EF0" w:rsidRPr="00603324">
        <w:rPr>
          <w:rFonts w:cs="Calibri"/>
          <w:color w:val="000000" w:themeColor="text1"/>
        </w:rPr>
        <w:fldChar w:fldCharType="end"/>
      </w:r>
      <w:r w:rsidR="00BF7120">
        <w:rPr>
          <w:rFonts w:cs="Calibri"/>
          <w:color w:val="000000" w:themeColor="text1"/>
        </w:rPr>
        <w:t>)</w:t>
      </w:r>
      <w:r w:rsidR="008A2EF0" w:rsidRPr="00603324">
        <w:rPr>
          <w:rFonts w:cs="Calibri"/>
          <w:color w:val="000000" w:themeColor="text1"/>
        </w:rPr>
        <w:t>.</w:t>
      </w:r>
    </w:p>
    <w:p w14:paraId="026CBEDB" w14:textId="217D993E" w:rsidR="00BC49AE" w:rsidRDefault="00BC49AE" w:rsidP="0088155F">
      <w:pPr>
        <w:spacing w:after="0" w:line="480" w:lineRule="auto"/>
        <w:ind w:firstLine="420"/>
        <w:rPr>
          <w:color w:val="000000" w:themeColor="text1"/>
          <w:sz w:val="20"/>
          <w:szCs w:val="20"/>
        </w:rPr>
      </w:pPr>
      <w:r w:rsidRPr="00BC49AE">
        <w:rPr>
          <w:rFonts w:cs="Calibri"/>
          <w:color w:val="000000" w:themeColor="text1"/>
        </w:rPr>
        <w:t xml:space="preserve">Because GERD </w:t>
      </w:r>
      <w:r w:rsidR="008201D5">
        <w:rPr>
          <w:rFonts w:cs="Calibri"/>
          <w:color w:val="000000" w:themeColor="text1"/>
        </w:rPr>
        <w:t xml:space="preserve">information </w:t>
      </w:r>
      <w:r w:rsidRPr="00BC49AE">
        <w:rPr>
          <w:rFonts w:cs="Calibri"/>
          <w:color w:val="000000" w:themeColor="text1"/>
        </w:rPr>
        <w:t xml:space="preserve">was missing for a large percentage of the </w:t>
      </w:r>
      <w:r w:rsidR="00DE2074">
        <w:rPr>
          <w:rFonts w:cs="Calibri"/>
          <w:color w:val="000000" w:themeColor="text1"/>
        </w:rPr>
        <w:t xml:space="preserve">NIH-AARP </w:t>
      </w:r>
      <w:r w:rsidRPr="00BC49AE">
        <w:rPr>
          <w:rFonts w:cs="Calibri"/>
          <w:color w:val="000000" w:themeColor="text1"/>
        </w:rPr>
        <w:t>cohort, we multiply-imputed GERD five times using logistic regression imputation models that included age at baseline, sex, ethnicity, educational level, BMI, smoking, alcohol intake, diabetes, and the target subtype of cancer. Moreover, because GERD was missing for all subjects in the 2015 NHIS, we used the multiple-imputation logistic-regression model for GERD data from the NIH-AARP cohort that included age at baseline, sex, ethnicity, BMI, smoking, alcohol intake</w:t>
      </w:r>
      <w:r w:rsidR="005C14F4">
        <w:rPr>
          <w:rFonts w:cs="Calibri"/>
          <w:color w:val="000000" w:themeColor="text1"/>
        </w:rPr>
        <w:t>,</w:t>
      </w:r>
      <w:r w:rsidRPr="00BC49AE">
        <w:rPr>
          <w:rFonts w:cs="Calibri"/>
          <w:color w:val="000000" w:themeColor="text1"/>
        </w:rPr>
        <w:t xml:space="preserve"> and diabetes to multiply-impute missing GERD five times for all the NHIS subjects. </w:t>
      </w:r>
      <w:r w:rsidR="008D2894">
        <w:rPr>
          <w:color w:val="000000" w:themeColor="text1"/>
        </w:rPr>
        <w:t>The additional variance due to multiply-imputed GERD was incorporated into the computation of confidence intervals and p-values for the HR’s using the standard approach that accounts for within- and between-imputation variance</w:t>
      </w:r>
      <w:r w:rsidR="00E87216">
        <w:rPr>
          <w:color w:val="000000" w:themeColor="text1"/>
        </w:rPr>
        <w:t xml:space="preserve"> </w:t>
      </w:r>
      <w:r w:rsidR="008D2894">
        <w:rPr>
          <w:color w:val="000000" w:themeColor="text1"/>
        </w:rPr>
        <w:fldChar w:fldCharType="begin">
          <w:fldData xml:space="preserve">PEVuZE5vdGU+PENpdGU+PEF1dGhvcj5TY2hhZmVyPC9BdXRob3I+PFllYXI+MTk5OTwvWWVhcj48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</w:fldData>
        </w:fldChar>
      </w:r>
      <w:r w:rsidR="005546DA">
        <w:rPr>
          <w:color w:val="000000" w:themeColor="text1"/>
        </w:rPr>
        <w:instrText xml:space="preserve"> ADDIN EN.CITE </w:instrText>
      </w:r>
      <w:r w:rsidR="005546DA">
        <w:rPr>
          <w:color w:val="000000" w:themeColor="text1"/>
        </w:rPr>
        <w:fldChar w:fldCharType="begin">
          <w:fldData xml:space="preserve">PEVuZE5vdGU+PENpdGU+PEF1dGhvcj5TY2hhZmVyPC9BdXRob3I+PFllYXI+MTk5OTwvWWVhcj48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</w:fldData>
        </w:fldChar>
      </w:r>
      <w:r w:rsidR="005546DA">
        <w:rPr>
          <w:color w:val="000000" w:themeColor="text1"/>
        </w:rPr>
        <w:instrText xml:space="preserve"> ADDIN EN.CITE.DATA </w:instrText>
      </w:r>
      <w:r w:rsidR="005546DA">
        <w:rPr>
          <w:color w:val="000000" w:themeColor="text1"/>
        </w:rPr>
      </w:r>
      <w:r w:rsidR="005546DA">
        <w:rPr>
          <w:color w:val="000000" w:themeColor="text1"/>
        </w:rPr>
        <w:fldChar w:fldCharType="end"/>
      </w:r>
      <w:r w:rsidR="008D2894">
        <w:rPr>
          <w:color w:val="000000" w:themeColor="text1"/>
        </w:rPr>
      </w:r>
      <w:r w:rsidR="008D2894">
        <w:rPr>
          <w:color w:val="000000" w:themeColor="text1"/>
        </w:rPr>
        <w:fldChar w:fldCharType="separate"/>
      </w:r>
      <w:r w:rsidR="00326CCD">
        <w:rPr>
          <w:noProof/>
          <w:color w:val="000000" w:themeColor="text1"/>
        </w:rPr>
        <w:t>(9, 10)</w:t>
      </w:r>
      <w:r w:rsidR="008D2894">
        <w:rPr>
          <w:color w:val="000000" w:themeColor="text1"/>
        </w:rPr>
        <w:fldChar w:fldCharType="end"/>
      </w:r>
      <w:r w:rsidR="008D2894">
        <w:rPr>
          <w:color w:val="000000" w:themeColor="text1"/>
        </w:rPr>
        <w:t>.</w:t>
      </w:r>
      <w:r w:rsidR="00887A56">
        <w:rPr>
          <w:color w:val="000000" w:themeColor="text1"/>
          <w:sz w:val="20"/>
          <w:szCs w:val="20"/>
        </w:rPr>
        <w:t xml:space="preserve"> </w:t>
      </w:r>
    </w:p>
    <w:p w14:paraId="690FCB7E" w14:textId="77777777" w:rsidR="00CF227D" w:rsidRDefault="00CF227D">
      <w:pPr>
        <w:spacing w:after="0" w:line="240" w:lineRule="auto"/>
        <w:rPr>
          <w:rFonts w:cs="Calibri"/>
          <w:b/>
          <w:bCs/>
        </w:rPr>
      </w:pPr>
      <w:r>
        <w:rPr>
          <w:rFonts w:cs="Calibri"/>
          <w:b/>
          <w:bCs/>
        </w:rPr>
        <w:br w:type="page"/>
      </w:r>
    </w:p>
    <w:p w14:paraId="654F1BEF" w14:textId="5AD99AAD" w:rsidR="006130A5" w:rsidRPr="005C14F4" w:rsidRDefault="006B67D6" w:rsidP="0088155F">
      <w:pPr>
        <w:spacing w:after="0" w:line="480" w:lineRule="auto"/>
        <w:ind w:left="284" w:hangingChars="129" w:hanging="284"/>
        <w:rPr>
          <w:rFonts w:cs="Calibri"/>
        </w:rPr>
      </w:pPr>
      <w:r w:rsidRPr="008D02AF">
        <w:rPr>
          <w:rFonts w:cs="Calibri"/>
          <w:b/>
          <w:bCs/>
        </w:rPr>
        <w:lastRenderedPageBreak/>
        <w:t xml:space="preserve">Supplementary </w:t>
      </w:r>
      <w:r w:rsidR="006130A5" w:rsidRPr="008D02AF">
        <w:rPr>
          <w:rFonts w:cs="Calibri"/>
          <w:b/>
          <w:bCs/>
        </w:rPr>
        <w:t>Reference</w:t>
      </w:r>
      <w:r w:rsidRPr="008D02AF">
        <w:rPr>
          <w:rFonts w:cs="Calibri"/>
          <w:b/>
          <w:bCs/>
        </w:rPr>
        <w:t>s</w:t>
      </w:r>
    </w:p>
    <w:p w14:paraId="4C4A91DF" w14:textId="77777777" w:rsidR="005546DA" w:rsidRPr="0088155F" w:rsidRDefault="006130A5" w:rsidP="0088155F">
      <w:pPr>
        <w:pStyle w:val="EndNoteBibliography"/>
        <w:spacing w:line="480" w:lineRule="auto"/>
        <w:ind w:left="284" w:hangingChars="129" w:hanging="284"/>
        <w:rPr>
          <w:rFonts w:ascii="Calibri" w:hAnsi="Calibri"/>
        </w:rPr>
      </w:pPr>
      <w:r w:rsidRPr="008D02AF">
        <w:rPr>
          <w:rFonts w:ascii="Calibri" w:eastAsiaTheme="minorEastAsia" w:hAnsi="Calibri"/>
          <w:noProof w:val="0"/>
          <w:color w:val="000000" w:themeColor="text1"/>
          <w:kern w:val="0"/>
        </w:rPr>
        <w:fldChar w:fldCharType="begin"/>
      </w:r>
      <w:r w:rsidRPr="005546DA">
        <w:rPr>
          <w:rFonts w:ascii="Calibri" w:eastAsiaTheme="minorEastAsia" w:hAnsi="Calibri"/>
          <w:noProof w:val="0"/>
          <w:color w:val="000000" w:themeColor="text1"/>
          <w:kern w:val="0"/>
        </w:rPr>
        <w:instrText xml:space="preserve"> ADDIN EN.REFLIST </w:instrText>
      </w:r>
      <w:r w:rsidRPr="008D02AF">
        <w:rPr>
          <w:rFonts w:ascii="Calibri" w:eastAsiaTheme="minorEastAsia" w:hAnsi="Calibri"/>
          <w:noProof w:val="0"/>
          <w:color w:val="000000" w:themeColor="text1"/>
          <w:kern w:val="0"/>
        </w:rPr>
        <w:fldChar w:fldCharType="separate"/>
      </w:r>
      <w:r w:rsidR="005546DA" w:rsidRPr="0088155F">
        <w:rPr>
          <w:rFonts w:ascii="Calibri" w:hAnsi="Calibri"/>
        </w:rPr>
        <w:t>1.</w:t>
      </w:r>
      <w:r w:rsidR="005546DA" w:rsidRPr="0088155F">
        <w:rPr>
          <w:rFonts w:ascii="Calibri" w:hAnsi="Calibri"/>
        </w:rPr>
        <w:tab/>
        <w:t>Schatzkin A, Subar AF, Thompson FE, et al. Design and serendipity in establishing a large cohort with wide dietary intake distributions : the National Institutes of Health-American Association of Retired Persons Diet and Health Study. Am J Epidemiol 2001;154:1119-25.</w:t>
      </w:r>
    </w:p>
    <w:p w14:paraId="7BEC4705"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2.</w:t>
      </w:r>
      <w:r w:rsidRPr="0088155F">
        <w:rPr>
          <w:rFonts w:ascii="Calibri" w:hAnsi="Calibri"/>
        </w:rPr>
        <w:tab/>
        <w:t>A.G. F. International classification of diseases for oncology: ICD-O. 3rd edition. Geneva, Switzerland: World Health Organization 2000.</w:t>
      </w:r>
    </w:p>
    <w:p w14:paraId="6A67D9A9"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3.</w:t>
      </w:r>
      <w:r w:rsidRPr="0088155F">
        <w:rPr>
          <w:rFonts w:ascii="Calibri" w:hAnsi="Calibri"/>
        </w:rPr>
        <w:tab/>
        <w:t>WHO. Physical status: the use and interpretation of anthropometry. Report of a WHO Expert Committee. WHO Technical Report Series 854. Geneva: World Health Organization. 1995.</w:t>
      </w:r>
    </w:p>
    <w:p w14:paraId="7B31FDF6"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4.</w:t>
      </w:r>
      <w:r w:rsidRPr="0088155F">
        <w:rPr>
          <w:rFonts w:ascii="Calibri" w:hAnsi="Calibri"/>
        </w:rPr>
        <w:tab/>
        <w:t>Wang S, Freedman ND, Loftfield E, et al. Alcohol consumption and risk of gastric cardia adenocarcinoma and gastric noncardia adenocarcinoma: A 16-year prospective analysis from the NIH-AARP diet and health cohort. Int J Cancer 2018;143:2749-2757.</w:t>
      </w:r>
    </w:p>
    <w:p w14:paraId="07617E0E"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5.</w:t>
      </w:r>
      <w:r w:rsidRPr="0088155F">
        <w:rPr>
          <w:rFonts w:ascii="Calibri" w:hAnsi="Calibri"/>
        </w:rPr>
        <w:tab/>
        <w:t>Subar AF, Midthune D, Kulldorff M, et al. Evaluation of alternative approaches to assign nutrient values to food groups in food frequency questionnaires. Am J Epidemiol 2000;152:279-86.</w:t>
      </w:r>
    </w:p>
    <w:p w14:paraId="6870BA96"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6.</w:t>
      </w:r>
      <w:r w:rsidRPr="0088155F">
        <w:rPr>
          <w:rFonts w:ascii="Calibri" w:hAnsi="Calibri"/>
        </w:rPr>
        <w:tab/>
        <w:t>KS T, YS C, eds. Design and operation: Continuing Survey of Food Intakes by Individuals and the Diet and Health Knowledge Survey, 1994–96. Beltsville, MD: US Department of Agriculture 1998.</w:t>
      </w:r>
    </w:p>
    <w:p w14:paraId="77FBEA00"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7.</w:t>
      </w:r>
      <w:r w:rsidRPr="0088155F">
        <w:rPr>
          <w:rFonts w:ascii="Calibri" w:hAnsi="Calibri"/>
        </w:rPr>
        <w:tab/>
        <w:t>Charlson ME, Pompei P, Ales KL, et al. A new method of classifying prognostic comorbidity in longitudinal studies: development and validation. J Chronic Dis 1987;40:373-83.</w:t>
      </w:r>
    </w:p>
    <w:p w14:paraId="24E23F87"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8.</w:t>
      </w:r>
      <w:r w:rsidRPr="0088155F">
        <w:rPr>
          <w:rFonts w:ascii="Calibri" w:hAnsi="Calibri"/>
        </w:rPr>
        <w:tab/>
        <w:t>Klabunde CN, Potosky AL, Legler JM, et al. Development of a comorbidity index using physician claims data. J Clin Epidemiol 2000;53:1258-67.</w:t>
      </w:r>
    </w:p>
    <w:p w14:paraId="592CE601"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lastRenderedPageBreak/>
        <w:t>9.</w:t>
      </w:r>
      <w:r w:rsidRPr="0088155F">
        <w:rPr>
          <w:rFonts w:ascii="Calibri" w:hAnsi="Calibri"/>
        </w:rPr>
        <w:tab/>
        <w:t>Schafer JL. Multiple imputation: a primer. Stat Methods Med Res 1999;8:3-15.</w:t>
      </w:r>
    </w:p>
    <w:p w14:paraId="14F44D35" w14:textId="77777777" w:rsidR="005546DA" w:rsidRPr="0088155F" w:rsidRDefault="005546DA" w:rsidP="0088155F">
      <w:pPr>
        <w:pStyle w:val="EndNoteBibliography"/>
        <w:spacing w:line="480" w:lineRule="auto"/>
        <w:ind w:left="284" w:hangingChars="129" w:hanging="284"/>
        <w:rPr>
          <w:rFonts w:ascii="Calibri" w:hAnsi="Calibri"/>
        </w:rPr>
      </w:pPr>
      <w:r w:rsidRPr="0088155F">
        <w:rPr>
          <w:rFonts w:ascii="Calibri" w:hAnsi="Calibri"/>
        </w:rPr>
        <w:t>10.</w:t>
      </w:r>
      <w:r w:rsidRPr="0088155F">
        <w:rPr>
          <w:rFonts w:ascii="Calibri" w:hAnsi="Calibri"/>
        </w:rPr>
        <w:tab/>
        <w:t>Wang SM, Freedman ND, Katki HA, et al. Gastroesophageal reflux disease: A risk factor for laryngeal squamous cell carcinoma and esophageal squamous cell carcinoma in the NIH-AARP Diet and Health Study cohort. Cancer 2021. Publish Ahead of Print, DOI:10.1002/cncr.33427.</w:t>
      </w:r>
    </w:p>
    <w:p w14:paraId="2AFCEAC0" w14:textId="53F0B97E" w:rsidR="00D36203" w:rsidRPr="00D36203" w:rsidRDefault="006130A5" w:rsidP="00D36203">
      <w:pPr>
        <w:spacing w:line="480" w:lineRule="auto"/>
        <w:ind w:left="284" w:hangingChars="129" w:hanging="284"/>
        <w:rPr>
          <w:rFonts w:cs="Calibri"/>
        </w:rPr>
      </w:pPr>
      <w:r w:rsidRPr="008D02AF">
        <w:rPr>
          <w:rFonts w:cs="Calibri"/>
          <w:color w:val="000000" w:themeColor="text1"/>
        </w:rPr>
        <w:fldChar w:fldCharType="end"/>
      </w:r>
    </w:p>
    <w:sectPr w:rsidR="00D36203" w:rsidRPr="00D36203" w:rsidSect="00A27144">
      <w:footerReference w:type="default" r:id="rId6"/>
      <w:pgSz w:w="11906" w:h="16838" w:code="9"/>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9537" w14:textId="77777777" w:rsidR="00FB47AB" w:rsidRDefault="00FB47AB" w:rsidP="007F24B9">
      <w:pPr>
        <w:spacing w:after="0" w:line="240" w:lineRule="auto"/>
      </w:pPr>
      <w:r>
        <w:separator/>
      </w:r>
    </w:p>
  </w:endnote>
  <w:endnote w:type="continuationSeparator" w:id="0">
    <w:p w14:paraId="057B05B8" w14:textId="77777777" w:rsidR="00FB47AB" w:rsidRDefault="00FB47AB" w:rsidP="007F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52864"/>
      <w:docPartObj>
        <w:docPartGallery w:val="Page Numbers (Bottom of Page)"/>
        <w:docPartUnique/>
      </w:docPartObj>
    </w:sdtPr>
    <w:sdtEndPr/>
    <w:sdtContent>
      <w:p w14:paraId="2B3EF433" w14:textId="755C92A1" w:rsidR="00A27144" w:rsidRDefault="00A27144">
        <w:pPr>
          <w:pStyle w:val="a5"/>
          <w:jc w:val="center"/>
        </w:pPr>
        <w:r>
          <w:fldChar w:fldCharType="begin"/>
        </w:r>
        <w:r>
          <w:instrText>PAGE   \* MERGEFORMAT</w:instrText>
        </w:r>
        <w:r>
          <w:fldChar w:fldCharType="separate"/>
        </w:r>
        <w:r>
          <w:rPr>
            <w:lang w:val="zh-CN"/>
          </w:rPr>
          <w:t>2</w:t>
        </w:r>
        <w:r>
          <w:fldChar w:fldCharType="end"/>
        </w:r>
      </w:p>
    </w:sdtContent>
  </w:sdt>
  <w:p w14:paraId="46646E2E" w14:textId="77777777" w:rsidR="00A27144" w:rsidRDefault="00A27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7CA8" w14:textId="77777777" w:rsidR="00FB47AB" w:rsidRDefault="00FB47AB" w:rsidP="007F24B9">
      <w:pPr>
        <w:spacing w:after="0" w:line="240" w:lineRule="auto"/>
      </w:pPr>
      <w:r>
        <w:separator/>
      </w:r>
    </w:p>
  </w:footnote>
  <w:footnote w:type="continuationSeparator" w:id="0">
    <w:p w14:paraId="760EDA65" w14:textId="77777777" w:rsidR="00FB47AB" w:rsidRDefault="00FB47AB" w:rsidP="007F2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 Copy&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xpaprzc095tse0szppv0eq9f2909vddp2d&quot;&gt;My EndNote Library&lt;record-ids&gt;&lt;item&gt;558&lt;/item&gt;&lt;item&gt;677&lt;/item&gt;&lt;item&gt;730&lt;/item&gt;&lt;item&gt;845&lt;/item&gt;&lt;/record-ids&gt;&lt;/item&gt;&lt;/Libraries&gt;"/>
  </w:docVars>
  <w:rsids>
    <w:rsidRoot w:val="003826B3"/>
    <w:rsid w:val="000336EF"/>
    <w:rsid w:val="000629AF"/>
    <w:rsid w:val="000B6395"/>
    <w:rsid w:val="000F718C"/>
    <w:rsid w:val="001001DC"/>
    <w:rsid w:val="0011270D"/>
    <w:rsid w:val="00116CAF"/>
    <w:rsid w:val="00261322"/>
    <w:rsid w:val="002A7EC5"/>
    <w:rsid w:val="002B294A"/>
    <w:rsid w:val="002F3303"/>
    <w:rsid w:val="002F4E03"/>
    <w:rsid w:val="00326CCD"/>
    <w:rsid w:val="003826B3"/>
    <w:rsid w:val="00385DFA"/>
    <w:rsid w:val="003D6B88"/>
    <w:rsid w:val="00441238"/>
    <w:rsid w:val="0049574E"/>
    <w:rsid w:val="004A7AF6"/>
    <w:rsid w:val="004B73FE"/>
    <w:rsid w:val="004D11B3"/>
    <w:rsid w:val="004D3B86"/>
    <w:rsid w:val="005471F0"/>
    <w:rsid w:val="005546DA"/>
    <w:rsid w:val="00564570"/>
    <w:rsid w:val="005C14F4"/>
    <w:rsid w:val="005E5830"/>
    <w:rsid w:val="00603324"/>
    <w:rsid w:val="00605658"/>
    <w:rsid w:val="006130A5"/>
    <w:rsid w:val="00643AD4"/>
    <w:rsid w:val="00652CF2"/>
    <w:rsid w:val="00656E4D"/>
    <w:rsid w:val="006B67D6"/>
    <w:rsid w:val="007A683F"/>
    <w:rsid w:val="007F24B9"/>
    <w:rsid w:val="008201D5"/>
    <w:rsid w:val="008264F0"/>
    <w:rsid w:val="00832E12"/>
    <w:rsid w:val="00865E44"/>
    <w:rsid w:val="0088155F"/>
    <w:rsid w:val="00887A56"/>
    <w:rsid w:val="008A2EF0"/>
    <w:rsid w:val="008D02AF"/>
    <w:rsid w:val="008D2894"/>
    <w:rsid w:val="00913D19"/>
    <w:rsid w:val="009432BD"/>
    <w:rsid w:val="0099435D"/>
    <w:rsid w:val="009B07F4"/>
    <w:rsid w:val="009F4201"/>
    <w:rsid w:val="00A27144"/>
    <w:rsid w:val="00A86EEB"/>
    <w:rsid w:val="00AD5590"/>
    <w:rsid w:val="00AE18AB"/>
    <w:rsid w:val="00B36892"/>
    <w:rsid w:val="00B44AEF"/>
    <w:rsid w:val="00BC49AE"/>
    <w:rsid w:val="00BF7120"/>
    <w:rsid w:val="00CE0E7A"/>
    <w:rsid w:val="00CF227D"/>
    <w:rsid w:val="00D2718D"/>
    <w:rsid w:val="00D36203"/>
    <w:rsid w:val="00D420CD"/>
    <w:rsid w:val="00D50D2D"/>
    <w:rsid w:val="00DE2074"/>
    <w:rsid w:val="00E87216"/>
    <w:rsid w:val="00E92295"/>
    <w:rsid w:val="00EB2426"/>
    <w:rsid w:val="00F47179"/>
    <w:rsid w:val="00FB197F"/>
    <w:rsid w:val="00FB3EAB"/>
    <w:rsid w:val="00FB47AB"/>
    <w:rsid w:val="00FE384B"/>
    <w:rsid w:val="00FE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301D"/>
  <w15:chartTrackingRefBased/>
  <w15:docId w15:val="{AD5E22DA-24E2-460B-B022-FB22D768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44"/>
    <w:pPr>
      <w:spacing w:after="160" w:line="256" w:lineRule="auto"/>
    </w:pPr>
    <w:rPr>
      <w:rFonts w:ascii="Calibri" w:hAnsi="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AD5590"/>
    <w:pPr>
      <w:widowControl w:val="0"/>
      <w:spacing w:after="0" w:line="240" w:lineRule="auto"/>
      <w:jc w:val="both"/>
    </w:pPr>
    <w:rPr>
      <w:rFonts w:ascii="等线" w:eastAsia="等线" w:hAnsi="等线" w:cs="Calibri"/>
      <w:noProof/>
      <w:kern w:val="2"/>
    </w:rPr>
  </w:style>
  <w:style w:type="character" w:customStyle="1" w:styleId="EndNoteBibliographyChar">
    <w:name w:val="EndNote Bibliography Char"/>
    <w:basedOn w:val="a0"/>
    <w:link w:val="EndNoteBibliography"/>
    <w:rsid w:val="00AD5590"/>
    <w:rPr>
      <w:rFonts w:ascii="等线" w:eastAsia="等线" w:hAnsi="等线" w:cs="Calibri"/>
      <w:noProof/>
      <w:sz w:val="22"/>
    </w:rPr>
  </w:style>
  <w:style w:type="paragraph" w:customStyle="1" w:styleId="EndNoteBibliographyTitle">
    <w:name w:val="EndNote Bibliography Title"/>
    <w:basedOn w:val="a"/>
    <w:link w:val="EndNoteBibliographyTitleChar"/>
    <w:rsid w:val="00AD5590"/>
    <w:pPr>
      <w:widowControl w:val="0"/>
      <w:spacing w:after="0" w:line="240" w:lineRule="auto"/>
      <w:jc w:val="center"/>
    </w:pPr>
    <w:rPr>
      <w:rFonts w:ascii="等线" w:eastAsia="等线" w:hAnsi="等线" w:cs="Calibri"/>
      <w:noProof/>
      <w:kern w:val="2"/>
    </w:rPr>
  </w:style>
  <w:style w:type="character" w:customStyle="1" w:styleId="EndNoteBibliographyTitleChar">
    <w:name w:val="EndNote Bibliography Title Char"/>
    <w:basedOn w:val="a0"/>
    <w:link w:val="EndNoteBibliographyTitle"/>
    <w:rsid w:val="00AD5590"/>
    <w:rPr>
      <w:rFonts w:ascii="等线" w:eastAsia="等线" w:hAnsi="等线" w:cs="Calibri"/>
      <w:noProof/>
      <w:sz w:val="22"/>
    </w:rPr>
  </w:style>
  <w:style w:type="paragraph" w:styleId="a3">
    <w:name w:val="header"/>
    <w:basedOn w:val="a"/>
    <w:link w:val="a4"/>
    <w:uiPriority w:val="99"/>
    <w:unhideWhenUsed/>
    <w:rsid w:val="007F24B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F24B9"/>
    <w:rPr>
      <w:kern w:val="0"/>
      <w:sz w:val="18"/>
      <w:szCs w:val="18"/>
    </w:rPr>
  </w:style>
  <w:style w:type="paragraph" w:styleId="a5">
    <w:name w:val="footer"/>
    <w:basedOn w:val="a"/>
    <w:link w:val="a6"/>
    <w:uiPriority w:val="99"/>
    <w:unhideWhenUsed/>
    <w:rsid w:val="007F24B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F24B9"/>
    <w:rPr>
      <w:kern w:val="0"/>
      <w:sz w:val="18"/>
      <w:szCs w:val="18"/>
    </w:rPr>
  </w:style>
  <w:style w:type="paragraph" w:styleId="a7">
    <w:name w:val="Balloon Text"/>
    <w:basedOn w:val="a"/>
    <w:link w:val="a8"/>
    <w:uiPriority w:val="99"/>
    <w:semiHidden/>
    <w:unhideWhenUsed/>
    <w:rsid w:val="008A2EF0"/>
    <w:pPr>
      <w:spacing w:after="0" w:line="240" w:lineRule="auto"/>
    </w:pPr>
    <w:rPr>
      <w:sz w:val="18"/>
      <w:szCs w:val="18"/>
    </w:rPr>
  </w:style>
  <w:style w:type="character" w:customStyle="1" w:styleId="a8">
    <w:name w:val="批注框文本 字符"/>
    <w:basedOn w:val="a0"/>
    <w:link w:val="a7"/>
    <w:uiPriority w:val="99"/>
    <w:semiHidden/>
    <w:rsid w:val="008A2EF0"/>
    <w:rPr>
      <w:kern w:val="0"/>
      <w:sz w:val="18"/>
      <w:szCs w:val="18"/>
    </w:rPr>
  </w:style>
  <w:style w:type="character" w:styleId="a9">
    <w:name w:val="line number"/>
    <w:basedOn w:val="a0"/>
    <w:uiPriority w:val="99"/>
    <w:semiHidden/>
    <w:unhideWhenUsed/>
    <w:rsid w:val="00A2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WangSM</dc:creator>
  <cp:keywords/>
  <dc:description/>
  <cp:lastModifiedBy>WangSM</cp:lastModifiedBy>
  <cp:revision>3</cp:revision>
  <dcterms:created xsi:type="dcterms:W3CDTF">2021-04-21T10:55:00Z</dcterms:created>
  <dcterms:modified xsi:type="dcterms:W3CDTF">2021-04-21T10:55:00Z</dcterms:modified>
</cp:coreProperties>
</file>