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A7B8" w14:textId="4D6153D3" w:rsidR="00D47B82" w:rsidRDefault="00D47B82" w:rsidP="00D47B82">
      <w:pPr>
        <w:rPr>
          <w:b/>
        </w:rPr>
      </w:pPr>
      <w:r>
        <w:rPr>
          <w:b/>
        </w:rPr>
        <w:t>Supplementary Table 1</w:t>
      </w:r>
      <w:r w:rsidRPr="00D6111D">
        <w:rPr>
          <w:b/>
        </w:rPr>
        <w:t>.</w:t>
      </w:r>
      <w:r w:rsidRPr="00922C43">
        <w:rPr>
          <w:b/>
        </w:rPr>
        <w:t xml:space="preserve"> </w:t>
      </w:r>
      <w:r w:rsidR="00E72E02">
        <w:t>Hazard ratios</w:t>
      </w:r>
      <w:r w:rsidR="00E72E02" w:rsidRPr="00831D94">
        <w:t xml:space="preserve"> and 95%</w:t>
      </w:r>
      <w:r w:rsidR="0082372E">
        <w:t>CI</w:t>
      </w:r>
      <w:r w:rsidR="00E72E02" w:rsidRPr="00831D94">
        <w:t>s</w:t>
      </w:r>
      <w:r w:rsidR="0082372E">
        <w:t xml:space="preserve"> </w:t>
      </w:r>
      <w:r w:rsidRPr="00653EE5">
        <w:rPr>
          <w:bCs/>
        </w:rPr>
        <w:t xml:space="preserve">of </w:t>
      </w:r>
      <w:r w:rsidRPr="00922C43">
        <w:rPr>
          <w:bCs/>
        </w:rPr>
        <w:t>potential</w:t>
      </w:r>
      <w:r w:rsidRPr="00653EE5">
        <w:rPr>
          <w:bCs/>
        </w:rPr>
        <w:t xml:space="preserve"> risk factors for esophageal adenocarcinoma and gastric cardia adenocarcinoma in the NIH-AARP Diet and Health Study Cohort subset with eligible Medicare data on GERD (n=107,258, 1995-2011)</w:t>
      </w:r>
    </w:p>
    <w:tbl>
      <w:tblPr>
        <w:tblW w:w="8835" w:type="dxa"/>
        <w:tblLook w:val="04A0" w:firstRow="1" w:lastRow="0" w:firstColumn="1" w:lastColumn="0" w:noHBand="0" w:noVBand="1"/>
      </w:tblPr>
      <w:tblGrid>
        <w:gridCol w:w="2697"/>
        <w:gridCol w:w="1043"/>
        <w:gridCol w:w="1878"/>
        <w:gridCol w:w="1043"/>
        <w:gridCol w:w="2174"/>
      </w:tblGrid>
      <w:tr w:rsidR="00D47B82" w:rsidRPr="00D6111D" w14:paraId="6CDCCF58" w14:textId="77777777" w:rsidTr="00922C43">
        <w:trPr>
          <w:trHeight w:val="725"/>
        </w:trPr>
        <w:tc>
          <w:tcPr>
            <w:tcW w:w="26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F2B63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Variables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0643C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Esophageal adenocarcinoma (n=313)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22185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 xml:space="preserve">Gastric cardia </w:t>
            </w:r>
            <w:r w:rsidRPr="00D6111D">
              <w:rPr>
                <w:rFonts w:eastAsia="等线" w:cstheme="minorHAnsi"/>
                <w:b/>
                <w:bCs/>
                <w:color w:val="000000"/>
              </w:rPr>
              <w:t>adenocarcinoma (</w:t>
            </w:r>
            <w:r w:rsidRPr="00922C43">
              <w:rPr>
                <w:rFonts w:eastAsia="等线" w:cstheme="minorHAnsi"/>
                <w:b/>
                <w:bCs/>
                <w:color w:val="000000"/>
              </w:rPr>
              <w:t>n=662)</w:t>
            </w:r>
          </w:p>
        </w:tc>
      </w:tr>
      <w:tr w:rsidR="00D47B82" w:rsidRPr="00D6111D" w14:paraId="6EEEDD19" w14:textId="77777777" w:rsidTr="00922C43">
        <w:trPr>
          <w:trHeight w:val="613"/>
        </w:trPr>
        <w:tc>
          <w:tcPr>
            <w:tcW w:w="26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0B4F9D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A228F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No. of cases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B0C7" w14:textId="29D998D3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HR</w:t>
            </w:r>
            <w:r>
              <w:rPr>
                <w:rFonts w:eastAsia="等线" w:cstheme="minorHAnsi"/>
                <w:b/>
                <w:bCs/>
                <w:color w:val="000000"/>
                <w:vertAlign w:val="superscript"/>
              </w:rPr>
              <w:t>1</w:t>
            </w:r>
            <w:r w:rsidRPr="00922C43">
              <w:rPr>
                <w:rFonts w:eastAsia="等线" w:cstheme="minorHAnsi"/>
                <w:b/>
                <w:bCs/>
                <w:color w:val="000000"/>
              </w:rPr>
              <w:t xml:space="preserve"> (</w:t>
            </w:r>
            <w:r w:rsidR="006910C1">
              <w:rPr>
                <w:rFonts w:eastAsia="等线" w:cstheme="minorHAnsi"/>
                <w:b/>
                <w:bCs/>
                <w:color w:val="000000"/>
              </w:rPr>
              <w:t>95%CIs</w:t>
            </w:r>
            <w:r w:rsidRPr="00922C43">
              <w:rPr>
                <w:rFonts w:eastAsia="等线" w:cstheme="minorHAnsi"/>
                <w:b/>
                <w:bCs/>
                <w:color w:val="000000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67A31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No. of cases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A709B" w14:textId="1BC8A1F5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HR</w:t>
            </w:r>
            <w:r>
              <w:rPr>
                <w:rFonts w:eastAsia="等线" w:cstheme="minorHAnsi"/>
                <w:b/>
                <w:bCs/>
                <w:color w:val="000000"/>
                <w:vertAlign w:val="superscript"/>
              </w:rPr>
              <w:t>1</w:t>
            </w:r>
            <w:r w:rsidRPr="00922C43">
              <w:rPr>
                <w:rFonts w:eastAsia="等线" w:cstheme="minorHAnsi"/>
                <w:b/>
                <w:bCs/>
                <w:color w:val="000000"/>
              </w:rPr>
              <w:t xml:space="preserve"> (</w:t>
            </w:r>
            <w:r w:rsidR="006910C1">
              <w:rPr>
                <w:rFonts w:eastAsia="等线" w:cstheme="minorHAnsi"/>
                <w:b/>
                <w:bCs/>
                <w:color w:val="000000"/>
              </w:rPr>
              <w:t>95%CIs</w:t>
            </w:r>
            <w:r w:rsidRPr="00922C43">
              <w:rPr>
                <w:rFonts w:eastAsia="等线" w:cstheme="minorHAnsi"/>
                <w:b/>
                <w:bCs/>
                <w:color w:val="000000"/>
              </w:rPr>
              <w:t>)</w:t>
            </w:r>
          </w:p>
        </w:tc>
      </w:tr>
      <w:tr w:rsidR="00D47B82" w:rsidRPr="00D6111D" w14:paraId="50DFDAC2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EC69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Sex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5A60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F3BC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4B7C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CC3C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7B82" w:rsidRPr="00D6111D" w14:paraId="606C0FE2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30D3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Female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5DB28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5278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97D44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71F8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1.00</w:t>
            </w:r>
          </w:p>
        </w:tc>
      </w:tr>
      <w:tr w:rsidR="00D47B82" w:rsidRPr="00D6111D" w14:paraId="692B5D6C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44F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Male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810F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294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E56E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10.65 (6.67-17.01)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283A6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202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7D94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4.82 (3.20-7.29)</w:t>
            </w:r>
          </w:p>
        </w:tc>
      </w:tr>
      <w:tr w:rsidR="00D47B82" w:rsidRPr="00D6111D" w14:paraId="2C55CFD8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DD17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Race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8190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52B9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3BC7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2074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7B82" w:rsidRPr="00D6111D" w14:paraId="30832AF0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52CE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Non-Hispanic white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C91A9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306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DEBB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979B6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221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036C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1.00</w:t>
            </w:r>
          </w:p>
        </w:tc>
      </w:tr>
      <w:tr w:rsidR="00D47B82" w:rsidRPr="00D6111D" w14:paraId="6599BA42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17D3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Non-Hispanic black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5BCEF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215F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0.29 (0.07-1.15)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31FCB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5FFA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0.73 (0.27-1.97)</w:t>
            </w:r>
          </w:p>
        </w:tc>
      </w:tr>
      <w:tr w:rsidR="00D47B82" w:rsidRPr="00D6111D" w14:paraId="3A24A664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57E8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Hispanic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48A1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312B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0.80 (0.26-2.48)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5E895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6B2E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-</w:t>
            </w:r>
          </w:p>
        </w:tc>
      </w:tr>
      <w:tr w:rsidR="00D47B82" w:rsidRPr="00D6111D" w14:paraId="0B3A8D3F" w14:textId="77777777" w:rsidTr="00922C43">
        <w:trPr>
          <w:trHeight w:val="354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02CA3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Other</w:t>
            </w:r>
            <w:r>
              <w:rPr>
                <w:rFonts w:eastAsia="等线" w:cstheme="minorHAnsi"/>
                <w:color w:val="000000"/>
                <w:vertAlign w:val="superscrip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D28AE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6F49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0.65 (0.16-2.60)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FEF5B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3380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1.64 (0.61-4.43)</w:t>
            </w:r>
          </w:p>
        </w:tc>
      </w:tr>
      <w:tr w:rsidR="00D47B82" w:rsidRPr="00D6111D" w14:paraId="2EEFB36B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51E6" w14:textId="48DB56CA" w:rsidR="00D47B82" w:rsidRPr="00D6111D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bookmarkStart w:id="0" w:name="_Hlk69973420"/>
            <w:r w:rsidRPr="007F47BF">
              <w:rPr>
                <w:rFonts w:eastAsia="等线" w:cstheme="minorHAnsi"/>
                <w:b/>
                <w:bCs/>
                <w:color w:val="000000"/>
              </w:rPr>
              <w:t>BMI</w:t>
            </w:r>
            <w:bookmarkEnd w:id="0"/>
            <w:r w:rsidRPr="00922C43">
              <w:rPr>
                <w:rFonts w:eastAsia="等线" w:cstheme="minorHAnsi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BE3E" w14:textId="77777777" w:rsidR="00D47B82" w:rsidRPr="00D6111D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A3AA0" w14:textId="77777777" w:rsidR="00D47B82" w:rsidRPr="00D6111D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7C764" w14:textId="77777777" w:rsidR="00D47B82" w:rsidRPr="00D6111D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3B2A" w14:textId="77777777" w:rsidR="00D47B82" w:rsidRPr="00D6111D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</w:p>
        </w:tc>
      </w:tr>
      <w:tr w:rsidR="00D47B82" w:rsidRPr="00D6111D" w14:paraId="3E6B8F40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EB2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18.5-&lt;25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2FCD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55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9CD9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EE5A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54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AB0A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1.00</w:t>
            </w:r>
          </w:p>
        </w:tc>
      </w:tr>
      <w:tr w:rsidR="00D47B82" w:rsidRPr="00D6111D" w14:paraId="0A1B8DED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6464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25-&lt;30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1782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170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C57E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1.95 (1.44-2.64)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68DC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107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A3F4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1.24 (0.90-1.72)</w:t>
            </w:r>
          </w:p>
        </w:tc>
      </w:tr>
      <w:tr w:rsidR="00D47B82" w:rsidRPr="00D6111D" w14:paraId="0878D4F3" w14:textId="77777777" w:rsidTr="00922C43">
        <w:trPr>
          <w:trHeight w:val="322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7F1C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 w:hint="eastAsia"/>
                <w:color w:val="000000"/>
              </w:rPr>
              <w:t>≥</w:t>
            </w:r>
            <w:r w:rsidRPr="00922C43">
              <w:rPr>
                <w:rFonts w:eastAsia="等线" w:cstheme="minorHAnsi"/>
                <w:color w:val="000000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92FFD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86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B615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2.56 (1.83-3.58)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00DCF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66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914C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1.82 (1.27-2.63)</w:t>
            </w:r>
          </w:p>
        </w:tc>
      </w:tr>
      <w:tr w:rsidR="00D47B82" w:rsidRPr="00D6111D" w14:paraId="339AF126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1491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Smoking status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D18C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BDA6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88B0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7352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7B82" w:rsidRPr="00D6111D" w14:paraId="1A4ECF26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8E8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Never smoker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C9EC5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66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DA62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D43F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38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2510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1.00</w:t>
            </w:r>
          </w:p>
        </w:tc>
      </w:tr>
      <w:tr w:rsidR="00D47B82" w:rsidRPr="00D6111D" w14:paraId="2413C12E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B3B4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Former smoker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3E47E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194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A962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1.36 (1.02-1.80)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1F4B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163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627B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2.12 (1.48-3.03)</w:t>
            </w:r>
          </w:p>
        </w:tc>
      </w:tr>
      <w:tr w:rsidR="00D47B82" w:rsidRPr="00D6111D" w14:paraId="5E5D0299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D9E7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Current smoker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244BD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53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EDFC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2.28 (1.58-3.27)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DC8E5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C5B3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2.06 (1.26-3.37)</w:t>
            </w:r>
          </w:p>
        </w:tc>
      </w:tr>
      <w:tr w:rsidR="00D47B82" w:rsidRPr="00D6111D" w14:paraId="5A8B7034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859F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Alcohol drinking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E222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DCC3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F757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78E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7B82" w:rsidRPr="00D6111D" w14:paraId="0C8EC7D2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7121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Never drinker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CCA98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E743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B819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58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9137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1.19 (0.86-1.65)</w:t>
            </w:r>
          </w:p>
        </w:tc>
      </w:tr>
      <w:tr w:rsidR="00D47B82" w:rsidRPr="00D6111D" w14:paraId="3A06E6EF" w14:textId="77777777" w:rsidTr="00922C43">
        <w:trPr>
          <w:trHeight w:val="322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8C9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&gt;0-1 drink/ day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AAB62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ABD0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522E8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106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D7AD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1.00</w:t>
            </w:r>
          </w:p>
        </w:tc>
      </w:tr>
      <w:tr w:rsidR="00D47B82" w:rsidRPr="00D6111D" w14:paraId="72877106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258F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&gt;1 to 3 drinks/ day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BA468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123C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B435E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38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3023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1.06 (0.73-1.54)</w:t>
            </w:r>
          </w:p>
        </w:tc>
      </w:tr>
      <w:tr w:rsidR="00D47B82" w:rsidRPr="00D6111D" w14:paraId="1C550D9E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E9DE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&gt;3 drinks/ day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3B8B3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76B5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C2C4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97D7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1.29 (0.84-1.98)</w:t>
            </w:r>
          </w:p>
        </w:tc>
      </w:tr>
      <w:tr w:rsidR="00D47B82" w:rsidRPr="00D6111D" w14:paraId="4A1A5221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1947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 xml:space="preserve">Self-reported </w:t>
            </w:r>
            <w:r>
              <w:rPr>
                <w:rFonts w:eastAsia="等线" w:cstheme="minorHAnsi"/>
                <w:b/>
                <w:bCs/>
                <w:color w:val="000000"/>
              </w:rPr>
              <w:t>d</w:t>
            </w:r>
            <w:r w:rsidRPr="00922C43">
              <w:rPr>
                <w:rFonts w:eastAsia="等线" w:cstheme="minorHAnsi"/>
                <w:b/>
                <w:bCs/>
                <w:color w:val="000000"/>
              </w:rPr>
              <w:t>iabetes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E7916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EE9F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A3B5B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D39F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7B82" w:rsidRPr="00D6111D" w14:paraId="63E1F313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9959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0D19C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2543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06225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191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E102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1.00</w:t>
            </w:r>
          </w:p>
        </w:tc>
      </w:tr>
      <w:tr w:rsidR="00D47B82" w:rsidRPr="00D6111D" w14:paraId="59499798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08B9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6A5D4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A356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AF49B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38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BA66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1.55 (1.08-2.22)</w:t>
            </w:r>
          </w:p>
        </w:tc>
      </w:tr>
      <w:tr w:rsidR="00D47B82" w:rsidRPr="00D6111D" w14:paraId="47E5A65D" w14:textId="77777777" w:rsidTr="00922C43">
        <w:trPr>
          <w:trHeight w:val="354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996D" w14:textId="3BE607C2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  <w:r>
              <w:rPr>
                <w:rFonts w:eastAsia="等线" w:cstheme="minorHAnsi"/>
                <w:b/>
                <w:bCs/>
                <w:color w:val="000000"/>
              </w:rPr>
              <w:t>GERD</w:t>
            </w:r>
            <w:r w:rsidRPr="00922C43">
              <w:rPr>
                <w:rFonts w:eastAsia="等线" w:cstheme="minorHAnsi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EA6D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b/>
                <w:bCs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2CF0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EF1F" w14:textId="77777777" w:rsidR="00D47B82" w:rsidRPr="00922C43" w:rsidRDefault="00D47B82" w:rsidP="00922C4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C86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7B82" w:rsidRPr="00D6111D" w14:paraId="671965AF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14C7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5EBB6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184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81A8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ACA05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139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004E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1.00</w:t>
            </w:r>
          </w:p>
        </w:tc>
      </w:tr>
      <w:tr w:rsidR="00D47B82" w:rsidRPr="00D6111D" w14:paraId="7E7D8B6A" w14:textId="77777777" w:rsidTr="00922C43">
        <w:trPr>
          <w:trHeight w:val="306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ED100" w14:textId="77777777" w:rsidR="00D47B82" w:rsidRPr="00922C43" w:rsidRDefault="00D47B82" w:rsidP="00922C43">
            <w:pPr>
              <w:spacing w:after="0" w:line="240" w:lineRule="auto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D274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A83BC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2.04 (1.63-2.56)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C83BD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color w:val="000000"/>
              </w:rPr>
            </w:pPr>
            <w:r w:rsidRPr="00922C43">
              <w:rPr>
                <w:rFonts w:eastAsia="等线" w:cstheme="minorHAnsi"/>
                <w:color w:val="000000"/>
              </w:rPr>
              <w:t>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6A53B" w14:textId="77777777" w:rsidR="00D47B82" w:rsidRPr="00922C43" w:rsidRDefault="00D47B82" w:rsidP="00922C43">
            <w:pPr>
              <w:spacing w:after="0" w:line="240" w:lineRule="auto"/>
              <w:jc w:val="center"/>
              <w:rPr>
                <w:rFonts w:eastAsia="等线" w:cstheme="minorHAnsi"/>
                <w:b/>
                <w:bCs/>
                <w:color w:val="000000"/>
              </w:rPr>
            </w:pPr>
            <w:r w:rsidRPr="00922C43">
              <w:rPr>
                <w:rFonts w:eastAsia="等线" w:cstheme="minorHAnsi"/>
                <w:b/>
                <w:bCs/>
                <w:color w:val="000000"/>
              </w:rPr>
              <w:t>1.84 (1.41-2.40)</w:t>
            </w:r>
          </w:p>
        </w:tc>
      </w:tr>
    </w:tbl>
    <w:p w14:paraId="74BA7703" w14:textId="16F9332C" w:rsidR="00D47B82" w:rsidRDefault="00D47B82">
      <w:pPr>
        <w:rPr>
          <w:b/>
        </w:rPr>
        <w:sectPr w:rsidR="00D47B82" w:rsidSect="00D6111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Note: </w:t>
      </w:r>
      <w:r w:rsidR="00B970D4" w:rsidRPr="00B970D4">
        <w:t>BMI</w:t>
      </w:r>
      <w:r w:rsidR="00B970D4">
        <w:t>,</w:t>
      </w:r>
      <w:r w:rsidR="00B970D4" w:rsidRPr="00B970D4">
        <w:t xml:space="preserve"> </w:t>
      </w:r>
      <w:r w:rsidR="00B970D4">
        <w:t>b</w:t>
      </w:r>
      <w:r w:rsidR="00B970D4" w:rsidRPr="00B970D4">
        <w:t>ody mass index</w:t>
      </w:r>
      <w:r w:rsidR="00B970D4">
        <w:t>;</w:t>
      </w:r>
      <w:r w:rsidR="00B970D4" w:rsidRPr="00B970D4">
        <w:t xml:space="preserve"> </w:t>
      </w:r>
      <w:r w:rsidR="0082372E" w:rsidRPr="00831D94">
        <w:t>CIs</w:t>
      </w:r>
      <w:r w:rsidR="0082372E">
        <w:t>,</w:t>
      </w:r>
      <w:r w:rsidR="0082372E" w:rsidRPr="00831D94">
        <w:t xml:space="preserve"> confidence intervals</w:t>
      </w:r>
      <w:r w:rsidR="0082372E">
        <w:t>;</w:t>
      </w:r>
      <w:r w:rsidR="0082372E">
        <w:t xml:space="preserve"> </w:t>
      </w:r>
      <w:r w:rsidR="00B970D4">
        <w:t>GERD,</w:t>
      </w:r>
      <w:r w:rsidR="00B970D4" w:rsidRPr="00B970D4">
        <w:t xml:space="preserve"> </w:t>
      </w:r>
      <w:r w:rsidR="00B970D4">
        <w:t>g</w:t>
      </w:r>
      <w:r w:rsidR="00B970D4" w:rsidRPr="00B970D4">
        <w:t>astroesophageal reflux disease</w:t>
      </w:r>
      <w:r w:rsidR="00B970D4">
        <w:t>;</w:t>
      </w:r>
      <w:r w:rsidR="00B970D4" w:rsidRPr="00B970D4">
        <w:t xml:space="preserve"> </w:t>
      </w:r>
      <w:r w:rsidR="0082372E">
        <w:t>H</w:t>
      </w:r>
      <w:r w:rsidR="0082372E" w:rsidRPr="00831D94">
        <w:t>R</w:t>
      </w:r>
      <w:r w:rsidR="0082372E">
        <w:t xml:space="preserve">, hazard ratio; </w:t>
      </w:r>
      <w:r>
        <w:t>1, E</w:t>
      </w:r>
      <w:r w:rsidRPr="00FF22BC">
        <w:t xml:space="preserve">stimates </w:t>
      </w:r>
      <w:r>
        <w:t xml:space="preserve">of adjusted HRs </w:t>
      </w:r>
      <w:r w:rsidRPr="00FF22BC">
        <w:t>come from Cox proportional hazards regression</w:t>
      </w:r>
      <w:r>
        <w:t xml:space="preserve"> </w:t>
      </w:r>
      <w:r>
        <w:rPr>
          <w:rFonts w:hint="eastAsia"/>
        </w:rPr>
        <w:t>with</w:t>
      </w:r>
      <w:r>
        <w:t xml:space="preserve"> age as the time scale</w:t>
      </w:r>
      <w:r w:rsidRPr="00F3266A">
        <w:t xml:space="preserve">; </w:t>
      </w:r>
      <w:r w:rsidRPr="009942CF">
        <w:t xml:space="preserve">2, </w:t>
      </w:r>
      <w:r>
        <w:t>O</w:t>
      </w:r>
      <w:r w:rsidRPr="009942CF">
        <w:t>ther includ</w:t>
      </w:r>
      <w:r>
        <w:t>es</w:t>
      </w:r>
      <w:r w:rsidRPr="009942CF">
        <w:t xml:space="preserve"> Asian/Pacific Islander/American Indian/Native Alaskan; </w:t>
      </w:r>
      <w:r w:rsidRPr="00A311B8">
        <w:t>3, excluded underweight participant</w:t>
      </w:r>
      <w:r>
        <w:t>s,</w:t>
      </w:r>
      <w:r w:rsidRPr="00A311B8">
        <w:t xml:space="preserve"> </w:t>
      </w:r>
      <w:r>
        <w:t>i.e.,</w:t>
      </w:r>
      <w:r w:rsidRPr="00A311B8">
        <w:t xml:space="preserve"> BMI </w:t>
      </w:r>
      <w:r>
        <w:t>&lt;</w:t>
      </w:r>
      <w:r w:rsidRPr="00A311B8">
        <w:t xml:space="preserve"> 18.5;</w:t>
      </w:r>
      <w:r>
        <w:t xml:space="preserve"> 4</w:t>
      </w:r>
      <w:r w:rsidRPr="009942CF">
        <w:t xml:space="preserve">, </w:t>
      </w:r>
      <w:r w:rsidRPr="003A3572">
        <w:t>GERD was extracted from the Medicare data</w:t>
      </w:r>
      <w:r>
        <w:t>.</w:t>
      </w:r>
    </w:p>
    <w:p w14:paraId="6C9F2017" w14:textId="49C2023E" w:rsidR="002A4B5B" w:rsidRDefault="002A4B5B">
      <w:pPr>
        <w:rPr>
          <w:b/>
        </w:rPr>
      </w:pPr>
      <w:r>
        <w:rPr>
          <w:b/>
        </w:rPr>
        <w:lastRenderedPageBreak/>
        <w:t xml:space="preserve">Supplementary Table </w:t>
      </w:r>
      <w:r w:rsidR="00D47B82">
        <w:rPr>
          <w:b/>
        </w:rPr>
        <w:t>2</w:t>
      </w:r>
      <w:r>
        <w:t>. Hazard ratios</w:t>
      </w:r>
      <w:r w:rsidRPr="00831D94">
        <w:t xml:space="preserve"> and 95%CIs for potential risk factors for esophageal cancer and gastric adenocarcinoma in 2015 in the United States</w:t>
      </w:r>
      <w:r w:rsidR="00992A0E">
        <w:t xml:space="preserve">, additionally include diabetes and GERD for ESCC and GNCA, </w:t>
      </w:r>
      <w:r w:rsidR="00D53637">
        <w:rPr>
          <w:rFonts w:hint="eastAsia"/>
        </w:rPr>
        <w:t>and</w:t>
      </w:r>
      <w:r w:rsidR="00D53637">
        <w:t xml:space="preserve"> </w:t>
      </w:r>
      <w:r w:rsidR="00992A0E">
        <w:t xml:space="preserve">alcohol </w:t>
      </w:r>
      <w:r w:rsidR="00357A51">
        <w:t xml:space="preserve">intake </w:t>
      </w:r>
      <w:r w:rsidR="00992A0E">
        <w:t>and diabetes for EAC.</w:t>
      </w:r>
    </w:p>
    <w:tbl>
      <w:tblPr>
        <w:tblW w:w="13600" w:type="dxa"/>
        <w:tblLook w:val="04A0" w:firstRow="1" w:lastRow="0" w:firstColumn="1" w:lastColumn="0" w:noHBand="0" w:noVBand="1"/>
      </w:tblPr>
      <w:tblGrid>
        <w:gridCol w:w="2240"/>
        <w:gridCol w:w="824"/>
        <w:gridCol w:w="1981"/>
        <w:gridCol w:w="823"/>
        <w:gridCol w:w="2132"/>
        <w:gridCol w:w="822"/>
        <w:gridCol w:w="1978"/>
        <w:gridCol w:w="822"/>
        <w:gridCol w:w="1978"/>
      </w:tblGrid>
      <w:tr w:rsidR="00230E95" w:rsidRPr="00230E95" w14:paraId="28FA3CF9" w14:textId="77777777" w:rsidTr="007120D6">
        <w:trPr>
          <w:trHeight w:val="285"/>
        </w:trPr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64F0C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Variables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348B7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Esophageal cancer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67A7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Gastric adenocarcinoma</w:t>
            </w:r>
          </w:p>
        </w:tc>
      </w:tr>
      <w:tr w:rsidR="00230E95" w:rsidRPr="00230E95" w14:paraId="166E80FB" w14:textId="77777777" w:rsidTr="007120D6">
        <w:trPr>
          <w:trHeight w:val="675"/>
        </w:trPr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01E4FD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9128" w14:textId="1A92032E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ESCC</w:t>
            </w:r>
            <w:r w:rsidR="006C1289">
              <w:rPr>
                <w:rFonts w:ascii="Calibri" w:eastAsia="等线" w:hAnsi="Calibri" w:cs="Calibri"/>
                <w:b/>
                <w:bCs/>
                <w:color w:val="000000"/>
              </w:rPr>
              <w:t xml:space="preserve"> 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(n=301)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7DCE" w14:textId="3F2D7B2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EAC (n=931)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0C3F" w14:textId="6E90AC43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GCA (n=662)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A083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GNCA (n=713)</w:t>
            </w:r>
          </w:p>
        </w:tc>
      </w:tr>
      <w:tr w:rsidR="00230E95" w:rsidRPr="00230E95" w14:paraId="595323AD" w14:textId="77777777" w:rsidTr="007120D6">
        <w:trPr>
          <w:trHeight w:val="570"/>
        </w:trPr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56EA49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6C8D7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No. of cases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39D2C" w14:textId="32DCCDCE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HR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  <w:vertAlign w:val="superscript"/>
              </w:rPr>
              <w:t>1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</w:t>
            </w:r>
            <w:r w:rsidR="006910C1">
              <w:rPr>
                <w:rFonts w:ascii="Calibri" w:eastAsia="等线" w:hAnsi="Calibri" w:cs="Calibri"/>
                <w:b/>
                <w:bCs/>
                <w:color w:val="000000"/>
              </w:rPr>
              <w:t>95%CIs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17C3F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No. of cases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5FDF" w14:textId="5BD02409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HR</w:t>
            </w:r>
            <w:r w:rsidR="00E40993">
              <w:rPr>
                <w:rFonts w:ascii="Calibri" w:eastAsia="等线" w:hAnsi="Calibri" w:cs="Calibri"/>
                <w:b/>
                <w:bCs/>
                <w:color w:val="000000"/>
                <w:vertAlign w:val="superscript"/>
              </w:rPr>
              <w:t>1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</w:t>
            </w:r>
            <w:r w:rsidR="006910C1">
              <w:rPr>
                <w:rFonts w:ascii="Calibri" w:eastAsia="等线" w:hAnsi="Calibri" w:cs="Calibri"/>
                <w:b/>
                <w:bCs/>
                <w:color w:val="000000"/>
              </w:rPr>
              <w:t>95%CIs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29F76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No. of cases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C6D93" w14:textId="5B03630E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HR</w:t>
            </w:r>
            <w:r w:rsidR="00E40993">
              <w:rPr>
                <w:rFonts w:ascii="Calibri" w:eastAsia="等线" w:hAnsi="Calibri" w:cs="Calibri"/>
                <w:b/>
                <w:bCs/>
                <w:color w:val="000000"/>
                <w:vertAlign w:val="superscript"/>
              </w:rPr>
              <w:t>1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</w:t>
            </w:r>
            <w:r w:rsidR="006910C1">
              <w:rPr>
                <w:rFonts w:ascii="Calibri" w:eastAsia="等线" w:hAnsi="Calibri" w:cs="Calibri"/>
                <w:b/>
                <w:bCs/>
                <w:color w:val="000000"/>
              </w:rPr>
              <w:t>95%CIs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4760C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No. of cases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17571" w14:textId="2BFBFE9B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HR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  <w:vertAlign w:val="superscript"/>
              </w:rPr>
              <w:t>1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</w:t>
            </w:r>
            <w:r w:rsidR="006910C1">
              <w:rPr>
                <w:rFonts w:ascii="Calibri" w:eastAsia="等线" w:hAnsi="Calibri" w:cs="Calibri"/>
                <w:b/>
                <w:bCs/>
                <w:color w:val="000000"/>
              </w:rPr>
              <w:t>95%CIs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</w:tr>
      <w:tr w:rsidR="00230E95" w:rsidRPr="00230E95" w14:paraId="2E918801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8374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F0A6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05A5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4FA6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82CD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B0BC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1A53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D013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2E4A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30E95" w:rsidRPr="00230E95" w14:paraId="08CA8F22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4DE8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Female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871F4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99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9214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8ED72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69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02A2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3E0FB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80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FF1B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9ADCF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202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9D4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</w:tr>
      <w:tr w:rsidR="00230E95" w:rsidRPr="00230E95" w14:paraId="3AFC8F1A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BB28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Male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5C306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202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A0B0" w14:textId="12CDEED9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1.1</w:t>
            </w:r>
            <w:r w:rsidR="00703D68">
              <w:rPr>
                <w:rFonts w:ascii="Calibri" w:eastAsia="等线" w:hAnsi="Calibri" w:cs="Calibri"/>
                <w:color w:val="000000"/>
              </w:rPr>
              <w:t>8</w:t>
            </w:r>
            <w:r w:rsidRPr="007120D6">
              <w:rPr>
                <w:rFonts w:ascii="Calibri" w:eastAsia="等线" w:hAnsi="Calibri" w:cs="Calibri"/>
                <w:color w:val="000000"/>
              </w:rPr>
              <w:t xml:space="preserve"> (0.</w:t>
            </w:r>
            <w:r w:rsidR="00703D68">
              <w:rPr>
                <w:rFonts w:ascii="Calibri" w:eastAsia="等线" w:hAnsi="Calibri" w:cs="Calibri"/>
                <w:color w:val="000000"/>
              </w:rPr>
              <w:t>90</w:t>
            </w:r>
            <w:r w:rsidRPr="007120D6">
              <w:rPr>
                <w:rFonts w:ascii="Calibri" w:eastAsia="等线" w:hAnsi="Calibri" w:cs="Calibri"/>
                <w:color w:val="000000"/>
              </w:rPr>
              <w:t>-1.5</w:t>
            </w:r>
            <w:r w:rsidR="00703D68">
              <w:rPr>
                <w:rFonts w:ascii="Calibri" w:eastAsia="等线" w:hAnsi="Calibri" w:cs="Calibri"/>
                <w:color w:val="000000"/>
              </w:rPr>
              <w:t>6</w:t>
            </w:r>
            <w:r w:rsidRPr="007120D6">
              <w:rPr>
                <w:rFonts w:ascii="Calibri" w:eastAsia="等线" w:hAnsi="Calibri" w:cs="Calibri"/>
                <w:color w:val="000000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3BCF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862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2CB1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8.30 (6.42-10.72)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280DB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582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375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4.68 (3.67-5.96)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0770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511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158D" w14:textId="129A3794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1.8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6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(1.56-2.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20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</w:tr>
      <w:tr w:rsidR="000B1593" w:rsidRPr="00230E95" w14:paraId="099CB486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99DD" w14:textId="731C2157" w:rsidR="000B1593" w:rsidRPr="007120D6" w:rsidRDefault="000B1593" w:rsidP="000B1593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Race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565A" w14:textId="77777777" w:rsidR="000B1593" w:rsidRPr="007120D6" w:rsidRDefault="000B1593" w:rsidP="000B1593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94D5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9CEC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F927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2AE7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C2AC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29C2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D92F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B1593" w:rsidRPr="00230E95" w14:paraId="34E3A15F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20FD" w14:textId="12172B3B" w:rsidR="000B1593" w:rsidRPr="007120D6" w:rsidRDefault="000B1593" w:rsidP="000B1593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Non-Hispanic white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C7F79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276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1E92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8AA2B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906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1960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B44F9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632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0123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27F25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586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89B4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</w:tr>
      <w:tr w:rsidR="000B1593" w:rsidRPr="00230E95" w14:paraId="1E6369B2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9155" w14:textId="083DC385" w:rsidR="000B1593" w:rsidRPr="007120D6" w:rsidRDefault="000B1593" w:rsidP="000B1593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Non-Hispanic black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E18DC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857D" w14:textId="48EA0501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1.6</w:t>
            </w:r>
            <w:r w:rsidR="00703D68" w:rsidRPr="007120D6">
              <w:rPr>
                <w:rFonts w:ascii="Calibri" w:eastAsia="等线" w:hAnsi="Calibri" w:cs="Calibri"/>
                <w:color w:val="000000"/>
              </w:rPr>
              <w:t>3</w:t>
            </w:r>
            <w:r w:rsidRPr="007120D6">
              <w:rPr>
                <w:rFonts w:ascii="Calibri" w:eastAsia="等线" w:hAnsi="Calibri" w:cs="Calibri"/>
                <w:color w:val="000000"/>
              </w:rPr>
              <w:t xml:space="preserve"> (0.9</w:t>
            </w:r>
            <w:r w:rsidR="00703D68" w:rsidRPr="007120D6">
              <w:rPr>
                <w:rFonts w:ascii="Calibri" w:eastAsia="等线" w:hAnsi="Calibri" w:cs="Calibri"/>
                <w:color w:val="000000"/>
              </w:rPr>
              <w:t>6</w:t>
            </w:r>
            <w:r w:rsidRPr="007120D6">
              <w:rPr>
                <w:rFonts w:ascii="Calibri" w:eastAsia="等线" w:hAnsi="Calibri" w:cs="Calibri"/>
                <w:color w:val="000000"/>
              </w:rPr>
              <w:t>-2.7</w:t>
            </w:r>
            <w:r w:rsidR="00703D68" w:rsidRPr="007120D6">
              <w:rPr>
                <w:rFonts w:ascii="Calibri" w:eastAsia="等线" w:hAnsi="Calibri" w:cs="Calibri"/>
                <w:color w:val="000000"/>
              </w:rPr>
              <w:t>4</w:t>
            </w:r>
            <w:r w:rsidRPr="007120D6">
              <w:rPr>
                <w:rFonts w:ascii="Calibri" w:eastAsia="等线" w:hAnsi="Calibri" w:cs="Calibri"/>
                <w:color w:val="000000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9F6E2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1A49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0.21 (0.09-0.47)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A48BA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B1C2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0.50 (0.28-0.91)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41D11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61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FADB" w14:textId="58027ADB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2.6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5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(2.0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1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-3.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49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</w:tr>
      <w:tr w:rsidR="000B1593" w:rsidRPr="00230E95" w14:paraId="4A9264D1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5BD" w14:textId="5B4FC1B4" w:rsidR="000B1593" w:rsidRPr="007120D6" w:rsidRDefault="000B1593" w:rsidP="000B1593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Hispanic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986B7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943" w14:textId="37F90E21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0.6</w:t>
            </w:r>
            <w:r w:rsidR="00703D68">
              <w:rPr>
                <w:rFonts w:ascii="Calibri" w:eastAsia="等线" w:hAnsi="Calibri" w:cs="Calibri"/>
                <w:color w:val="000000"/>
              </w:rPr>
              <w:t>4</w:t>
            </w:r>
            <w:r w:rsidRPr="007120D6">
              <w:rPr>
                <w:rFonts w:ascii="Calibri" w:eastAsia="等线" w:hAnsi="Calibri" w:cs="Calibri"/>
                <w:color w:val="000000"/>
              </w:rPr>
              <w:t xml:space="preserve"> (0.21-2.0</w:t>
            </w:r>
            <w:r w:rsidR="00703D68">
              <w:rPr>
                <w:rFonts w:ascii="Calibri" w:eastAsia="等线" w:hAnsi="Calibri" w:cs="Calibri"/>
                <w:color w:val="000000"/>
              </w:rPr>
              <w:t>1</w:t>
            </w:r>
            <w:r w:rsidRPr="007120D6">
              <w:rPr>
                <w:rFonts w:ascii="Calibri" w:eastAsia="等线" w:hAnsi="Calibri" w:cs="Calibri"/>
                <w:color w:val="000000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476EE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380A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0.64 (0.36-1.13)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9BE95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9FE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0.53 (0.25-1.12)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9CD1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37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EE64" w14:textId="5969217C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3.0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3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(2.1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7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-4.2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3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</w:tr>
      <w:tr w:rsidR="000B1593" w:rsidRPr="00230E95" w14:paraId="3E961657" w14:textId="77777777" w:rsidTr="007120D6">
        <w:trPr>
          <w:trHeight w:val="33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294BE" w14:textId="25036E83" w:rsidR="000B1593" w:rsidRPr="007120D6" w:rsidRDefault="000B1593" w:rsidP="000B1593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Other</w:t>
            </w:r>
            <w:r w:rsidR="00E40993">
              <w:rPr>
                <w:rFonts w:eastAsia="等线" w:cs="宋体"/>
                <w:color w:val="000000"/>
                <w:vertAlign w:val="superscript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12FAA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634D" w14:textId="4FB281D6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1.3</w:t>
            </w:r>
            <w:r w:rsidR="00703D68">
              <w:rPr>
                <w:rFonts w:ascii="Calibri" w:eastAsia="等线" w:hAnsi="Calibri" w:cs="Calibri"/>
                <w:color w:val="000000"/>
              </w:rPr>
              <w:t>9</w:t>
            </w:r>
            <w:r w:rsidRPr="007120D6">
              <w:rPr>
                <w:rFonts w:ascii="Calibri" w:eastAsia="等线" w:hAnsi="Calibri" w:cs="Calibri"/>
                <w:color w:val="000000"/>
              </w:rPr>
              <w:t xml:space="preserve"> (0.5</w:t>
            </w:r>
            <w:r w:rsidR="00703D68">
              <w:rPr>
                <w:rFonts w:ascii="Calibri" w:eastAsia="等线" w:hAnsi="Calibri" w:cs="Calibri"/>
                <w:color w:val="000000"/>
              </w:rPr>
              <w:t>6</w:t>
            </w:r>
            <w:r w:rsidRPr="007120D6">
              <w:rPr>
                <w:rFonts w:ascii="Calibri" w:eastAsia="等线" w:hAnsi="Calibri" w:cs="Calibri"/>
                <w:color w:val="000000"/>
              </w:rPr>
              <w:t>-3.</w:t>
            </w:r>
            <w:r w:rsidR="00703D68">
              <w:rPr>
                <w:rFonts w:ascii="Calibri" w:eastAsia="等线" w:hAnsi="Calibri" w:cs="Calibri"/>
                <w:color w:val="000000"/>
              </w:rPr>
              <w:t>41</w:t>
            </w:r>
            <w:r w:rsidRPr="007120D6">
              <w:rPr>
                <w:rFonts w:ascii="Calibri" w:eastAsia="等线" w:hAnsi="Calibri" w:cs="Calibri"/>
                <w:color w:val="000000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52F3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DCD0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0.54 (0.26-1.14)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FBAA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9C60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1.25 (0.70-2.22)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3CCC4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29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5663" w14:textId="4946017F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2.8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5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(1.9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6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-4.1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6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</w:tr>
      <w:tr w:rsidR="000B1593" w:rsidRPr="00230E95" w14:paraId="2B504E06" w14:textId="77777777" w:rsidTr="000F7976">
        <w:trPr>
          <w:trHeight w:val="311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3E38B" w14:textId="75A7B5E6" w:rsidR="000B1593" w:rsidRPr="007120D6" w:rsidRDefault="000B1593" w:rsidP="000B1593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BMI</w:t>
            </w:r>
            <w:r w:rsidR="00E40993">
              <w:rPr>
                <w:rFonts w:eastAsia="等线" w:cs="宋体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2077" w14:textId="77777777" w:rsidR="000B1593" w:rsidRPr="007120D6" w:rsidRDefault="000B1593" w:rsidP="000B1593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4E52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880" w14:textId="77777777" w:rsidR="000B1593" w:rsidRPr="007120D6" w:rsidRDefault="000B1593" w:rsidP="000B159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C919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B4FF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9093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2D7E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FA8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B1593" w:rsidRPr="00230E95" w14:paraId="57ABCA00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F7BF" w14:textId="46F3F6A2" w:rsidR="000B1593" w:rsidRPr="007120D6" w:rsidRDefault="000B1593" w:rsidP="000B1593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18.5-&lt;25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643BC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131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6BF8" w14:textId="6A24B53D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1.6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7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(1.1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7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-2.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3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8)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7FFDB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185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4AA6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FB731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159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BA6D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C987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211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2964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</w:tr>
      <w:tr w:rsidR="000B1593" w:rsidRPr="00230E95" w14:paraId="4044E159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58C2" w14:textId="56ADBC8D" w:rsidR="000B1593" w:rsidRPr="007120D6" w:rsidRDefault="000B1593" w:rsidP="000B1593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25-&lt;30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06DC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113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ED7A" w14:textId="342252CA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</w:t>
            </w:r>
            <w:r w:rsidR="00703D68">
              <w:rPr>
                <w:rFonts w:ascii="Calibri" w:eastAsia="等线" w:hAnsi="Calibri" w:cs="Calibri"/>
                <w:color w:val="000000"/>
              </w:rPr>
              <w:t>7</w:t>
            </w:r>
            <w:r w:rsidRPr="007120D6">
              <w:rPr>
                <w:rFonts w:ascii="Calibri" w:eastAsia="等线" w:hAnsi="Calibri" w:cs="Calibri"/>
                <w:color w:val="000000"/>
              </w:rPr>
              <w:t xml:space="preserve"> (0.74-1.5</w:t>
            </w:r>
            <w:r w:rsidR="00703D68">
              <w:rPr>
                <w:rFonts w:ascii="Calibri" w:eastAsia="等线" w:hAnsi="Calibri" w:cs="Calibri"/>
                <w:color w:val="000000"/>
              </w:rPr>
              <w:t>3</w:t>
            </w:r>
            <w:r w:rsidRPr="007120D6">
              <w:rPr>
                <w:rFonts w:ascii="Calibri" w:eastAsia="等线" w:hAnsi="Calibri" w:cs="Calibri"/>
                <w:color w:val="000000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94D11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468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66CF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1.49 (1.26-1.77)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AE0C0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316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FF83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1.20 (0.99-1.45)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335A8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328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4B8A" w14:textId="52F00BB9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</w:t>
            </w:r>
            <w:r w:rsidR="000D487F">
              <w:rPr>
                <w:rFonts w:ascii="Calibri" w:eastAsia="等线" w:hAnsi="Calibri" w:cs="Calibri"/>
                <w:color w:val="000000"/>
              </w:rPr>
              <w:t>7</w:t>
            </w:r>
            <w:r w:rsidRPr="007120D6">
              <w:rPr>
                <w:rFonts w:ascii="Calibri" w:eastAsia="等线" w:hAnsi="Calibri" w:cs="Calibri"/>
                <w:color w:val="000000"/>
              </w:rPr>
              <w:t xml:space="preserve"> (0.90-1.2</w:t>
            </w:r>
            <w:r w:rsidR="000D487F">
              <w:rPr>
                <w:rFonts w:ascii="Calibri" w:eastAsia="等线" w:hAnsi="Calibri" w:cs="Calibri"/>
                <w:color w:val="000000"/>
              </w:rPr>
              <w:t>8</w:t>
            </w:r>
            <w:r w:rsidRPr="007120D6">
              <w:rPr>
                <w:rFonts w:ascii="Calibri" w:eastAsia="等线" w:hAnsi="Calibri" w:cs="Calibri"/>
                <w:color w:val="000000"/>
              </w:rPr>
              <w:t>)</w:t>
            </w:r>
          </w:p>
        </w:tc>
      </w:tr>
      <w:tr w:rsidR="000B1593" w:rsidRPr="00230E95" w14:paraId="0B2C8400" w14:textId="77777777" w:rsidTr="007120D6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E29C" w14:textId="15D73543" w:rsidR="000B1593" w:rsidRPr="007120D6" w:rsidRDefault="000B1593" w:rsidP="000B1593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 xml:space="preserve"> &gt;=30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334E5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44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DD7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110DF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272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0497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2.20 (1.82-2.66)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FCEE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182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1BC3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1.65 (1.33-2.04)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AF7DC" w14:textId="7777777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164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7BAD" w14:textId="257357B7" w:rsidR="000B1593" w:rsidRPr="007120D6" w:rsidRDefault="000B1593" w:rsidP="000B1593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1.2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3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(1.0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0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-1.5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2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</w:tr>
      <w:tr w:rsidR="00230E95" w:rsidRPr="00230E95" w14:paraId="5834413F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BA0F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Smoking status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A4EB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B28C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8358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A2AF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D3A4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9AA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ECB5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E8FE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30E95" w:rsidRPr="00230E95" w14:paraId="5CE66EC0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FA15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Never smoker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1DC8F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38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721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4D3E9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163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70F4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1C46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111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F41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913FA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210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1C9C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</w:tr>
      <w:tr w:rsidR="00230E95" w:rsidRPr="00230E95" w14:paraId="61D6C206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B30A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Former smoker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840B4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161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0A77" w14:textId="6C7BDC3B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2.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38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(1.6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5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-3.4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4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93F3C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607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CFFE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1.88 (1.57-2.24)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0C07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439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50B2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2.14 (1.72-2.65)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582B9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399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C6AE" w14:textId="7123278C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1.2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4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(1.05-1.4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7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</w:tr>
      <w:tr w:rsidR="00230E95" w:rsidRPr="00230E95" w14:paraId="77BDC498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3E98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Current smoker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FB9A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102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0721" w14:textId="7EE6419B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5.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81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(3.9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3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-8.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58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66210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161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15C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3.13 (2.51-3.89)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A28DF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D5FE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3.16 (2.42-4.13)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44917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104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CCB3" w14:textId="7524CB82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1.6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2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(1.27-2.0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6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</w:tr>
      <w:tr w:rsidR="00230E95" w:rsidRPr="00230E95" w14:paraId="72E37C56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5B1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Alcohol drinking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957D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9C40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13CD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5D10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147D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EBE8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DB9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5EE6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30E95" w:rsidRPr="00230E95" w14:paraId="0EA294FB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E6D5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Never drinker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528F5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52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25F5" w14:textId="2A7A0BC6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1.3</w:t>
            </w:r>
            <w:r w:rsidR="00703D68">
              <w:rPr>
                <w:rFonts w:ascii="Calibri" w:eastAsia="等线" w:hAnsi="Calibri" w:cs="Calibri"/>
                <w:color w:val="000000"/>
              </w:rPr>
              <w:t>3</w:t>
            </w:r>
            <w:r w:rsidRPr="007120D6">
              <w:rPr>
                <w:rFonts w:ascii="Calibri" w:eastAsia="等线" w:hAnsi="Calibri" w:cs="Calibri"/>
                <w:color w:val="000000"/>
              </w:rPr>
              <w:t xml:space="preserve"> (0.9</w:t>
            </w:r>
            <w:r w:rsidR="00703D68">
              <w:rPr>
                <w:rFonts w:ascii="Calibri" w:eastAsia="等线" w:hAnsi="Calibri" w:cs="Calibri"/>
                <w:color w:val="000000"/>
              </w:rPr>
              <w:t>3</w:t>
            </w:r>
            <w:r w:rsidRPr="007120D6">
              <w:rPr>
                <w:rFonts w:ascii="Calibri" w:eastAsia="等线" w:hAnsi="Calibri" w:cs="Calibri"/>
                <w:color w:val="000000"/>
              </w:rPr>
              <w:t>-1.9</w:t>
            </w:r>
            <w:r w:rsidR="00703D68">
              <w:rPr>
                <w:rFonts w:ascii="Calibri" w:eastAsia="等线" w:hAnsi="Calibri" w:cs="Calibri"/>
                <w:color w:val="000000"/>
              </w:rPr>
              <w:t>1</w:t>
            </w:r>
            <w:r w:rsidRPr="007120D6">
              <w:rPr>
                <w:rFonts w:ascii="Calibri" w:eastAsia="等线" w:hAnsi="Calibri" w:cs="Calibri"/>
                <w:color w:val="000000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9F1A9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180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A913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B1F15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155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5906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1.16 (0.96-1.41)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80057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202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62E" w14:textId="37C27B80" w:rsidR="00230E95" w:rsidRPr="007120D6" w:rsidRDefault="00230E95" w:rsidP="007120D6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1.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29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(1.0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8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-1.5</w:t>
            </w:r>
            <w:r w:rsidR="000D487F">
              <w:rPr>
                <w:rFonts w:ascii="Calibri" w:eastAsia="等线" w:hAnsi="Calibri" w:cs="Calibri"/>
                <w:b/>
                <w:bCs/>
                <w:color w:val="000000"/>
              </w:rPr>
              <w:t>4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</w:tr>
      <w:tr w:rsidR="00230E95" w:rsidRPr="00230E95" w14:paraId="202A6374" w14:textId="77777777" w:rsidTr="007120D6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14BD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230E95">
              <w:rPr>
                <w:rFonts w:ascii="Calibri" w:eastAsia="等线" w:hAnsi="Calibri" w:cs="Calibri"/>
                <w:color w:val="000000"/>
              </w:rPr>
              <w:t>&gt;0-1</w:t>
            </w:r>
            <w:r w:rsidRPr="007120D6">
              <w:rPr>
                <w:rFonts w:ascii="Calibri" w:eastAsia="等线" w:hAnsi="Calibri" w:cs="Calibri"/>
                <w:color w:val="000000"/>
              </w:rPr>
              <w:t xml:space="preserve"> drink/ day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A48EF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89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476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AFB1A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481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030A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1.10 (0.92-1.31)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1745E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312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1CE8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3B358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344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0040" w14:textId="77777777" w:rsidR="00230E95" w:rsidRPr="007120D6" w:rsidRDefault="00230E95" w:rsidP="00C42F64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</w:tr>
      <w:tr w:rsidR="00230E95" w:rsidRPr="00230E95" w14:paraId="0F8E1B07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2891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&gt;1 to 3 drinks/ day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0AD5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64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6426" w14:textId="58D82ADF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2.3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8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(1.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71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-3.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31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C652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160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FA54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 (0.80-1.25)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D2761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9D49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1.03 (0.83-1.28)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AECAF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116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D674" w14:textId="0A55EDC6" w:rsidR="00230E95" w:rsidRPr="007120D6" w:rsidRDefault="00230E95" w:rsidP="007120D6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</w:t>
            </w:r>
            <w:r w:rsidR="000D487F">
              <w:rPr>
                <w:rFonts w:ascii="Calibri" w:eastAsia="等线" w:hAnsi="Calibri" w:cs="Calibri"/>
                <w:color w:val="000000"/>
              </w:rPr>
              <w:t>8</w:t>
            </w:r>
            <w:r w:rsidRPr="007120D6">
              <w:rPr>
                <w:rFonts w:ascii="Calibri" w:eastAsia="等线" w:hAnsi="Calibri" w:cs="Calibri"/>
                <w:color w:val="000000"/>
              </w:rPr>
              <w:t xml:space="preserve"> (0.87-1.3</w:t>
            </w:r>
            <w:r w:rsidR="000D487F">
              <w:rPr>
                <w:rFonts w:ascii="Calibri" w:eastAsia="等线" w:hAnsi="Calibri" w:cs="Calibri"/>
                <w:color w:val="000000"/>
              </w:rPr>
              <w:t>4</w:t>
            </w:r>
            <w:r w:rsidRPr="007120D6">
              <w:rPr>
                <w:rFonts w:ascii="Calibri" w:eastAsia="等线" w:hAnsi="Calibri" w:cs="Calibri"/>
                <w:color w:val="000000"/>
              </w:rPr>
              <w:t>)</w:t>
            </w:r>
          </w:p>
        </w:tc>
      </w:tr>
      <w:tr w:rsidR="00230E95" w:rsidRPr="00230E95" w14:paraId="51EDB141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8AD2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&gt;3 drinks/ day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D8BBB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96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EED" w14:textId="33A8D09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6.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24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 xml:space="preserve"> (4.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57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-8.</w:t>
            </w:r>
            <w:r w:rsidR="00703D68">
              <w:rPr>
                <w:rFonts w:ascii="Calibri" w:eastAsia="等线" w:hAnsi="Calibri" w:cs="Calibri"/>
                <w:b/>
                <w:bCs/>
                <w:color w:val="000000"/>
              </w:rPr>
              <w:t>50</w:t>
            </w: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46358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110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81D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1.14 (0.90-1.46)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265DF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83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0715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1.28 (0.99-1.64)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BA032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51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89D5" w14:textId="1B1A0DA9" w:rsidR="00230E95" w:rsidRPr="007120D6" w:rsidRDefault="00230E95" w:rsidP="007120D6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0.94 (0.</w:t>
            </w:r>
            <w:r w:rsidR="000D487F">
              <w:rPr>
                <w:rFonts w:ascii="Calibri" w:eastAsia="等线" w:hAnsi="Calibri" w:cs="Calibri"/>
                <w:color w:val="000000"/>
              </w:rPr>
              <w:t>70</w:t>
            </w:r>
            <w:r w:rsidRPr="007120D6">
              <w:rPr>
                <w:rFonts w:ascii="Calibri" w:eastAsia="等线" w:hAnsi="Calibri" w:cs="Calibri"/>
                <w:color w:val="000000"/>
              </w:rPr>
              <w:t>-1.2</w:t>
            </w:r>
            <w:r w:rsidR="000D487F">
              <w:rPr>
                <w:rFonts w:ascii="Calibri" w:eastAsia="等线" w:hAnsi="Calibri" w:cs="Calibri"/>
                <w:color w:val="000000"/>
              </w:rPr>
              <w:t>7</w:t>
            </w:r>
            <w:r w:rsidRPr="007120D6">
              <w:rPr>
                <w:rFonts w:ascii="Calibri" w:eastAsia="等线" w:hAnsi="Calibri" w:cs="Calibri"/>
                <w:color w:val="000000"/>
              </w:rPr>
              <w:t>)</w:t>
            </w:r>
          </w:p>
        </w:tc>
      </w:tr>
      <w:tr w:rsidR="000B1593" w:rsidRPr="00230E95" w14:paraId="45E735B5" w14:textId="77777777" w:rsidTr="00AB6184">
        <w:trPr>
          <w:trHeight w:val="285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F4A4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Self-reported Diabetes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BE1" w14:textId="77777777" w:rsidR="00230E95" w:rsidRPr="007120D6" w:rsidRDefault="00230E95" w:rsidP="00230E95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3E856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FDAA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351B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1830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AB8F0" w14:textId="77777777" w:rsidR="00230E95" w:rsidRPr="007120D6" w:rsidRDefault="00230E95" w:rsidP="00230E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9E50" w14:textId="77777777" w:rsidR="00230E95" w:rsidRPr="007120D6" w:rsidRDefault="00230E95" w:rsidP="00C42F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635841" w:rsidRPr="00230E95" w14:paraId="07FFAC84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4801" w14:textId="77777777" w:rsidR="00635841" w:rsidRPr="007120D6" w:rsidRDefault="00635841" w:rsidP="00635841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33BF" w14:textId="28222F31" w:rsidR="00635841" w:rsidRPr="007120D6" w:rsidRDefault="00635841" w:rsidP="007120D6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276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D0A6" w14:textId="2BEDECE9" w:rsidR="00635841" w:rsidRPr="007120D6" w:rsidRDefault="00635841" w:rsidP="00635841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C42F64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D34DC" w14:textId="77777777" w:rsidR="00635841" w:rsidRPr="007120D6" w:rsidRDefault="00635841" w:rsidP="00635841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839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E3D7" w14:textId="77777777" w:rsidR="00635841" w:rsidRPr="007120D6" w:rsidRDefault="00635841" w:rsidP="00635841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E9C20" w14:textId="77777777" w:rsidR="00635841" w:rsidRPr="007120D6" w:rsidRDefault="00635841" w:rsidP="00635841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570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5C7B" w14:textId="77777777" w:rsidR="00635841" w:rsidRPr="007120D6" w:rsidRDefault="00635841" w:rsidP="00635841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A10A" w14:textId="4749A6F5" w:rsidR="00635841" w:rsidRPr="007120D6" w:rsidRDefault="00635841" w:rsidP="00635841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C42F64">
              <w:rPr>
                <w:rFonts w:ascii="Calibri" w:eastAsia="等线" w:hAnsi="Calibri" w:cs="Calibri"/>
                <w:color w:val="000000"/>
              </w:rPr>
              <w:t>635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EBF9" w14:textId="53F3D432" w:rsidR="00635841" w:rsidRPr="007120D6" w:rsidRDefault="00635841" w:rsidP="00C42F64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C42F64">
              <w:rPr>
                <w:rFonts w:ascii="Calibri" w:eastAsia="等线" w:hAnsi="Calibri" w:cs="Calibri"/>
                <w:color w:val="000000"/>
              </w:rPr>
              <w:t>1.00</w:t>
            </w:r>
          </w:p>
        </w:tc>
      </w:tr>
      <w:tr w:rsidR="00703D68" w:rsidRPr="00230E95" w14:paraId="3E813EB6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FD7F" w14:textId="77777777" w:rsidR="00703D68" w:rsidRPr="007120D6" w:rsidRDefault="00703D68" w:rsidP="00703D68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Yes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EDE29" w14:textId="427937D4" w:rsidR="00703D68" w:rsidRPr="007120D6" w:rsidRDefault="00703D68" w:rsidP="007120D6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25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8975" w14:textId="518AC1F8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C42F64">
              <w:rPr>
                <w:rFonts w:ascii="Calibri" w:eastAsia="等线" w:hAnsi="Calibri" w:cs="Calibri"/>
                <w:color w:val="000000"/>
              </w:rPr>
              <w:t>1.36</w:t>
            </w:r>
            <w:r w:rsidRPr="007120D6">
              <w:rPr>
                <w:rFonts w:ascii="Calibri" w:eastAsia="等线" w:hAnsi="Calibri" w:cs="Calibri"/>
                <w:color w:val="000000"/>
              </w:rPr>
              <w:t xml:space="preserve"> (0.88-2.11)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F410C" w14:textId="7777777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92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2048" w14:textId="7777777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1.05 (0.84-1.31)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64976" w14:textId="7777777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92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35DF" w14:textId="7777777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1.58 (1.26-1.98)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6530" w14:textId="07777299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78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8640" w14:textId="53401C10" w:rsidR="00703D68" w:rsidRPr="007120D6" w:rsidRDefault="000D487F" w:rsidP="00C42F64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C42F64">
              <w:rPr>
                <w:rFonts w:ascii="Calibri" w:eastAsia="等线" w:hAnsi="Calibri" w:cs="Calibri"/>
                <w:color w:val="000000"/>
              </w:rPr>
              <w:t>1.14</w:t>
            </w:r>
            <w:r w:rsidRPr="007120D6">
              <w:rPr>
                <w:rFonts w:ascii="Calibri" w:eastAsia="等线" w:hAnsi="Calibri" w:cs="Calibri"/>
                <w:color w:val="000000"/>
              </w:rPr>
              <w:t xml:space="preserve"> (0.89-1.45)</w:t>
            </w:r>
          </w:p>
        </w:tc>
      </w:tr>
      <w:tr w:rsidR="00703D68" w:rsidRPr="00230E95" w14:paraId="5AE343C7" w14:textId="77777777" w:rsidTr="007120D6">
        <w:trPr>
          <w:trHeight w:val="330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9086" w14:textId="3DFA1D7C" w:rsidR="00703D68" w:rsidRPr="007120D6" w:rsidRDefault="00703D68" w:rsidP="00703D68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lastRenderedPageBreak/>
              <w:t>G</w:t>
            </w:r>
            <w:r w:rsidR="00682869">
              <w:rPr>
                <w:rFonts w:ascii="Calibri" w:eastAsia="等线" w:hAnsi="Calibri" w:cs="Calibri"/>
                <w:b/>
                <w:bCs/>
                <w:color w:val="000000"/>
              </w:rPr>
              <w:t>ERD</w:t>
            </w:r>
            <w:r w:rsidRPr="00C42F64">
              <w:rPr>
                <w:rFonts w:ascii="Calibri" w:eastAsia="等线" w:hAnsi="Calibri" w:cs="Calibri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EAA" w14:textId="77777777" w:rsidR="00703D68" w:rsidRPr="007120D6" w:rsidRDefault="00703D68" w:rsidP="00703D68">
            <w:pPr>
              <w:spacing w:after="0" w:line="240" w:lineRule="auto"/>
              <w:rPr>
                <w:rFonts w:ascii="Calibri" w:eastAsia="等线" w:hAnsi="Calibri" w:cs="Calibri"/>
                <w:b/>
                <w:bCs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6E83" w14:textId="7777777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4765" w14:textId="77777777" w:rsidR="00703D68" w:rsidRPr="007120D6" w:rsidRDefault="00703D68" w:rsidP="00703D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C32F" w14:textId="77777777" w:rsidR="00703D68" w:rsidRPr="007120D6" w:rsidRDefault="00703D68" w:rsidP="00703D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FD114" w14:textId="77777777" w:rsidR="00703D68" w:rsidRPr="007120D6" w:rsidRDefault="00703D68" w:rsidP="00703D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D1C" w14:textId="77777777" w:rsidR="00703D68" w:rsidRPr="007120D6" w:rsidRDefault="00703D68" w:rsidP="00C42F6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3D68" w:rsidRPr="00230E95" w14:paraId="19672E18" w14:textId="77777777" w:rsidTr="000B1593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0381" w14:textId="77777777" w:rsidR="00703D68" w:rsidRPr="007120D6" w:rsidRDefault="00703D68" w:rsidP="00703D68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6060" w14:textId="6F5E2021" w:rsidR="00703D68" w:rsidRPr="007120D6" w:rsidRDefault="00703D68" w:rsidP="007120D6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C42F64">
              <w:rPr>
                <w:rFonts w:ascii="Calibri" w:eastAsia="等线" w:hAnsi="Calibri" w:cs="Calibri"/>
                <w:color w:val="000000"/>
              </w:rPr>
              <w:t>197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2E05" w14:textId="46A28003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C42F64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6C6E" w14:textId="7777777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571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801D" w14:textId="7777777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2D5AB" w14:textId="7777777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417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C1C8" w14:textId="7777777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1.00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0C7D" w14:textId="1F7CE3A5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C42F64">
              <w:rPr>
                <w:rFonts w:ascii="Calibri" w:eastAsia="等线" w:hAnsi="Calibri" w:cs="Calibri"/>
                <w:color w:val="000000"/>
              </w:rPr>
              <w:t>512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1AE8" w14:textId="122E3040" w:rsidR="00703D68" w:rsidRPr="007120D6" w:rsidRDefault="00703D68" w:rsidP="00C42F64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C42F64">
              <w:rPr>
                <w:rFonts w:ascii="Calibri" w:eastAsia="等线" w:hAnsi="Calibri" w:cs="Calibri"/>
                <w:color w:val="000000"/>
              </w:rPr>
              <w:t>1.00</w:t>
            </w:r>
          </w:p>
        </w:tc>
      </w:tr>
      <w:tr w:rsidR="00703D68" w:rsidRPr="00230E95" w14:paraId="17D96703" w14:textId="77777777" w:rsidTr="007120D6">
        <w:trPr>
          <w:trHeight w:val="28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01335" w14:textId="77777777" w:rsidR="00703D68" w:rsidRPr="007120D6" w:rsidRDefault="00703D68" w:rsidP="00703D68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Yes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D8C7A" w14:textId="105C66B0" w:rsidR="00703D68" w:rsidRPr="007120D6" w:rsidRDefault="00703D68" w:rsidP="007120D6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C42F64">
              <w:rPr>
                <w:rFonts w:ascii="Calibri" w:eastAsia="等线" w:hAnsi="Calibri" w:cs="Calibri"/>
                <w:color w:val="000000"/>
              </w:rPr>
              <w:t>104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31550" w14:textId="5D816AE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1.78 (1.04-3.04)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5749B" w14:textId="7777777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360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73049" w14:textId="7777777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2.08 (1.61-2.69)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4090E" w14:textId="7777777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7120D6">
              <w:rPr>
                <w:rFonts w:ascii="Calibri" w:eastAsia="等线" w:hAnsi="Calibri" w:cs="Calibri"/>
                <w:color w:val="000000"/>
              </w:rPr>
              <w:t>245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C4232" w14:textId="77777777" w:rsidR="00703D68" w:rsidRPr="007120D6" w:rsidRDefault="00703D68" w:rsidP="00703D68">
            <w:pPr>
              <w:spacing w:after="0" w:line="240" w:lineRule="auto"/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Calibri"/>
                <w:b/>
                <w:bCs/>
                <w:color w:val="000000"/>
              </w:rPr>
              <w:t>1.95 (1.23-3.07)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41F0D" w14:textId="0F5F2F0F" w:rsidR="00703D68" w:rsidRPr="007120D6" w:rsidRDefault="00703D68" w:rsidP="007120D6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C42F64">
              <w:rPr>
                <w:rFonts w:ascii="Calibri" w:eastAsia="等线" w:hAnsi="Calibri" w:cs="Calibri"/>
                <w:color w:val="000000"/>
              </w:rPr>
              <w:t>201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819F9" w14:textId="48EEF8A2" w:rsidR="00703D68" w:rsidRPr="007120D6" w:rsidRDefault="000D487F" w:rsidP="00C42F64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</w:rPr>
            </w:pPr>
            <w:r w:rsidRPr="00C42F64">
              <w:rPr>
                <w:rFonts w:ascii="Calibri" w:eastAsia="等线" w:hAnsi="Calibri" w:cs="Calibri"/>
                <w:color w:val="000000"/>
              </w:rPr>
              <w:t>1.21</w:t>
            </w:r>
            <w:r w:rsidRPr="007120D6">
              <w:rPr>
                <w:rFonts w:ascii="Calibri" w:eastAsia="等线" w:hAnsi="Calibri" w:cs="Calibri"/>
                <w:color w:val="000000"/>
              </w:rPr>
              <w:t xml:space="preserve"> (0.94-1.56)</w:t>
            </w:r>
          </w:p>
        </w:tc>
      </w:tr>
    </w:tbl>
    <w:p w14:paraId="711A70BD" w14:textId="2612477A" w:rsidR="002A4B5B" w:rsidRPr="007120D6" w:rsidRDefault="00AB6184" w:rsidP="002A4B5B">
      <w:pPr>
        <w:rPr>
          <w:bCs/>
        </w:rPr>
      </w:pPr>
      <w:r w:rsidRPr="007120D6">
        <w:rPr>
          <w:bCs/>
        </w:rPr>
        <w:t xml:space="preserve">Note: </w:t>
      </w:r>
      <w:r w:rsidR="00871FDB" w:rsidRPr="00B970D4">
        <w:t>BMI</w:t>
      </w:r>
      <w:r w:rsidR="00871FDB">
        <w:t>,</w:t>
      </w:r>
      <w:r w:rsidR="00871FDB" w:rsidRPr="00B970D4">
        <w:t xml:space="preserve"> </w:t>
      </w:r>
      <w:r w:rsidR="00871FDB">
        <w:t>b</w:t>
      </w:r>
      <w:r w:rsidR="00871FDB" w:rsidRPr="00B970D4">
        <w:t>ody mass index</w:t>
      </w:r>
      <w:r w:rsidR="00871FDB">
        <w:t>;</w:t>
      </w:r>
      <w:r w:rsidR="00871FDB" w:rsidRPr="00B970D4">
        <w:t xml:space="preserve"> </w:t>
      </w:r>
      <w:r w:rsidR="0082372E" w:rsidRPr="00831D94">
        <w:t>CIs</w:t>
      </w:r>
      <w:r w:rsidR="0082372E">
        <w:t>,</w:t>
      </w:r>
      <w:r w:rsidR="0082372E" w:rsidRPr="00831D94">
        <w:t xml:space="preserve"> confidence intervals</w:t>
      </w:r>
      <w:r w:rsidR="0082372E">
        <w:t>;</w:t>
      </w:r>
      <w:r w:rsidR="0082372E">
        <w:t xml:space="preserve"> </w:t>
      </w:r>
      <w:r w:rsidRPr="007120D6">
        <w:rPr>
          <w:bCs/>
        </w:rPr>
        <w:t xml:space="preserve">ESCC, esophageal squamous cell carcinoma; EAC, esophageal adenocarcinoma; GCA, gastric cardia adenocarcinoma; </w:t>
      </w:r>
      <w:r w:rsidR="00871FDB">
        <w:t>GERD,</w:t>
      </w:r>
      <w:r w:rsidR="00871FDB" w:rsidRPr="00B970D4">
        <w:t xml:space="preserve"> </w:t>
      </w:r>
      <w:r w:rsidR="00871FDB">
        <w:t>g</w:t>
      </w:r>
      <w:r w:rsidR="00871FDB" w:rsidRPr="00B970D4">
        <w:t>astroesophageal reflux disease</w:t>
      </w:r>
      <w:r w:rsidR="00871FDB">
        <w:t>;</w:t>
      </w:r>
      <w:r w:rsidR="00871FDB">
        <w:t xml:space="preserve"> </w:t>
      </w:r>
      <w:r w:rsidRPr="007120D6">
        <w:rPr>
          <w:bCs/>
        </w:rPr>
        <w:t>GNCA, gastric non-cardia adenocarcinoma;</w:t>
      </w:r>
      <w:r w:rsidR="00F25A25">
        <w:rPr>
          <w:bCs/>
        </w:rPr>
        <w:t xml:space="preserve"> </w:t>
      </w:r>
      <w:r w:rsidR="00F25A25">
        <w:t>H</w:t>
      </w:r>
      <w:r w:rsidR="00F25A25" w:rsidRPr="00831D94">
        <w:t>R</w:t>
      </w:r>
      <w:r w:rsidR="00F25A25">
        <w:t xml:space="preserve">, </w:t>
      </w:r>
      <w:r w:rsidR="0082372E">
        <w:t>h</w:t>
      </w:r>
      <w:r w:rsidR="00F25A25">
        <w:t>azard ratio</w:t>
      </w:r>
      <w:r w:rsidR="00F25A25">
        <w:t>;</w:t>
      </w:r>
      <w:r w:rsidR="0082372E">
        <w:t xml:space="preserve"> </w:t>
      </w:r>
      <w:r w:rsidRPr="007120D6">
        <w:rPr>
          <w:bCs/>
        </w:rPr>
        <w:t>1, HRs come from Cox models through imputation</w:t>
      </w:r>
      <w:r w:rsidR="003D52E7">
        <w:rPr>
          <w:bCs/>
        </w:rPr>
        <w:t xml:space="preserve"> </w:t>
      </w:r>
      <w:r w:rsidR="003D52E7">
        <w:rPr>
          <w:rFonts w:hint="eastAsia"/>
          <w:bCs/>
        </w:rPr>
        <w:t>with</w:t>
      </w:r>
      <w:r w:rsidR="003D52E7">
        <w:rPr>
          <w:bCs/>
        </w:rPr>
        <w:t xml:space="preserve"> age as the time scale</w:t>
      </w:r>
      <w:r w:rsidRPr="007120D6">
        <w:rPr>
          <w:bCs/>
        </w:rPr>
        <w:t xml:space="preserve">, adjusted for sex, ethnic group, BMI, smoking status, alcohol drinking status, self-reported diabetes, and </w:t>
      </w:r>
      <w:r w:rsidR="00682869">
        <w:rPr>
          <w:bCs/>
        </w:rPr>
        <w:t>GERD</w:t>
      </w:r>
      <w:r w:rsidRPr="007120D6">
        <w:rPr>
          <w:bCs/>
        </w:rPr>
        <w:t xml:space="preserve">; </w:t>
      </w:r>
      <w:r w:rsidR="00E40993">
        <w:rPr>
          <w:bCs/>
        </w:rPr>
        <w:t>2</w:t>
      </w:r>
      <w:r w:rsidRPr="007120D6">
        <w:rPr>
          <w:bCs/>
        </w:rPr>
        <w:t xml:space="preserve">, other including Asian/Pacific Islander/American Indian/Native Alaskan; </w:t>
      </w:r>
      <w:r w:rsidR="00E40993">
        <w:rPr>
          <w:bCs/>
        </w:rPr>
        <w:t>3,</w:t>
      </w:r>
      <w:r w:rsidR="00E40993" w:rsidRPr="00A311B8">
        <w:t xml:space="preserve"> excluded underweight participant</w:t>
      </w:r>
      <w:r w:rsidR="00E40993">
        <w:t>s,</w:t>
      </w:r>
      <w:r w:rsidR="00E40993" w:rsidRPr="00A311B8">
        <w:t xml:space="preserve"> </w:t>
      </w:r>
      <w:r w:rsidR="00E40993">
        <w:t>i.e.,</w:t>
      </w:r>
      <w:r w:rsidR="00E40993" w:rsidRPr="00A311B8">
        <w:t xml:space="preserve"> BMI </w:t>
      </w:r>
      <w:r w:rsidR="00E40993">
        <w:t>&lt;</w:t>
      </w:r>
      <w:r w:rsidR="00E40993" w:rsidRPr="00A311B8">
        <w:t xml:space="preserve"> 18.5</w:t>
      </w:r>
      <w:r w:rsidR="00E40993">
        <w:rPr>
          <w:bCs/>
        </w:rPr>
        <w:t xml:space="preserve">; </w:t>
      </w:r>
      <w:r w:rsidRPr="007120D6">
        <w:rPr>
          <w:bCs/>
        </w:rPr>
        <w:t>4, extracted from the Medicare data for a subset of the NIH-AARP cohort, then imputed into the full NIH-AARP cohort.</w:t>
      </w:r>
    </w:p>
    <w:p w14:paraId="17BEED5A" w14:textId="630F3DE0" w:rsidR="002A4B5B" w:rsidRDefault="002A4B5B" w:rsidP="002A4B5B">
      <w:pPr>
        <w:rPr>
          <w:vertAlign w:val="superscript"/>
        </w:rPr>
      </w:pPr>
      <w:r>
        <w:rPr>
          <w:b/>
        </w:rPr>
        <w:br w:type="page"/>
      </w:r>
      <w:r>
        <w:rPr>
          <w:b/>
        </w:rPr>
        <w:lastRenderedPageBreak/>
        <w:t xml:space="preserve">Supplementary Table </w:t>
      </w:r>
      <w:r w:rsidR="00D47B82">
        <w:rPr>
          <w:b/>
        </w:rPr>
        <w:t>3</w:t>
      </w:r>
      <w:r>
        <w:t xml:space="preserve">. </w:t>
      </w:r>
      <w:r w:rsidRPr="00831D94">
        <w:t>Population attributable risks and 95%CIs for potential risk factors for esophageal cancer and gastric adenocarcinoma in 2015 in the United States</w:t>
      </w:r>
      <w:r w:rsidR="00992A0E">
        <w:t xml:space="preserve">, additionally include diabetes and GERD for ESCC and GNCA, </w:t>
      </w:r>
      <w:r w:rsidR="00357A51">
        <w:t xml:space="preserve">and </w:t>
      </w:r>
      <w:r w:rsidR="00992A0E">
        <w:t xml:space="preserve">alcohol </w:t>
      </w:r>
      <w:r w:rsidR="00357A51">
        <w:t xml:space="preserve">intake </w:t>
      </w:r>
      <w:r w:rsidR="00992A0E">
        <w:t>and diabetes for EAC.</w:t>
      </w:r>
    </w:p>
    <w:tbl>
      <w:tblPr>
        <w:tblW w:w="13067" w:type="dxa"/>
        <w:jc w:val="center"/>
        <w:tblLook w:val="04A0" w:firstRow="1" w:lastRow="0" w:firstColumn="1" w:lastColumn="0" w:noHBand="0" w:noVBand="1"/>
      </w:tblPr>
      <w:tblGrid>
        <w:gridCol w:w="2870"/>
        <w:gridCol w:w="970"/>
        <w:gridCol w:w="1628"/>
        <w:gridCol w:w="970"/>
        <w:gridCol w:w="1629"/>
        <w:gridCol w:w="970"/>
        <w:gridCol w:w="1527"/>
        <w:gridCol w:w="970"/>
        <w:gridCol w:w="1533"/>
      </w:tblGrid>
      <w:tr w:rsidR="002A4B5B" w:rsidRPr="009A1193" w14:paraId="5D34202B" w14:textId="77777777" w:rsidTr="007F47BF">
        <w:trPr>
          <w:trHeight w:val="239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A45191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Variables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E02C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Esophageal cancer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02C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Gastric adenocarcinoma</w:t>
            </w:r>
          </w:p>
        </w:tc>
      </w:tr>
      <w:tr w:rsidR="002A4B5B" w:rsidRPr="009A1193" w14:paraId="55D5A468" w14:textId="77777777" w:rsidTr="007F47BF">
        <w:trPr>
          <w:trHeight w:val="239"/>
          <w:jc w:val="center"/>
        </w:trPr>
        <w:tc>
          <w:tcPr>
            <w:tcW w:w="28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C2F8F3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b/>
                <w:bCs/>
                <w:color w:val="00000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54842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ESCC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1FED7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>
              <w:rPr>
                <w:rFonts w:eastAsia="等线" w:cs="宋体"/>
                <w:b/>
                <w:bCs/>
                <w:color w:val="000000"/>
              </w:rPr>
              <w:t>EAC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A6968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GCA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A7274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GNCA</w:t>
            </w:r>
          </w:p>
        </w:tc>
      </w:tr>
      <w:tr w:rsidR="002A4B5B" w:rsidRPr="009A1193" w14:paraId="2163EED8" w14:textId="77777777" w:rsidTr="007F47BF">
        <w:trPr>
          <w:trHeight w:val="239"/>
          <w:jc w:val="center"/>
        </w:trPr>
        <w:tc>
          <w:tcPr>
            <w:tcW w:w="28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110293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C7E3F" w14:textId="77777777" w:rsidR="002A4B5B" w:rsidRPr="00E60555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PAR</w:t>
            </w:r>
            <w:r w:rsidRPr="00173B0F">
              <w:rPr>
                <w:rFonts w:eastAsia="等线" w:cs="宋体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eastAsia="等线" w:cs="宋体"/>
                <w:b/>
                <w:bCs/>
                <w:color w:val="000000"/>
              </w:rPr>
              <w:t>(%)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3FD3F" w14:textId="5AC5939D" w:rsidR="002A4B5B" w:rsidRPr="009A1193" w:rsidRDefault="006910C1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>
              <w:rPr>
                <w:rFonts w:eastAsia="等线" w:cs="宋体"/>
                <w:b/>
                <w:bCs/>
                <w:color w:val="000000"/>
              </w:rPr>
              <w:t>95%CIs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73081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PAR</w:t>
            </w:r>
            <w:r w:rsidRPr="00173B0F">
              <w:rPr>
                <w:rFonts w:eastAsia="等线" w:cs="宋体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eastAsia="等线" w:cs="宋体"/>
                <w:b/>
                <w:bCs/>
                <w:color w:val="000000"/>
              </w:rPr>
              <w:t>(%)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C9DCD" w14:textId="68BCD4AF" w:rsidR="002A4B5B" w:rsidRPr="009A1193" w:rsidRDefault="006910C1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>
              <w:rPr>
                <w:rFonts w:eastAsia="等线" w:cs="宋体"/>
                <w:b/>
                <w:bCs/>
                <w:color w:val="000000"/>
              </w:rPr>
              <w:t>95%CIs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EB29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PAR</w:t>
            </w:r>
            <w:r w:rsidRPr="00173B0F">
              <w:rPr>
                <w:rFonts w:eastAsia="等线" w:cs="宋体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eastAsia="等线" w:cs="宋体"/>
                <w:b/>
                <w:bCs/>
                <w:color w:val="000000"/>
              </w:rPr>
              <w:t>(%)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71584" w14:textId="2F3837EF" w:rsidR="002A4B5B" w:rsidRPr="009A1193" w:rsidRDefault="006910C1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>
              <w:rPr>
                <w:rFonts w:eastAsia="等线" w:cs="宋体"/>
                <w:b/>
                <w:bCs/>
                <w:color w:val="000000"/>
              </w:rPr>
              <w:t>95%CIs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132A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PAR</w:t>
            </w:r>
            <w:r w:rsidRPr="00173B0F">
              <w:rPr>
                <w:rFonts w:eastAsia="等线" w:cs="宋体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eastAsia="等线" w:cs="宋体"/>
                <w:b/>
                <w:bCs/>
                <w:color w:val="000000"/>
              </w:rPr>
              <w:t>(%)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23338" w14:textId="1AC6970E" w:rsidR="002A4B5B" w:rsidRPr="009A1193" w:rsidRDefault="006910C1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>
              <w:rPr>
                <w:rFonts w:eastAsia="等线" w:cs="宋体"/>
                <w:b/>
                <w:bCs/>
                <w:color w:val="000000"/>
              </w:rPr>
              <w:t>95%CIs</w:t>
            </w:r>
          </w:p>
        </w:tc>
      </w:tr>
      <w:tr w:rsidR="002A4B5B" w:rsidRPr="009A1193" w14:paraId="254A5966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A5EB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Sex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ECDB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6826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447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CD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129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2CAA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3394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62A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A4B5B" w:rsidRPr="009A1193" w14:paraId="1E547E5A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61E7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Female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B3D2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9C4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878F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68DA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6AE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1057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85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C5A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</w:tr>
      <w:tr w:rsidR="002A4B5B" w:rsidRPr="009A1193" w14:paraId="0F7DD379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09E1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Male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C5A6" w14:textId="12C53B17" w:rsidR="002A4B5B" w:rsidRPr="009A1193" w:rsidRDefault="003B6F77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>
              <w:rPr>
                <w:rFonts w:eastAsia="等线" w:cs="宋体"/>
                <w:color w:val="000000"/>
              </w:rPr>
              <w:t>9.17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1AA9" w14:textId="3764F959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</w:t>
            </w:r>
            <w:r w:rsidR="003B6F77">
              <w:rPr>
                <w:rFonts w:eastAsia="等线" w:cs="宋体"/>
                <w:color w:val="000000"/>
              </w:rPr>
              <w:t>5.66</w:t>
            </w:r>
            <w:r w:rsidRPr="009A1193">
              <w:rPr>
                <w:rFonts w:eastAsia="等线" w:cs="宋体"/>
                <w:color w:val="000000"/>
              </w:rPr>
              <w:t>-2</w:t>
            </w:r>
            <w:r w:rsidR="003B6F77">
              <w:rPr>
                <w:rFonts w:eastAsia="等线" w:cs="宋体"/>
                <w:color w:val="000000"/>
              </w:rPr>
              <w:t>4.01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CFC9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79.18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3EB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74.39-83.98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C815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65.48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84E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58.50-72.46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53E4" w14:textId="37BEA58C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2</w:t>
            </w:r>
            <w:r w:rsidR="003B6F77">
              <w:rPr>
                <w:rFonts w:eastAsia="等线" w:cs="宋体"/>
                <w:b/>
                <w:bCs/>
                <w:color w:val="000000"/>
              </w:rPr>
              <w:t>9.10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F280" w14:textId="19A9C9E0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21.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47</w:t>
            </w:r>
            <w:r w:rsidRPr="009A1193">
              <w:rPr>
                <w:rFonts w:eastAsia="等线" w:cs="宋体"/>
                <w:b/>
                <w:bCs/>
                <w:color w:val="000000"/>
              </w:rPr>
              <w:t>-36.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74</w:t>
            </w:r>
          </w:p>
        </w:tc>
      </w:tr>
      <w:tr w:rsidR="002A4B5B" w:rsidRPr="009A1193" w14:paraId="45A55731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7A8F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Race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A33C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DBC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8CB2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8617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231B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9B4C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A04F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A72D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A4B5B" w:rsidRPr="009A1193" w14:paraId="63403E29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D794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Non-Hispanic white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2E5F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B1AD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1868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3077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012C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DAD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31A2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2E60D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</w:tr>
      <w:tr w:rsidR="002A4B5B" w:rsidRPr="009A1193" w14:paraId="5B12FAFA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A900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Non-Hispanic black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335F" w14:textId="21B2667A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Cs/>
                <w:color w:val="000000"/>
              </w:rPr>
            </w:pPr>
            <w:r w:rsidRPr="009A1193">
              <w:rPr>
                <w:rFonts w:eastAsia="等线" w:cs="宋体"/>
                <w:bCs/>
                <w:color w:val="000000"/>
              </w:rPr>
              <w:t>6.</w:t>
            </w:r>
            <w:r w:rsidR="003B6F77">
              <w:rPr>
                <w:rFonts w:eastAsia="等线" w:cs="宋体"/>
                <w:bCs/>
                <w:color w:val="000000"/>
              </w:rPr>
              <w:t>39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C391" w14:textId="540E7D45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Cs/>
                <w:color w:val="000000"/>
              </w:rPr>
            </w:pPr>
            <w:r w:rsidRPr="009A1193">
              <w:rPr>
                <w:rFonts w:eastAsia="等线" w:cs="宋体"/>
                <w:bCs/>
                <w:color w:val="000000"/>
              </w:rPr>
              <w:t>-1.</w:t>
            </w:r>
            <w:r w:rsidR="003B6F77">
              <w:rPr>
                <w:rFonts w:eastAsia="等线" w:cs="宋体"/>
                <w:bCs/>
                <w:color w:val="000000"/>
              </w:rPr>
              <w:t>76</w:t>
            </w:r>
            <w:r w:rsidRPr="009A1193">
              <w:rPr>
                <w:rFonts w:eastAsia="等线" w:cs="宋体"/>
                <w:bCs/>
                <w:color w:val="000000"/>
              </w:rPr>
              <w:t>-14.5</w:t>
            </w:r>
            <w:r w:rsidR="003B6F77">
              <w:rPr>
                <w:rFonts w:eastAsia="等线" w:cs="宋体"/>
                <w:bCs/>
                <w:color w:val="00000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5569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-9.86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7EC6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-12.48--7.25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65C5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-6.07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0984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-10.05--2.09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35B" w14:textId="4AE8AA50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12.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52898" w14:textId="126A421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7.5</w:t>
            </w:r>
            <w:r w:rsidR="003B6F77">
              <w:rPr>
                <w:rFonts w:eastAsia="等线" w:cs="宋体"/>
                <w:b/>
                <w:bCs/>
                <w:color w:val="000000"/>
              </w:rPr>
              <w:t>2</w:t>
            </w:r>
            <w:r w:rsidRPr="009A1193">
              <w:rPr>
                <w:rFonts w:eastAsia="等线" w:cs="宋体"/>
                <w:b/>
                <w:bCs/>
                <w:color w:val="000000"/>
              </w:rPr>
              <w:t>-17.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19</w:t>
            </w:r>
          </w:p>
        </w:tc>
      </w:tr>
      <w:tr w:rsidR="002A4B5B" w:rsidRPr="009A1193" w14:paraId="7624541C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3129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Hispanic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9F15" w14:textId="1176198A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-2.</w:t>
            </w:r>
            <w:r w:rsidR="003B6F77">
              <w:rPr>
                <w:rFonts w:eastAsia="等线" w:cs="宋体"/>
                <w:color w:val="000000"/>
              </w:rPr>
              <w:t>65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8A0C" w14:textId="7AE40D4B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-8.</w:t>
            </w:r>
            <w:r w:rsidR="003B6F77">
              <w:rPr>
                <w:rFonts w:eastAsia="等线" w:cs="宋体"/>
                <w:color w:val="000000"/>
              </w:rPr>
              <w:t>29</w:t>
            </w:r>
            <w:r w:rsidRPr="009A1193">
              <w:rPr>
                <w:rFonts w:eastAsia="等线" w:cs="宋体"/>
                <w:color w:val="000000"/>
              </w:rPr>
              <w:t>-</w:t>
            </w:r>
            <w:r w:rsidR="003B6F77">
              <w:rPr>
                <w:rFonts w:eastAsia="等线" w:cs="宋体"/>
                <w:color w:val="000000"/>
              </w:rPr>
              <w:t>3.00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DFA6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-4.00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9C4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-8.23-0.23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1EE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-4.98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4C9ED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-9.42--0.54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4C75" w14:textId="19DEF1CE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13.4</w:t>
            </w:r>
            <w:r w:rsidR="003B6F77">
              <w:rPr>
                <w:rFonts w:eastAsia="等线" w:cs="宋体"/>
                <w:b/>
                <w:bCs/>
                <w:color w:val="000000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909A8" w14:textId="2B992ED1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7.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59</w:t>
            </w:r>
            <w:r w:rsidRPr="009A1193">
              <w:rPr>
                <w:rFonts w:eastAsia="等线" w:cs="宋体"/>
                <w:b/>
                <w:bCs/>
                <w:color w:val="000000"/>
              </w:rPr>
              <w:t>-19.2</w:t>
            </w:r>
            <w:r w:rsidR="003B6F77">
              <w:rPr>
                <w:rFonts w:eastAsia="等线" w:cs="宋体"/>
                <w:b/>
                <w:bCs/>
                <w:color w:val="000000"/>
              </w:rPr>
              <w:t>7</w:t>
            </w:r>
          </w:p>
        </w:tc>
      </w:tr>
      <w:tr w:rsidR="002A4B5B" w:rsidRPr="009A1193" w14:paraId="130354FB" w14:textId="77777777" w:rsidTr="007F47BF">
        <w:trPr>
          <w:trHeight w:val="280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BAD75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Other</w:t>
            </w:r>
            <w:r w:rsidRPr="009A1193">
              <w:rPr>
                <w:rFonts w:eastAsia="等线" w:cs="宋体"/>
                <w:color w:val="000000"/>
                <w:vertAlign w:val="superscript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41F0" w14:textId="2EA5E12B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2.</w:t>
            </w:r>
            <w:r w:rsidR="003B6F77">
              <w:rPr>
                <w:rFonts w:eastAsia="等线" w:cs="宋体"/>
                <w:color w:val="000000"/>
              </w:rPr>
              <w:t>4</w:t>
            </w:r>
            <w:r w:rsidRPr="009A1193">
              <w:rPr>
                <w:rFonts w:eastAsia="等线" w:cs="宋体"/>
                <w:color w:val="00000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6542" w14:textId="40C934A4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-5.2</w:t>
            </w:r>
            <w:r w:rsidR="003B6F77">
              <w:rPr>
                <w:rFonts w:eastAsia="等线" w:cs="宋体"/>
                <w:color w:val="000000"/>
              </w:rPr>
              <w:t>3</w:t>
            </w:r>
            <w:r w:rsidRPr="009A1193">
              <w:rPr>
                <w:rFonts w:eastAsia="等线" w:cs="宋体"/>
                <w:color w:val="000000"/>
              </w:rPr>
              <w:t>-</w:t>
            </w:r>
            <w:r w:rsidR="003B6F77">
              <w:rPr>
                <w:rFonts w:eastAsia="等线" w:cs="宋体"/>
                <w:color w:val="000000"/>
              </w:rPr>
              <w:t>10.10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8358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color w:val="000000"/>
              </w:rPr>
            </w:pPr>
            <w:r w:rsidRPr="009A1193">
              <w:rPr>
                <w:rFonts w:eastAsia="等线" w:cs="宋体"/>
                <w:b/>
                <w:color w:val="000000"/>
              </w:rPr>
              <w:t>-3.10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B62A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color w:val="000000"/>
              </w:rPr>
            </w:pPr>
            <w:r w:rsidRPr="009A1193">
              <w:rPr>
                <w:rFonts w:eastAsia="等线" w:cs="宋体"/>
                <w:b/>
                <w:color w:val="000000"/>
              </w:rPr>
              <w:t>-5.99--0.21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3204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1.66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853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-3.11-6.44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616F" w14:textId="01F542CF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8.1</w:t>
            </w:r>
            <w:r w:rsidR="003B6F77">
              <w:rPr>
                <w:rFonts w:eastAsia="等线" w:cs="宋体"/>
                <w:b/>
                <w:bCs/>
                <w:color w:val="000000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AA4DC" w14:textId="52BFD035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3.7</w:t>
            </w:r>
            <w:r w:rsidR="003B6F77">
              <w:rPr>
                <w:rFonts w:eastAsia="等线" w:cs="宋体"/>
                <w:b/>
                <w:bCs/>
                <w:color w:val="000000"/>
              </w:rPr>
              <w:t>7</w:t>
            </w:r>
            <w:r w:rsidRPr="009A1193">
              <w:rPr>
                <w:rFonts w:eastAsia="等线" w:cs="宋体"/>
                <w:b/>
                <w:bCs/>
                <w:color w:val="000000"/>
              </w:rPr>
              <w:t>-12.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5</w:t>
            </w:r>
            <w:r w:rsidRPr="009A1193">
              <w:rPr>
                <w:rFonts w:eastAsia="等线" w:cs="宋体"/>
                <w:b/>
                <w:bCs/>
                <w:color w:val="000000"/>
              </w:rPr>
              <w:t>8</w:t>
            </w:r>
          </w:p>
        </w:tc>
      </w:tr>
      <w:tr w:rsidR="002A4B5B" w:rsidRPr="009A1193" w14:paraId="46A04390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FD87C" w14:textId="704E78AB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BMI</w:t>
            </w:r>
            <w:r w:rsidRPr="00173B0F">
              <w:rPr>
                <w:rFonts w:eastAsia="等线" w:cs="宋体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C27A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62FD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7C3D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EFEC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20A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74EC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70A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B449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A4B5B" w:rsidRPr="009A1193" w14:paraId="00C0C70E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CC7F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18.5-&lt;25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EE2A" w14:textId="23A36A28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</w:t>
            </w:r>
            <w:r w:rsidR="003B6F77">
              <w:rPr>
                <w:rFonts w:eastAsia="等线" w:cs="宋体"/>
                <w:b/>
                <w:bCs/>
                <w:color w:val="000000"/>
              </w:rPr>
              <w:t>6.45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ACC9" w14:textId="6F88EEBD" w:rsidR="002A4B5B" w:rsidRPr="009A1193" w:rsidRDefault="003B6F77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>
              <w:rPr>
                <w:rFonts w:eastAsia="等线" w:cs="宋体"/>
                <w:b/>
                <w:bCs/>
                <w:color w:val="000000"/>
              </w:rPr>
              <w:t>5.75</w:t>
            </w:r>
            <w:r w:rsidR="002A4B5B" w:rsidRPr="009A1193">
              <w:rPr>
                <w:rFonts w:eastAsia="等线" w:cs="宋体"/>
                <w:b/>
                <w:bCs/>
                <w:color w:val="000000"/>
              </w:rPr>
              <w:t>-2</w:t>
            </w:r>
            <w:r>
              <w:rPr>
                <w:rFonts w:eastAsia="等线" w:cs="宋体"/>
                <w:b/>
                <w:bCs/>
                <w:color w:val="000000"/>
              </w:rPr>
              <w:t>7.15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413C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66B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BAF1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83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9512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A24A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</w:tr>
      <w:tr w:rsidR="002A4B5B" w:rsidRPr="009A1193" w14:paraId="6F960892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1336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25-&lt;30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087E" w14:textId="733BBBD2" w:rsidR="002A4B5B" w:rsidRPr="009A1193" w:rsidRDefault="003B6F77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>
              <w:rPr>
                <w:rFonts w:eastAsia="等线" w:cs="宋体"/>
                <w:color w:val="000000"/>
              </w:rPr>
              <w:t>2.08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6AD2" w14:textId="2D1A525D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-9.</w:t>
            </w:r>
            <w:r w:rsidR="003B6F77">
              <w:rPr>
                <w:rFonts w:eastAsia="等线" w:cs="宋体"/>
                <w:color w:val="000000"/>
              </w:rPr>
              <w:t>36</w:t>
            </w:r>
            <w:r w:rsidRPr="009A1193">
              <w:rPr>
                <w:rFonts w:eastAsia="等线" w:cs="宋体"/>
                <w:color w:val="000000"/>
              </w:rPr>
              <w:t>-1</w:t>
            </w:r>
            <w:r w:rsidR="003B6F77">
              <w:rPr>
                <w:rFonts w:eastAsia="等线" w:cs="宋体"/>
                <w:color w:val="000000"/>
              </w:rPr>
              <w:t>3.51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B1BD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12.78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E6305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7.62-17.93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9BF9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6.22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15B2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-0.07-12.52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9E45" w14:textId="65D69665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2.</w:t>
            </w:r>
            <w:r w:rsidR="003B6F77">
              <w:rPr>
                <w:rFonts w:eastAsia="等线" w:cs="宋体"/>
                <w:color w:val="000000"/>
              </w:rPr>
              <w:t>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9D80" w14:textId="6AD8E373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-3.</w:t>
            </w:r>
            <w:r w:rsidR="003B6F77">
              <w:rPr>
                <w:rFonts w:eastAsia="等线" w:cs="宋体"/>
                <w:color w:val="000000"/>
              </w:rPr>
              <w:t>97</w:t>
            </w:r>
            <w:r w:rsidRPr="009A1193">
              <w:rPr>
                <w:rFonts w:eastAsia="等线" w:cs="宋体"/>
                <w:color w:val="000000"/>
              </w:rPr>
              <w:t>-9.</w:t>
            </w:r>
            <w:r w:rsidR="003B6F77">
              <w:rPr>
                <w:rFonts w:eastAsia="等线" w:cs="宋体"/>
                <w:color w:val="000000"/>
              </w:rPr>
              <w:t>14</w:t>
            </w:r>
          </w:p>
        </w:tc>
      </w:tr>
      <w:tr w:rsidR="002A4B5B" w:rsidRPr="009A1193" w14:paraId="4B74E356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B768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 xml:space="preserve"> &gt;=30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000C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C27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7371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25.51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7A2B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19.80-31.21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6F31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17.51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B6D2F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10.30-24.72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A1BA" w14:textId="1D9AB561" w:rsidR="002A4B5B" w:rsidRPr="007120D6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7120D6">
              <w:rPr>
                <w:rFonts w:eastAsia="等线" w:cs="宋体"/>
                <w:color w:val="000000"/>
              </w:rPr>
              <w:t>7.</w:t>
            </w:r>
            <w:r w:rsidR="003B6F77" w:rsidRPr="007120D6">
              <w:rPr>
                <w:rFonts w:eastAsia="等线" w:cs="宋体"/>
                <w:color w:val="000000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4DDC" w14:textId="03837F53" w:rsidR="002A4B5B" w:rsidRPr="007120D6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7120D6">
              <w:rPr>
                <w:rFonts w:eastAsia="等线" w:cs="宋体"/>
                <w:color w:val="000000"/>
              </w:rPr>
              <w:t>0.</w:t>
            </w:r>
            <w:r w:rsidR="003B6F77" w:rsidRPr="007120D6">
              <w:rPr>
                <w:rFonts w:eastAsia="等线" w:cs="宋体"/>
                <w:color w:val="000000"/>
              </w:rPr>
              <w:t>00</w:t>
            </w:r>
            <w:r w:rsidRPr="007120D6">
              <w:rPr>
                <w:rFonts w:eastAsia="等线" w:cs="宋体"/>
                <w:color w:val="000000"/>
              </w:rPr>
              <w:t>-14.</w:t>
            </w:r>
            <w:r w:rsidR="003B6F77" w:rsidRPr="007120D6">
              <w:rPr>
                <w:rFonts w:eastAsia="等线" w:cs="宋体"/>
                <w:color w:val="000000"/>
              </w:rPr>
              <w:t>50</w:t>
            </w:r>
          </w:p>
        </w:tc>
      </w:tr>
      <w:tr w:rsidR="002A4B5B" w:rsidRPr="009A1193" w14:paraId="2E9397D5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4217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Smoking status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631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4BEB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3DE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8D9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77F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8B2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3EC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9D4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A4B5B" w:rsidRPr="009A1193" w14:paraId="0804954A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9A99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Never 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FB7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AB1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7D5B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F5A1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1F11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B98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3AD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34F7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</w:tr>
      <w:tr w:rsidR="002A4B5B" w:rsidRPr="009A1193" w14:paraId="7E1AA275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FC25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Former 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DD20" w14:textId="66B842E1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17.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52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EB9D" w14:textId="56072FC0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10.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47</w:t>
            </w:r>
            <w:r w:rsidRPr="009A1193">
              <w:rPr>
                <w:rFonts w:eastAsia="等线" w:cs="宋体"/>
                <w:b/>
                <w:bCs/>
                <w:color w:val="000000"/>
              </w:rPr>
              <w:t>-24.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E1D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18.97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EB76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13.74-24.20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F44C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22.37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C6B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16.22-28.52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989F" w14:textId="6CBFBA9B" w:rsidR="002A4B5B" w:rsidRPr="009A1193" w:rsidRDefault="003B6F77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>
              <w:rPr>
                <w:rFonts w:eastAsia="等线" w:cs="宋体"/>
                <w:b/>
                <w:bCs/>
                <w:color w:val="000000"/>
              </w:rPr>
              <w:t>5.89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C34" w14:textId="084882D0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19</w:t>
            </w:r>
            <w:r w:rsidRPr="009A1193">
              <w:rPr>
                <w:rFonts w:eastAsia="等线" w:cs="宋体"/>
                <w:b/>
                <w:bCs/>
                <w:color w:val="000000"/>
              </w:rPr>
              <w:t>-10.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5</w:t>
            </w:r>
            <w:r w:rsidRPr="009A1193">
              <w:rPr>
                <w:rFonts w:eastAsia="等线" w:cs="宋体"/>
                <w:b/>
                <w:bCs/>
                <w:color w:val="000000"/>
              </w:rPr>
              <w:t>8</w:t>
            </w:r>
          </w:p>
        </w:tc>
      </w:tr>
      <w:tr w:rsidR="002A4B5B" w:rsidRPr="009A1193" w14:paraId="09811BCE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4BDA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Current smoker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D306" w14:textId="60CF161D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39.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60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D4514" w14:textId="51A775FD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31.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04</w:t>
            </w:r>
            <w:r w:rsidRPr="009A1193">
              <w:rPr>
                <w:rFonts w:eastAsia="等线" w:cs="宋体"/>
                <w:b/>
                <w:bCs/>
                <w:color w:val="000000"/>
              </w:rPr>
              <w:t>-48.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D71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19.28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C055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14.67-23.89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3AD9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19.30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52A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13.96-24.64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A784" w14:textId="206650E4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8.1</w:t>
            </w:r>
            <w:r w:rsidR="003B6F77">
              <w:rPr>
                <w:rFonts w:eastAsia="等线" w:cs="宋体"/>
                <w:b/>
                <w:bCs/>
                <w:color w:val="000000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5DF4" w14:textId="1AB149EA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3.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61</w:t>
            </w:r>
            <w:r w:rsidRPr="009A1193">
              <w:rPr>
                <w:rFonts w:eastAsia="等线" w:cs="宋体"/>
                <w:b/>
                <w:bCs/>
                <w:color w:val="000000"/>
              </w:rPr>
              <w:t>-12.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72</w:t>
            </w:r>
          </w:p>
        </w:tc>
      </w:tr>
      <w:tr w:rsidR="002A4B5B" w:rsidRPr="009A1193" w14:paraId="01254B59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7039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b/>
                <w:bCs/>
                <w:color w:val="000000"/>
              </w:rPr>
            </w:pPr>
            <w:r>
              <w:rPr>
                <w:rFonts w:eastAsia="等线" w:cs="宋体"/>
                <w:b/>
                <w:bCs/>
                <w:color w:val="000000"/>
              </w:rPr>
              <w:t>Alcohol intake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11FF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54E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FA8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5B7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CE72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E7CB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44AB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198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A4B5B" w:rsidRPr="009A1193" w14:paraId="2A406168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54F3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Never drinker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A9EC" w14:textId="1E6D5433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1</w:t>
            </w:r>
            <w:r w:rsidR="003B6F77">
              <w:rPr>
                <w:rFonts w:eastAsia="等线" w:cs="宋体"/>
                <w:color w:val="000000"/>
              </w:rPr>
              <w:t>0.64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9830" w14:textId="41BCF199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</w:t>
            </w:r>
            <w:r w:rsidR="003B6F77">
              <w:rPr>
                <w:rFonts w:eastAsia="等线" w:cs="宋体"/>
                <w:color w:val="000000"/>
              </w:rPr>
              <w:t>2.70</w:t>
            </w:r>
            <w:r w:rsidRPr="009A1193">
              <w:rPr>
                <w:rFonts w:eastAsia="等线" w:cs="宋体"/>
                <w:color w:val="000000"/>
              </w:rPr>
              <w:t>-2</w:t>
            </w:r>
            <w:r w:rsidR="003B6F77">
              <w:rPr>
                <w:rFonts w:eastAsia="等线" w:cs="宋体"/>
                <w:color w:val="000000"/>
              </w:rPr>
              <w:t>3.97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5CAD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40C7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C34B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6.54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0C8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-1.92-15.01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AAC5" w14:textId="088D5805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12.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335B7" w14:textId="29E76C6D" w:rsidR="002A4B5B" w:rsidRPr="009A1193" w:rsidRDefault="003B6F77" w:rsidP="007F47BF">
            <w:pPr>
              <w:spacing w:after="0" w:line="240" w:lineRule="auto"/>
              <w:jc w:val="center"/>
              <w:rPr>
                <w:rFonts w:eastAsia="等线" w:cs="宋体"/>
                <w:b/>
                <w:color w:val="000000"/>
              </w:rPr>
            </w:pPr>
            <w:r>
              <w:rPr>
                <w:rFonts w:eastAsia="等线" w:cs="宋体"/>
                <w:b/>
                <w:color w:val="000000"/>
              </w:rPr>
              <w:t>3.91</w:t>
            </w:r>
            <w:r w:rsidR="002A4B5B" w:rsidRPr="009A1193">
              <w:rPr>
                <w:rFonts w:eastAsia="等线" w:cs="宋体"/>
                <w:b/>
                <w:color w:val="000000"/>
              </w:rPr>
              <w:t>-2</w:t>
            </w:r>
            <w:r>
              <w:rPr>
                <w:rFonts w:eastAsia="等线" w:cs="宋体"/>
                <w:b/>
                <w:color w:val="000000"/>
              </w:rPr>
              <w:t>0.89</w:t>
            </w:r>
          </w:p>
        </w:tc>
      </w:tr>
      <w:tr w:rsidR="002A4B5B" w:rsidRPr="009A1193" w14:paraId="0D10D1FE" w14:textId="77777777" w:rsidTr="007F47BF">
        <w:trPr>
          <w:trHeight w:val="24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A7E8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&gt;0-1 drink/ day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2096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E1E6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95D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4.08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DBE2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-3.40-11.56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3C2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7E54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4916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B266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</w:tr>
      <w:tr w:rsidR="002A4B5B" w:rsidRPr="009A1193" w14:paraId="72ECA861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B611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&gt;1 to 3 drinks/ day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9E3E" w14:textId="2E374B72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9.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91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71DD" w14:textId="72C6F87F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5.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24</w:t>
            </w:r>
            <w:r w:rsidRPr="009A1193">
              <w:rPr>
                <w:rFonts w:eastAsia="等线" w:cs="宋体"/>
                <w:b/>
                <w:bCs/>
                <w:color w:val="000000"/>
              </w:rPr>
              <w:t>-14.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DBF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0.01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96A5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-2.80-2.81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251D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0.31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960A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-2.19-2.81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C291" w14:textId="56380E35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0.</w:t>
            </w:r>
            <w:r w:rsidR="003B6F77">
              <w:rPr>
                <w:rFonts w:eastAsia="等线" w:cs="宋体"/>
                <w:color w:val="000000"/>
              </w:rPr>
              <w:t>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12B5" w14:textId="0D21F284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-1.</w:t>
            </w:r>
            <w:r w:rsidR="003B6F77">
              <w:rPr>
                <w:rFonts w:eastAsia="等线" w:cs="宋体"/>
                <w:color w:val="000000"/>
              </w:rPr>
              <w:t>08</w:t>
            </w:r>
            <w:r w:rsidRPr="009A1193">
              <w:rPr>
                <w:rFonts w:eastAsia="等线" w:cs="宋体"/>
                <w:color w:val="000000"/>
              </w:rPr>
              <w:t>-2.</w:t>
            </w:r>
            <w:r w:rsidR="003B6F77">
              <w:rPr>
                <w:rFonts w:eastAsia="等线" w:cs="宋体"/>
                <w:color w:val="000000"/>
              </w:rPr>
              <w:t>31</w:t>
            </w:r>
          </w:p>
        </w:tc>
      </w:tr>
      <w:tr w:rsidR="002A4B5B" w:rsidRPr="009A1193" w14:paraId="256E6DF2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908A" w14:textId="77777777" w:rsidR="002A4B5B" w:rsidRPr="009A1193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&gt;3 drinks/ day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9EF59" w14:textId="6A616E1E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10.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27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14DB" w14:textId="0F296190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6.5</w:t>
            </w:r>
            <w:r w:rsidR="003B6F77">
              <w:rPr>
                <w:rFonts w:eastAsia="等线" w:cs="宋体"/>
                <w:b/>
                <w:bCs/>
                <w:color w:val="000000"/>
              </w:rPr>
              <w:t>7</w:t>
            </w:r>
            <w:r w:rsidRPr="009A1193">
              <w:rPr>
                <w:rFonts w:eastAsia="等线" w:cs="宋体"/>
                <w:b/>
                <w:bCs/>
                <w:color w:val="000000"/>
              </w:rPr>
              <w:t>-13.</w:t>
            </w:r>
            <w:r w:rsidR="003B6F77">
              <w:rPr>
                <w:rFonts w:eastAsia="等线" w:cs="宋体"/>
                <w:b/>
                <w:bCs/>
                <w:color w:val="000000"/>
              </w:rPr>
              <w:t>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E22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0.38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249E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-0.34-1.09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9B5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0.67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24B4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-0.09-1.42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E2A8" w14:textId="41907E45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-0.</w:t>
            </w:r>
            <w:r w:rsidR="003B6F77">
              <w:rPr>
                <w:rFonts w:eastAsia="等线" w:cs="宋体"/>
                <w:color w:val="000000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3BFF" w14:textId="0D1DF4FE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-0.5</w:t>
            </w:r>
            <w:r w:rsidR="003B6F77">
              <w:rPr>
                <w:rFonts w:eastAsia="等线" w:cs="宋体"/>
                <w:color w:val="000000"/>
              </w:rPr>
              <w:t>3</w:t>
            </w:r>
            <w:r w:rsidRPr="009A1193">
              <w:rPr>
                <w:rFonts w:eastAsia="等线" w:cs="宋体"/>
                <w:color w:val="000000"/>
              </w:rPr>
              <w:t>-0.3</w:t>
            </w:r>
            <w:r w:rsidR="003B6F77">
              <w:rPr>
                <w:rFonts w:eastAsia="等线" w:cs="宋体"/>
                <w:color w:val="000000"/>
              </w:rPr>
              <w:t>6</w:t>
            </w:r>
          </w:p>
        </w:tc>
      </w:tr>
      <w:tr w:rsidR="002A4B5B" w:rsidRPr="009A1193" w14:paraId="21A086C0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9B42" w14:textId="77777777" w:rsidR="002A4B5B" w:rsidRPr="007120D6" w:rsidRDefault="002A4B5B" w:rsidP="007F47BF">
            <w:pPr>
              <w:spacing w:after="0" w:line="240" w:lineRule="auto"/>
              <w:rPr>
                <w:rFonts w:eastAsia="等线" w:cs="宋体"/>
                <w:b/>
                <w:bCs/>
                <w:color w:val="000000"/>
              </w:rPr>
            </w:pPr>
            <w:r w:rsidRPr="00C42F64">
              <w:rPr>
                <w:rFonts w:eastAsia="等线" w:cs="宋体"/>
                <w:b/>
                <w:bCs/>
                <w:color w:val="000000"/>
              </w:rPr>
              <w:t xml:space="preserve">Self-reported </w:t>
            </w:r>
            <w:r w:rsidRPr="007120D6">
              <w:rPr>
                <w:rFonts w:eastAsia="等线" w:cs="宋体"/>
                <w:b/>
                <w:bCs/>
                <w:color w:val="000000"/>
              </w:rPr>
              <w:t>diabetes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EB3F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B98A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9B1B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2896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CACC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D8D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823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A1D1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A4B5B" w:rsidRPr="009A1193" w14:paraId="3B70F959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3397" w14:textId="77777777" w:rsidR="002A4B5B" w:rsidRPr="007120D6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C42F64">
              <w:rPr>
                <w:rFonts w:eastAsia="等线" w:cs="宋体"/>
                <w:color w:val="000000"/>
              </w:rPr>
              <w:t>No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F868" w14:textId="42A9FF0C" w:rsidR="002A4B5B" w:rsidRPr="009A1193" w:rsidRDefault="003B6F77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>
              <w:rPr>
                <w:rFonts w:eastAsia="等线" w:cs="宋体" w:hint="eastAsia"/>
                <w:color w:val="000000"/>
              </w:rPr>
              <w:t>Ref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6B5F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013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7B0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D2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4049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FAD" w14:textId="01278DBC" w:rsidR="002A4B5B" w:rsidRPr="007120D6" w:rsidRDefault="003B6F77" w:rsidP="007F47B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R</w:t>
            </w:r>
            <w:r>
              <w:rPr>
                <w:rFonts w:cs="Times New Roman"/>
              </w:rPr>
              <w:t>ef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53E9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A4B5B" w:rsidRPr="009A1193" w14:paraId="7DE998C3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DCA" w14:textId="77777777" w:rsidR="002A4B5B" w:rsidRPr="007120D6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C42F64">
              <w:rPr>
                <w:rFonts w:eastAsia="等线" w:cs="宋体"/>
                <w:color w:val="000000"/>
              </w:rPr>
              <w:t>Yes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8302" w14:textId="71C2135D" w:rsidR="002A4B5B" w:rsidRPr="009A1193" w:rsidRDefault="003B6F77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>
              <w:rPr>
                <w:rFonts w:eastAsia="等线" w:cs="宋体" w:hint="eastAsia"/>
                <w:color w:val="000000"/>
              </w:rPr>
              <w:t>5</w:t>
            </w:r>
            <w:r>
              <w:rPr>
                <w:rFonts w:eastAsia="等线" w:cs="宋体"/>
                <w:color w:val="000000"/>
              </w:rPr>
              <w:t>.08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AAB0" w14:textId="4B89AA4B" w:rsidR="002A4B5B" w:rsidRPr="007120D6" w:rsidRDefault="003B6F77" w:rsidP="007F47B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2.60-12.76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D5F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0.88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447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-3.13-4.89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4FD6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9.50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A43C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4.20-14.79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9213" w14:textId="09BF7C92" w:rsidR="002A4B5B" w:rsidRPr="007120D6" w:rsidRDefault="003B6F77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7120D6">
              <w:rPr>
                <w:rFonts w:eastAsia="等线" w:cs="宋体" w:hint="eastAsia"/>
                <w:color w:val="000000"/>
              </w:rPr>
              <w:t>2</w:t>
            </w:r>
            <w:r w:rsidRPr="007120D6">
              <w:rPr>
                <w:rFonts w:eastAsia="等线" w:cs="宋体"/>
                <w:color w:val="000000"/>
              </w:rPr>
              <w:t>.67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BB8B" w14:textId="628EAEBE" w:rsidR="002A4B5B" w:rsidRPr="007120D6" w:rsidRDefault="003B6F77" w:rsidP="007F47B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2.54-7.88</w:t>
            </w:r>
          </w:p>
        </w:tc>
      </w:tr>
      <w:tr w:rsidR="002A4B5B" w:rsidRPr="009A1193" w14:paraId="077D2B98" w14:textId="77777777" w:rsidTr="007F47BF">
        <w:trPr>
          <w:trHeight w:val="280"/>
          <w:jc w:val="center"/>
        </w:trPr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5824" w14:textId="669D619E" w:rsidR="002A4B5B" w:rsidRPr="007120D6" w:rsidRDefault="002A4B5B" w:rsidP="007F47BF">
            <w:pPr>
              <w:spacing w:after="0" w:line="240" w:lineRule="auto"/>
              <w:rPr>
                <w:rFonts w:eastAsia="等线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GERD</w:t>
            </w:r>
            <w:r w:rsidRPr="007120D6">
              <w:rPr>
                <w:rFonts w:eastAsia="等线" w:cs="宋体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1C8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744B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2489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5397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AE0F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4600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A4B5B" w:rsidRPr="009A1193" w14:paraId="7EE47AF1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2588" w14:textId="77777777" w:rsidR="002A4B5B" w:rsidRPr="007120D6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C42F64">
              <w:rPr>
                <w:rFonts w:eastAsia="等线" w:cs="宋体"/>
                <w:color w:val="000000"/>
              </w:rPr>
              <w:t>No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BEE8" w14:textId="226B17FF" w:rsidR="002A4B5B" w:rsidRPr="009A1193" w:rsidRDefault="003B6F77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>
              <w:rPr>
                <w:rFonts w:eastAsia="等线" w:cs="宋体" w:hint="eastAsia"/>
                <w:color w:val="000000"/>
              </w:rPr>
              <w:t>R</w:t>
            </w:r>
            <w:r>
              <w:rPr>
                <w:rFonts w:eastAsia="等线" w:cs="宋体"/>
                <w:color w:val="000000"/>
              </w:rPr>
              <w:t>ef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E5B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4C1C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D352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C217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 w:rsidRPr="009A1193">
              <w:rPr>
                <w:rFonts w:eastAsia="等线" w:cs="宋体"/>
                <w:color w:val="000000"/>
              </w:rPr>
              <w:t>Ref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A2E7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5ABF" w14:textId="41271D5E" w:rsidR="002A4B5B" w:rsidRPr="007120D6" w:rsidRDefault="003B6F77" w:rsidP="007F47B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R</w:t>
            </w:r>
            <w:r>
              <w:rPr>
                <w:rFonts w:cs="Times New Roman"/>
              </w:rPr>
              <w:t>ef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41B4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2A4B5B" w:rsidRPr="009A1193" w14:paraId="1A32A074" w14:textId="77777777" w:rsidTr="007F47BF">
        <w:trPr>
          <w:trHeight w:val="239"/>
          <w:jc w:val="center"/>
        </w:trPr>
        <w:tc>
          <w:tcPr>
            <w:tcW w:w="2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669D" w14:textId="77777777" w:rsidR="002A4B5B" w:rsidRPr="007120D6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C42F64">
              <w:rPr>
                <w:rFonts w:eastAsia="等线" w:cs="宋体"/>
                <w:color w:val="000000"/>
              </w:rPr>
              <w:t>Yes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60A4" w14:textId="7CFB1FA0" w:rsidR="002A4B5B" w:rsidRPr="00A80F30" w:rsidRDefault="003B6F77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A80F30">
              <w:rPr>
                <w:rFonts w:eastAsia="等线" w:cs="宋体" w:hint="eastAsia"/>
                <w:b/>
                <w:bCs/>
                <w:color w:val="000000"/>
              </w:rPr>
              <w:t>1</w:t>
            </w:r>
            <w:r w:rsidRPr="00A80F30">
              <w:rPr>
                <w:rFonts w:eastAsia="等线" w:cs="宋体"/>
                <w:b/>
                <w:bCs/>
                <w:color w:val="000000"/>
              </w:rPr>
              <w:t>4.04</w:t>
            </w: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319E" w14:textId="69F212DB" w:rsidR="002A4B5B" w:rsidRPr="00A80F30" w:rsidRDefault="003B6F77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A80F30">
              <w:rPr>
                <w:rFonts w:eastAsia="等线" w:cs="宋体" w:hint="eastAsia"/>
                <w:b/>
                <w:bCs/>
                <w:color w:val="000000"/>
              </w:rPr>
              <w:t>0</w:t>
            </w:r>
            <w:r w:rsidRPr="00A80F30">
              <w:rPr>
                <w:rFonts w:eastAsia="等线" w:cs="宋体"/>
                <w:b/>
                <w:bCs/>
                <w:color w:val="000000"/>
              </w:rPr>
              <w:t>.25-27.82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385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20.57</w:t>
            </w:r>
          </w:p>
        </w:tc>
        <w:tc>
          <w:tcPr>
            <w:tcW w:w="16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DF73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12.97-28.17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B9D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18.18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31E7" w14:textId="77777777" w:rsidR="002A4B5B" w:rsidRPr="009A1193" w:rsidRDefault="002A4B5B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A1193">
              <w:rPr>
                <w:rFonts w:eastAsia="等线" w:cs="宋体"/>
                <w:b/>
                <w:bCs/>
                <w:color w:val="000000"/>
              </w:rPr>
              <w:t>5.45-30.91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128F" w14:textId="0278360F" w:rsidR="002A4B5B" w:rsidRPr="009A1193" w:rsidRDefault="003B6F77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>
              <w:rPr>
                <w:rFonts w:eastAsia="等线" w:cs="宋体" w:hint="eastAsia"/>
                <w:color w:val="000000"/>
              </w:rPr>
              <w:t>4</w:t>
            </w:r>
            <w:r>
              <w:rPr>
                <w:rFonts w:eastAsia="等线" w:cs="宋体"/>
                <w:color w:val="000000"/>
              </w:rPr>
              <w:t>.46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AECC" w14:textId="13C963E3" w:rsidR="002A4B5B" w:rsidRPr="009A1193" w:rsidRDefault="003B6F77" w:rsidP="007F47BF">
            <w:pPr>
              <w:spacing w:after="0" w:line="240" w:lineRule="auto"/>
              <w:jc w:val="center"/>
              <w:rPr>
                <w:rFonts w:eastAsia="等线" w:cs="宋体"/>
                <w:color w:val="000000"/>
              </w:rPr>
            </w:pPr>
            <w:r>
              <w:rPr>
                <w:rFonts w:eastAsia="等线" w:cs="宋体" w:hint="eastAsia"/>
                <w:color w:val="000000"/>
              </w:rPr>
              <w:t>-</w:t>
            </w:r>
            <w:r>
              <w:rPr>
                <w:rFonts w:eastAsia="等线" w:cs="宋体"/>
                <w:color w:val="000000"/>
              </w:rPr>
              <w:t>1.50-10.41</w:t>
            </w:r>
          </w:p>
        </w:tc>
      </w:tr>
      <w:tr w:rsidR="002A4B5B" w:rsidRPr="00440E5A" w14:paraId="7BB2BCA8" w14:textId="77777777" w:rsidTr="007F47BF">
        <w:trPr>
          <w:trHeight w:val="513"/>
          <w:jc w:val="center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23B8A" w14:textId="514C61E7" w:rsidR="002A4B5B" w:rsidRPr="007120D6" w:rsidRDefault="002A4B5B" w:rsidP="007F47BF">
            <w:pPr>
              <w:spacing w:after="0" w:line="240" w:lineRule="auto"/>
              <w:rPr>
                <w:rFonts w:eastAsia="等线" w:cs="宋体"/>
                <w:color w:val="000000"/>
              </w:rPr>
            </w:pPr>
            <w:r w:rsidRPr="00C42F64">
              <w:rPr>
                <w:rFonts w:ascii="Calibri" w:eastAsia="等线" w:hAnsi="Calibri" w:cs="宋体"/>
                <w:b/>
                <w:bCs/>
                <w:color w:val="000000"/>
              </w:rPr>
              <w:lastRenderedPageBreak/>
              <w:t>Combined PAR for potentially modifiable risk factors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2D5DB" w14:textId="1258FE75" w:rsidR="002A4B5B" w:rsidRPr="007120D6" w:rsidRDefault="003B6F77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7120D6">
              <w:rPr>
                <w:rFonts w:eastAsia="等线" w:cs="宋体" w:hint="eastAsia"/>
                <w:b/>
                <w:bCs/>
                <w:color w:val="000000"/>
              </w:rPr>
              <w:t>7</w:t>
            </w:r>
            <w:r w:rsidRPr="007120D6">
              <w:rPr>
                <w:rFonts w:eastAsia="等线" w:cs="宋体"/>
                <w:b/>
                <w:bCs/>
                <w:color w:val="000000"/>
              </w:rPr>
              <w:t>8.84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2F94B" w14:textId="7A82B246" w:rsidR="002A4B5B" w:rsidRPr="007120D6" w:rsidRDefault="003B6F77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7120D6">
              <w:rPr>
                <w:rFonts w:eastAsia="等线" w:cs="宋体" w:hint="eastAsia"/>
                <w:b/>
                <w:bCs/>
                <w:color w:val="000000"/>
              </w:rPr>
              <w:t>6</w:t>
            </w:r>
            <w:r w:rsidRPr="007120D6">
              <w:rPr>
                <w:rFonts w:eastAsia="等线" w:cs="宋体"/>
                <w:b/>
                <w:bCs/>
                <w:color w:val="000000"/>
              </w:rPr>
              <w:t>8.65-89.04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277B4" w14:textId="44FB33A4" w:rsidR="002A4B5B" w:rsidRPr="00920499" w:rsidRDefault="00920499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20499">
              <w:rPr>
                <w:rFonts w:eastAsia="等线" w:cs="宋体"/>
                <w:b/>
                <w:bCs/>
                <w:color w:val="000000"/>
              </w:rPr>
              <w:t>71.63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71CD7" w14:textId="3097809D" w:rsidR="002A4B5B" w:rsidRPr="00920499" w:rsidRDefault="00920499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920499">
              <w:rPr>
                <w:rFonts w:eastAsia="等线" w:cs="宋体"/>
                <w:b/>
                <w:bCs/>
                <w:color w:val="000000"/>
              </w:rPr>
              <w:t>65.19-78.08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A45E4" w14:textId="4845A8EB" w:rsidR="002A4B5B" w:rsidRPr="00C42F64" w:rsidRDefault="003B6F77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7120D6">
              <w:rPr>
                <w:rFonts w:eastAsia="等线" w:cs="宋体" w:hint="eastAsia"/>
                <w:b/>
                <w:bCs/>
                <w:color w:val="000000"/>
              </w:rPr>
              <w:t>6</w:t>
            </w:r>
            <w:r w:rsidRPr="007120D6">
              <w:rPr>
                <w:rFonts w:eastAsia="等线" w:cs="宋体"/>
                <w:b/>
                <w:bCs/>
                <w:color w:val="000000"/>
              </w:rPr>
              <w:t>9.34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7F0F4" w14:textId="5F20D0C7" w:rsidR="002A4B5B" w:rsidRPr="00C42F64" w:rsidRDefault="003B6F77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7120D6">
              <w:rPr>
                <w:rFonts w:eastAsia="等线" w:cs="宋体" w:hint="eastAsia"/>
                <w:b/>
                <w:bCs/>
                <w:color w:val="000000"/>
              </w:rPr>
              <w:t>6</w:t>
            </w:r>
            <w:r w:rsidRPr="007120D6">
              <w:rPr>
                <w:rFonts w:eastAsia="等线" w:cs="宋体"/>
                <w:b/>
                <w:bCs/>
                <w:color w:val="000000"/>
              </w:rPr>
              <w:t>1.04</w:t>
            </w:r>
            <w:r w:rsidRPr="007120D6">
              <w:rPr>
                <w:rFonts w:eastAsia="等线" w:cs="宋体" w:hint="eastAsia"/>
                <w:b/>
                <w:bCs/>
                <w:color w:val="000000"/>
              </w:rPr>
              <w:t>-</w:t>
            </w:r>
            <w:r w:rsidRPr="007120D6">
              <w:rPr>
                <w:rFonts w:eastAsia="等线" w:cs="宋体"/>
                <w:b/>
                <w:bCs/>
                <w:color w:val="000000"/>
              </w:rPr>
              <w:t>77.65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39229" w14:textId="622A4A13" w:rsidR="002A4B5B" w:rsidRPr="007120D6" w:rsidRDefault="003B6F77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7120D6">
              <w:rPr>
                <w:rFonts w:eastAsia="等线" w:cs="宋体" w:hint="eastAsia"/>
                <w:b/>
                <w:bCs/>
                <w:color w:val="000000"/>
              </w:rPr>
              <w:t>3</w:t>
            </w:r>
            <w:r w:rsidRPr="007120D6">
              <w:rPr>
                <w:rFonts w:eastAsia="等线" w:cs="宋体"/>
                <w:b/>
                <w:bCs/>
                <w:color w:val="000000"/>
              </w:rPr>
              <w:t>7.26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B20B6" w14:textId="5605058F" w:rsidR="002A4B5B" w:rsidRPr="007120D6" w:rsidRDefault="003B6F77" w:rsidP="007F47BF">
            <w:pPr>
              <w:spacing w:after="0" w:line="240" w:lineRule="auto"/>
              <w:jc w:val="center"/>
              <w:rPr>
                <w:rFonts w:eastAsia="等线" w:cs="宋体"/>
                <w:b/>
                <w:bCs/>
                <w:color w:val="000000"/>
              </w:rPr>
            </w:pPr>
            <w:r w:rsidRPr="007120D6">
              <w:rPr>
                <w:rFonts w:eastAsia="等线" w:cs="宋体" w:hint="eastAsia"/>
                <w:b/>
                <w:bCs/>
                <w:color w:val="000000"/>
              </w:rPr>
              <w:t>2</w:t>
            </w:r>
            <w:r w:rsidRPr="007120D6">
              <w:rPr>
                <w:rFonts w:eastAsia="等线" w:cs="宋体"/>
                <w:b/>
                <w:bCs/>
                <w:color w:val="000000"/>
              </w:rPr>
              <w:t>5.29-49.22</w:t>
            </w:r>
          </w:p>
        </w:tc>
      </w:tr>
    </w:tbl>
    <w:p w14:paraId="12FC715F" w14:textId="77777777" w:rsidR="002A4B5B" w:rsidRDefault="002A4B5B" w:rsidP="002A4B5B">
      <w:pPr>
        <w:spacing w:after="0" w:line="360" w:lineRule="auto"/>
      </w:pPr>
    </w:p>
    <w:p w14:paraId="7995F232" w14:textId="2C9FBEFA" w:rsidR="002A4B5B" w:rsidRDefault="002A4B5B" w:rsidP="000F7976">
      <w:pPr>
        <w:spacing w:after="0" w:line="240" w:lineRule="auto"/>
      </w:pPr>
      <w:r w:rsidRPr="009942CF">
        <w:t xml:space="preserve">Note: </w:t>
      </w:r>
      <w:r w:rsidR="00F47737" w:rsidRPr="00B970D4">
        <w:t>BMI</w:t>
      </w:r>
      <w:r w:rsidR="00F47737">
        <w:t>,</w:t>
      </w:r>
      <w:r w:rsidR="00F47737" w:rsidRPr="00B970D4">
        <w:t xml:space="preserve"> </w:t>
      </w:r>
      <w:r w:rsidR="00F47737">
        <w:t>b</w:t>
      </w:r>
      <w:r w:rsidR="00F47737" w:rsidRPr="00B970D4">
        <w:t>ody mass index</w:t>
      </w:r>
      <w:r w:rsidR="00F47737">
        <w:t>;</w:t>
      </w:r>
      <w:r w:rsidR="00F47737" w:rsidRPr="00B970D4">
        <w:t xml:space="preserve"> </w:t>
      </w:r>
      <w:r w:rsidR="00F47737" w:rsidRPr="00831D94">
        <w:t>CIs</w:t>
      </w:r>
      <w:r w:rsidR="00F47737">
        <w:t>,</w:t>
      </w:r>
      <w:r w:rsidR="00F47737" w:rsidRPr="00831D94">
        <w:t xml:space="preserve"> confidence intervals</w:t>
      </w:r>
      <w:r w:rsidR="00F47737">
        <w:t xml:space="preserve">; </w:t>
      </w:r>
      <w:r w:rsidR="00F47737" w:rsidRPr="007120D6">
        <w:rPr>
          <w:bCs/>
        </w:rPr>
        <w:t xml:space="preserve">ESCC, esophageal squamous cell carcinoma; EAC, esophageal adenocarcinoma; GCA, gastric cardia adenocarcinoma; </w:t>
      </w:r>
      <w:r w:rsidR="00F47737">
        <w:t>GERD,</w:t>
      </w:r>
      <w:r w:rsidR="00F47737" w:rsidRPr="00B970D4">
        <w:t xml:space="preserve"> </w:t>
      </w:r>
      <w:r w:rsidR="00F47737">
        <w:t>g</w:t>
      </w:r>
      <w:r w:rsidR="00F47737" w:rsidRPr="00B970D4">
        <w:t>astroesophageal reflux disease</w:t>
      </w:r>
      <w:r w:rsidR="00F47737">
        <w:t xml:space="preserve">; </w:t>
      </w:r>
      <w:r w:rsidR="00F47737" w:rsidRPr="007120D6">
        <w:rPr>
          <w:bCs/>
        </w:rPr>
        <w:t>GNCA, gastric non-cardia adenocarcinoma;</w:t>
      </w:r>
      <w:r w:rsidR="00F47737">
        <w:rPr>
          <w:bCs/>
        </w:rPr>
        <w:t xml:space="preserve"> </w:t>
      </w:r>
      <w:r w:rsidR="00F47737">
        <w:t>H</w:t>
      </w:r>
      <w:r w:rsidR="00F47737" w:rsidRPr="00831D94">
        <w:t>Rs</w:t>
      </w:r>
      <w:r w:rsidR="00F47737">
        <w:t>, hazard ratios;</w:t>
      </w:r>
      <w:r w:rsidR="00F47737">
        <w:t xml:space="preserve"> </w:t>
      </w:r>
      <w:r w:rsidRPr="009942CF">
        <w:t xml:space="preserve">PAR, population attributable risk; 1, Results are based on </w:t>
      </w:r>
      <w:r>
        <w:t xml:space="preserve">adjusted hazard ratio </w:t>
      </w:r>
      <w:r w:rsidRPr="009942CF">
        <w:t xml:space="preserve">estimates from the NIH-AARP cohort (1995-2011) and </w:t>
      </w:r>
      <w:r>
        <w:t xml:space="preserve">joint </w:t>
      </w:r>
      <w:r w:rsidRPr="009942CF">
        <w:t xml:space="preserve">distribution of risk factors in 2015 </w:t>
      </w:r>
      <w:r>
        <w:t xml:space="preserve">the </w:t>
      </w:r>
      <w:r w:rsidRPr="009942CF">
        <w:t>N</w:t>
      </w:r>
      <w:r>
        <w:t xml:space="preserve">ational </w:t>
      </w:r>
      <w:r w:rsidRPr="009942CF">
        <w:t>H</w:t>
      </w:r>
      <w:r>
        <w:t xml:space="preserve">ealth </w:t>
      </w:r>
      <w:r w:rsidRPr="009942CF">
        <w:t>I</w:t>
      </w:r>
      <w:r>
        <w:t xml:space="preserve">nterview </w:t>
      </w:r>
      <w:r w:rsidRPr="009942CF">
        <w:t xml:space="preserve">Survey; 2, </w:t>
      </w:r>
      <w:r>
        <w:t>O</w:t>
      </w:r>
      <w:r w:rsidRPr="009942CF">
        <w:t>ther includ</w:t>
      </w:r>
      <w:r>
        <w:t>es</w:t>
      </w:r>
      <w:r w:rsidRPr="009942CF">
        <w:t xml:space="preserve"> Asian/Pacific Islander/American Indian/Native Alaskan; </w:t>
      </w:r>
      <w:r w:rsidRPr="00A311B8">
        <w:t>3, excluded underweight participant</w:t>
      </w:r>
      <w:r>
        <w:t>s,</w:t>
      </w:r>
      <w:r w:rsidRPr="00A311B8">
        <w:t xml:space="preserve"> </w:t>
      </w:r>
      <w:r>
        <w:t>i.e.,</w:t>
      </w:r>
      <w:r w:rsidRPr="00A311B8">
        <w:t xml:space="preserve"> BMI </w:t>
      </w:r>
      <w:r>
        <w:t>&lt;</w:t>
      </w:r>
      <w:r w:rsidRPr="00A311B8">
        <w:t xml:space="preserve"> 18.5;</w:t>
      </w:r>
      <w:r>
        <w:t xml:space="preserve"> 4</w:t>
      </w:r>
      <w:r w:rsidRPr="009942CF">
        <w:t xml:space="preserve">, </w:t>
      </w:r>
      <w:r w:rsidRPr="003A3572">
        <w:t>GERD was extracted from the Medicare data for a subset of the NIH-AARP cohort, then imputed  for missing GERD in the NIH-AARP cohort and the 2015 National Health Interview Survey data.</w:t>
      </w:r>
      <w:r>
        <w:t xml:space="preserve"> </w:t>
      </w:r>
    </w:p>
    <w:p w14:paraId="08795A35" w14:textId="77777777" w:rsidR="002A4B5B" w:rsidRPr="00DB4B26" w:rsidRDefault="002A4B5B" w:rsidP="002A4B5B">
      <w:pPr>
        <w:spacing w:line="480" w:lineRule="auto"/>
      </w:pPr>
    </w:p>
    <w:p w14:paraId="0078D916" w14:textId="3286686A" w:rsidR="002A4B5B" w:rsidRPr="002A4B5B" w:rsidRDefault="002A4B5B">
      <w:pPr>
        <w:rPr>
          <w:b/>
        </w:rPr>
      </w:pPr>
    </w:p>
    <w:p w14:paraId="7E220634" w14:textId="77777777" w:rsidR="002A4B5B" w:rsidRDefault="002A4B5B">
      <w:pPr>
        <w:rPr>
          <w:b/>
        </w:rPr>
      </w:pPr>
      <w:r>
        <w:rPr>
          <w:b/>
        </w:rPr>
        <w:br w:type="page"/>
      </w:r>
    </w:p>
    <w:p w14:paraId="2B7D87EB" w14:textId="076E589C" w:rsidR="004F1E5C" w:rsidRDefault="00245203" w:rsidP="00E26995">
      <w:r>
        <w:rPr>
          <w:b/>
        </w:rPr>
        <w:lastRenderedPageBreak/>
        <w:t xml:space="preserve">Supplementary </w:t>
      </w:r>
      <w:r w:rsidR="001B688C" w:rsidRPr="006C4A90">
        <w:rPr>
          <w:b/>
        </w:rPr>
        <w:t xml:space="preserve">Table </w:t>
      </w:r>
      <w:r w:rsidR="00D47B82">
        <w:rPr>
          <w:b/>
        </w:rPr>
        <w:t>4</w:t>
      </w:r>
      <w:r w:rsidR="001B688C" w:rsidRPr="006C4A90">
        <w:rPr>
          <w:b/>
        </w:rPr>
        <w:t>.</w:t>
      </w:r>
      <w:r w:rsidR="001B688C">
        <w:t xml:space="preserve"> </w:t>
      </w:r>
      <w:r w:rsidR="006C4A90" w:rsidRPr="006C4A90">
        <w:t>Distribution, hazard ratios, and 95%CIs of different risk factors for esophageal cancer and gastric adenocarcinoma in the NIH-AARP Diet and Health Study Cohort (1995-2011)</w:t>
      </w:r>
      <w:r w:rsidR="000132B6">
        <w:t>, treat</w:t>
      </w:r>
      <w:r w:rsidR="00A070AA">
        <w:t>ing</w:t>
      </w:r>
      <w:r w:rsidR="00AB66AF">
        <w:t xml:space="preserve"> potentially</w:t>
      </w:r>
      <w:r w:rsidR="000132B6">
        <w:t xml:space="preserve"> </w:t>
      </w:r>
      <w:r w:rsidR="00B25438">
        <w:t>modifiable</w:t>
      </w:r>
      <w:r w:rsidR="000132B6">
        <w:t xml:space="preserve"> risk factors as binary variables</w:t>
      </w:r>
    </w:p>
    <w:tbl>
      <w:tblPr>
        <w:tblW w:w="13328" w:type="dxa"/>
        <w:tblLook w:val="04A0" w:firstRow="1" w:lastRow="0" w:firstColumn="1" w:lastColumn="0" w:noHBand="0" w:noVBand="1"/>
      </w:tblPr>
      <w:tblGrid>
        <w:gridCol w:w="3048"/>
        <w:gridCol w:w="1854"/>
        <w:gridCol w:w="610"/>
        <w:gridCol w:w="219"/>
        <w:gridCol w:w="1202"/>
        <w:gridCol w:w="216"/>
        <w:gridCol w:w="506"/>
        <w:gridCol w:w="214"/>
        <w:gridCol w:w="1207"/>
        <w:gridCol w:w="212"/>
        <w:gridCol w:w="493"/>
        <w:gridCol w:w="208"/>
        <w:gridCol w:w="1207"/>
        <w:gridCol w:w="6"/>
        <w:gridCol w:w="206"/>
        <w:gridCol w:w="499"/>
        <w:gridCol w:w="212"/>
        <w:gridCol w:w="1209"/>
      </w:tblGrid>
      <w:tr w:rsidR="004F1E5C" w:rsidRPr="007E03EF" w14:paraId="5EBC9626" w14:textId="77777777" w:rsidTr="000F7976">
        <w:trPr>
          <w:trHeight w:val="300"/>
        </w:trPr>
        <w:tc>
          <w:tcPr>
            <w:tcW w:w="30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D40E47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Variables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346D58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NHIS weighted population in 2015, (n=83,170,147), %</w:t>
            </w:r>
          </w:p>
        </w:tc>
        <w:tc>
          <w:tcPr>
            <w:tcW w:w="41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3A19C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Esophageal cancer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BB2F1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Gastric adenocarcinoma</w:t>
            </w:r>
          </w:p>
        </w:tc>
      </w:tr>
      <w:tr w:rsidR="004F1E5C" w:rsidRPr="007E03EF" w14:paraId="1007F426" w14:textId="77777777" w:rsidTr="000F7976">
        <w:trPr>
          <w:trHeight w:val="300"/>
        </w:trPr>
        <w:tc>
          <w:tcPr>
            <w:tcW w:w="30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D91E67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700CCA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78423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ESCC</w:t>
            </w:r>
          </w:p>
        </w:tc>
        <w:tc>
          <w:tcPr>
            <w:tcW w:w="2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51BFD" w14:textId="558D2C6E" w:rsidR="004F1E5C" w:rsidRPr="007E03EF" w:rsidRDefault="008D5B1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EAC</w:t>
            </w:r>
          </w:p>
        </w:tc>
        <w:tc>
          <w:tcPr>
            <w:tcW w:w="2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F9A9E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GCA</w:t>
            </w:r>
          </w:p>
        </w:tc>
        <w:tc>
          <w:tcPr>
            <w:tcW w:w="21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73D8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GNCA</w:t>
            </w:r>
          </w:p>
        </w:tc>
      </w:tr>
      <w:tr w:rsidR="00172A82" w:rsidRPr="007E03EF" w14:paraId="5A99127F" w14:textId="77777777" w:rsidTr="000F7976">
        <w:trPr>
          <w:trHeight w:val="336"/>
        </w:trPr>
        <w:tc>
          <w:tcPr>
            <w:tcW w:w="30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2DFEA5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8EB332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D41EF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HR</w:t>
            </w:r>
            <w:r w:rsidRPr="007E03EF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72D38" w14:textId="2F4A1FB5" w:rsidR="004F1E5C" w:rsidRPr="007E03EF" w:rsidRDefault="006910C1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E6416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HR</w:t>
            </w:r>
            <w:r w:rsidRPr="007E03EF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24FF3" w14:textId="49AF1DB9" w:rsidR="004F1E5C" w:rsidRPr="007E03EF" w:rsidRDefault="006910C1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DA58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HR</w:t>
            </w:r>
            <w:r w:rsidRPr="007E03EF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3D3B" w14:textId="5E141A2C" w:rsidR="004F1E5C" w:rsidRPr="007E03EF" w:rsidRDefault="006910C1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E369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HR</w:t>
            </w:r>
            <w:r w:rsidRPr="007E03EF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3153" w14:textId="443CED44" w:rsidR="004F1E5C" w:rsidRPr="007E03EF" w:rsidRDefault="006910C1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</w:tr>
      <w:tr w:rsidR="00172A82" w:rsidRPr="007E03EF" w14:paraId="4F8E1106" w14:textId="77777777" w:rsidTr="000F7976">
        <w:trPr>
          <w:trHeight w:val="41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67B5" w14:textId="3DEB52C4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BMI</w:t>
            </w:r>
            <w:r w:rsidRPr="007E03EF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24EDD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5265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CBED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17C4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9DC8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EADC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AE4D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722D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F6A5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82" w:rsidRPr="007E03EF" w14:paraId="3ACDD2B5" w14:textId="77777777" w:rsidTr="000F7976">
        <w:trPr>
          <w:trHeight w:val="28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0167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18.5-&lt;25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8751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26.2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D90F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1.75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FBD9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1.38-2.21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A725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2530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67BF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E4E7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3593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496E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</w:tr>
      <w:tr w:rsidR="00172A82" w:rsidRPr="007E03EF" w14:paraId="0BDC8BB8" w14:textId="77777777" w:rsidTr="000F7976">
        <w:trPr>
          <w:trHeight w:val="28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4A1E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 ≥25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04A4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72.6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D3B4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8F36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D6E5" w14:textId="23EE5F3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</w:t>
            </w:r>
            <w:r w:rsidR="00DE6CEA" w:rsidRPr="007E03EF">
              <w:rPr>
                <w:rFonts w:ascii="Calibri" w:eastAsia="等线" w:hAnsi="Calibri" w:cs="宋体"/>
                <w:b/>
                <w:bCs/>
                <w:color w:val="000000"/>
              </w:rPr>
              <w:t>6</w:t>
            </w:r>
            <w:r w:rsidR="00DE6CEA">
              <w:rPr>
                <w:rFonts w:ascii="Calibri" w:eastAsia="等线" w:hAnsi="Calibri" w:cs="宋体"/>
                <w:b/>
                <w:bCs/>
                <w:color w:val="000000"/>
              </w:rPr>
              <w:t>5</w:t>
            </w:r>
            <w:r w:rsidR="00DE6CEA"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E595" w14:textId="22862A43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</w:t>
            </w:r>
            <w:r w:rsidR="00DE6CEA">
              <w:rPr>
                <w:rFonts w:ascii="Calibri" w:eastAsia="等线" w:hAnsi="Calibri" w:cs="宋体"/>
                <w:b/>
                <w:bCs/>
                <w:color w:val="000000"/>
              </w:rPr>
              <w:t>40</w:t>
            </w: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-1.</w:t>
            </w:r>
            <w:r w:rsidR="00DE6CEA" w:rsidRPr="007E03EF">
              <w:rPr>
                <w:rFonts w:ascii="Calibri" w:eastAsia="等线" w:hAnsi="Calibri" w:cs="宋体"/>
                <w:b/>
                <w:bCs/>
                <w:color w:val="000000"/>
              </w:rPr>
              <w:t>9</w:t>
            </w:r>
            <w:r w:rsidR="00DE6CEA">
              <w:rPr>
                <w:rFonts w:ascii="Calibri" w:eastAsia="等线" w:hAnsi="Calibri" w:cs="宋体"/>
                <w:b/>
                <w:bCs/>
                <w:color w:val="000000"/>
              </w:rPr>
              <w:t>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6F87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1.30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652F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1.09-1.56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9F6E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1.13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1341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0.95-1.33</w:t>
            </w:r>
          </w:p>
        </w:tc>
      </w:tr>
      <w:tr w:rsidR="00172A82" w:rsidRPr="007E03EF" w14:paraId="25ADEF46" w14:textId="77777777" w:rsidTr="000F7976">
        <w:trPr>
          <w:trHeight w:val="28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C2EC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Smoking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B099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C7C1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1FB8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78D6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7CEA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E850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0D98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377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CE81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82" w:rsidRPr="007E03EF" w14:paraId="2795AE85" w14:textId="77777777" w:rsidTr="000F7976">
        <w:trPr>
          <w:trHeight w:val="28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40D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Never smoker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D579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54.9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5920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F61E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C068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11A7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EC29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DF73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10AD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84C8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</w:tr>
      <w:tr w:rsidR="00172A82" w:rsidRPr="007E03EF" w14:paraId="02CC5B2F" w14:textId="77777777" w:rsidTr="000F7976">
        <w:trPr>
          <w:trHeight w:val="28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F132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Ever smoker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CC94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45.1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1333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3.72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3F4D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2.62-5.27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5A85" w14:textId="101010E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2.</w:t>
            </w:r>
            <w:r w:rsidR="00DE6CEA" w:rsidRPr="007E03EF">
              <w:rPr>
                <w:rFonts w:ascii="Calibri" w:eastAsia="等线" w:hAnsi="Calibri" w:cs="宋体"/>
                <w:b/>
                <w:bCs/>
                <w:color w:val="000000"/>
              </w:rPr>
              <w:t>0</w:t>
            </w:r>
            <w:r w:rsidR="00DE6CEA">
              <w:rPr>
                <w:rFonts w:ascii="Calibri" w:eastAsia="等线" w:hAnsi="Calibri" w:cs="宋体"/>
                <w:b/>
                <w:bCs/>
                <w:color w:val="000000"/>
              </w:rPr>
              <w:t>8</w:t>
            </w:r>
            <w:r w:rsidR="00DE6CEA"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6939" w14:textId="5365291C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1.76-2.</w:t>
            </w:r>
            <w:r w:rsidR="00DE6CEA" w:rsidRPr="007E03EF">
              <w:rPr>
                <w:rFonts w:ascii="Calibri" w:eastAsia="等线" w:hAnsi="Calibri" w:cs="宋体"/>
                <w:b/>
                <w:bCs/>
                <w:color w:val="000000"/>
              </w:rPr>
              <w:t>4</w:t>
            </w:r>
            <w:r w:rsidR="00DE6CEA">
              <w:rPr>
                <w:rFonts w:ascii="Calibri" w:eastAsia="等线" w:hAnsi="Calibri" w:cs="宋体"/>
                <w:b/>
                <w:bCs/>
                <w:color w:val="000000"/>
              </w:rPr>
              <w:t>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7F6F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2.31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82FE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1.88- 2.84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108E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1.28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FFF5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1.09-1.51</w:t>
            </w:r>
          </w:p>
        </w:tc>
      </w:tr>
      <w:tr w:rsidR="00172A82" w:rsidRPr="007E03EF" w14:paraId="3B042AF9" w14:textId="77777777" w:rsidTr="000F7976">
        <w:trPr>
          <w:trHeight w:val="288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D33E" w14:textId="58C9F06B" w:rsidR="004F1E5C" w:rsidRPr="007E03EF" w:rsidRDefault="003A3572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Alcohol intake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E211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905A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8EEE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302E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27E2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D469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6250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6A4F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82" w:rsidRPr="007E03EF" w14:paraId="4EA866AF" w14:textId="77777777" w:rsidTr="000F7976">
        <w:trPr>
          <w:trHeight w:val="28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56DE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&gt;0-1 drink/ day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5645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42.4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63D2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1F17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B136" w14:textId="6AE7040A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E4820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AF7E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53A3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5D0C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5E1D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</w:tr>
      <w:tr w:rsidR="00172A82" w:rsidRPr="007E03EF" w14:paraId="1DFD917E" w14:textId="77777777" w:rsidTr="000F7976">
        <w:trPr>
          <w:trHeight w:val="28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33D9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never drinker or &gt;1 drinks/ day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D15D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57.6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CC34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2.61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C4A0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2.02-3.36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B10E1" w14:textId="3B92F0EA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37103" w14:textId="0F310F76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1CC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1.14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A38D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0.97-1.32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4D44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color w:val="000000"/>
              </w:rPr>
              <w:t xml:space="preserve">1.17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D2B0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color w:val="000000"/>
              </w:rPr>
              <w:t>1.01-1.35</w:t>
            </w:r>
          </w:p>
        </w:tc>
      </w:tr>
      <w:tr w:rsidR="00172A82" w:rsidRPr="007E03EF" w14:paraId="52969C52" w14:textId="77777777" w:rsidTr="000F7976">
        <w:trPr>
          <w:trHeight w:val="288"/>
        </w:trPr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434D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Self-reported diabetes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A11D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9B98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E9B0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EC1E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F2F3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02A8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D195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FFFE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82" w:rsidRPr="007E03EF" w14:paraId="02C0CAF4" w14:textId="77777777" w:rsidTr="000F7976">
        <w:trPr>
          <w:trHeight w:val="28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E8F3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No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B973" w14:textId="26D7B13A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91</w:t>
            </w:r>
            <w:r w:rsidR="008639D9">
              <w:rPr>
                <w:rFonts w:ascii="Calibri" w:eastAsia="等线" w:hAnsi="Calibri" w:cs="宋体"/>
                <w:color w:val="000000"/>
              </w:rPr>
              <w:t>.0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3E54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F648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AF2DD" w14:textId="682ADC29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3BF6F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D32D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349F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9858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46FA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82" w:rsidRPr="007E03EF" w14:paraId="2BB4467A" w14:textId="77777777" w:rsidTr="000F7976">
        <w:trPr>
          <w:trHeight w:val="28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95DC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Yes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DAA2" w14:textId="6CF3C071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9</w:t>
            </w:r>
            <w:r w:rsidR="008639D9">
              <w:rPr>
                <w:rFonts w:ascii="Calibri" w:eastAsia="等线" w:hAnsi="Calibri" w:cs="宋体"/>
                <w:color w:val="000000"/>
              </w:rPr>
              <w:t>.0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7529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668F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54C6D" w14:textId="4F4CF6DF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1A839" w14:textId="56A7AB04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5626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1.64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8F33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1.32-2.05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80FD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35D1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82" w:rsidRPr="007E03EF" w14:paraId="77A234A3" w14:textId="77777777" w:rsidTr="000F7976">
        <w:trPr>
          <w:trHeight w:val="324"/>
        </w:trPr>
        <w:tc>
          <w:tcPr>
            <w:tcW w:w="5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8EF6" w14:textId="3E0F2B72" w:rsidR="004F1E5C" w:rsidRPr="007E03EF" w:rsidRDefault="003A3572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GERD</w:t>
            </w:r>
            <w:r w:rsidR="004F1E5C" w:rsidRPr="007E03EF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48A3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63D0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1129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0945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5876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69C8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E761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82" w:rsidRPr="007E03EF" w14:paraId="16D52D97" w14:textId="77777777" w:rsidTr="000F7976">
        <w:trPr>
          <w:trHeight w:val="28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42D8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No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30CE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76.2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54F6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1A3D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6AD4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2A98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F26C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CD9C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B23D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9C76" w14:textId="77777777" w:rsidR="004F1E5C" w:rsidRPr="007E03EF" w:rsidRDefault="004F1E5C" w:rsidP="00A0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82" w:rsidRPr="007E03EF" w14:paraId="5EDD3B8D" w14:textId="77777777" w:rsidTr="000F7976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C1B7" w14:textId="77777777" w:rsidR="004F1E5C" w:rsidRPr="007E03EF" w:rsidRDefault="004F1E5C" w:rsidP="00A070AA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Yes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4460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23.8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1E7E0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93D6B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D875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2.07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DEF41" w14:textId="7958A8C4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1.38-3.</w:t>
            </w:r>
            <w:r w:rsidR="00DE6CEA" w:rsidRPr="007E03EF">
              <w:rPr>
                <w:rFonts w:ascii="Calibri" w:eastAsia="等线" w:hAnsi="Calibri" w:cs="宋体"/>
                <w:b/>
                <w:bCs/>
                <w:color w:val="000000"/>
              </w:rPr>
              <w:t>1</w:t>
            </w:r>
            <w:r w:rsidR="00DE6CEA">
              <w:rPr>
                <w:rFonts w:ascii="Calibri" w:eastAsia="等线" w:hAnsi="Calibri" w:cs="宋体"/>
                <w:b/>
                <w:bCs/>
                <w:color w:val="000000"/>
              </w:rPr>
              <w:t>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03D5A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1.91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E43AA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1.21-3.00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C3C5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16144" w14:textId="77777777" w:rsidR="004F1E5C" w:rsidRPr="007E03EF" w:rsidRDefault="004F1E5C" w:rsidP="00A070AA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　</w:t>
            </w:r>
          </w:p>
        </w:tc>
      </w:tr>
    </w:tbl>
    <w:p w14:paraId="684285DC" w14:textId="567B8113" w:rsidR="00A311B8" w:rsidRDefault="00A311B8" w:rsidP="00E26995">
      <w:r w:rsidRPr="00A311B8">
        <w:t xml:space="preserve">Note: </w:t>
      </w:r>
      <w:r w:rsidR="000E7114" w:rsidRPr="00B970D4">
        <w:t>BMI</w:t>
      </w:r>
      <w:r w:rsidR="000E7114">
        <w:t>,</w:t>
      </w:r>
      <w:r w:rsidR="000E7114" w:rsidRPr="00B970D4">
        <w:t xml:space="preserve"> </w:t>
      </w:r>
      <w:r w:rsidR="000E7114">
        <w:t>b</w:t>
      </w:r>
      <w:r w:rsidR="000E7114" w:rsidRPr="00B970D4">
        <w:t>ody mass index</w:t>
      </w:r>
      <w:r w:rsidR="000E7114">
        <w:t>;</w:t>
      </w:r>
      <w:r w:rsidR="000E7114" w:rsidRPr="00B970D4">
        <w:t xml:space="preserve"> </w:t>
      </w:r>
      <w:r w:rsidR="000E7114" w:rsidRPr="00831D94">
        <w:t>CIs</w:t>
      </w:r>
      <w:r w:rsidR="000E7114">
        <w:t>,</w:t>
      </w:r>
      <w:r w:rsidR="000E7114" w:rsidRPr="00831D94">
        <w:t xml:space="preserve"> confidence intervals</w:t>
      </w:r>
      <w:r w:rsidR="000E7114">
        <w:t xml:space="preserve">; </w:t>
      </w:r>
      <w:r w:rsidR="000E7114" w:rsidRPr="007120D6">
        <w:rPr>
          <w:bCs/>
        </w:rPr>
        <w:t xml:space="preserve">ESCC, esophageal squamous cell carcinoma; EAC, esophageal adenocarcinoma; GCA, gastric cardia adenocarcinoma; </w:t>
      </w:r>
      <w:r w:rsidR="000E7114">
        <w:t>GERD,</w:t>
      </w:r>
      <w:r w:rsidR="000E7114" w:rsidRPr="00B970D4">
        <w:t xml:space="preserve"> </w:t>
      </w:r>
      <w:r w:rsidR="000E7114">
        <w:t>g</w:t>
      </w:r>
      <w:r w:rsidR="000E7114" w:rsidRPr="00B970D4">
        <w:t>astroesophageal reflux disease</w:t>
      </w:r>
      <w:r w:rsidR="000E7114">
        <w:t xml:space="preserve">; </w:t>
      </w:r>
      <w:r w:rsidR="000E7114" w:rsidRPr="007120D6">
        <w:rPr>
          <w:bCs/>
        </w:rPr>
        <w:t>GNCA, gastric non-cardia adenocarcinoma;</w:t>
      </w:r>
      <w:r w:rsidR="000E7114">
        <w:rPr>
          <w:bCs/>
        </w:rPr>
        <w:t xml:space="preserve"> </w:t>
      </w:r>
      <w:r w:rsidR="000E7114">
        <w:t>H</w:t>
      </w:r>
      <w:r w:rsidR="000E7114" w:rsidRPr="00831D94">
        <w:t>R</w:t>
      </w:r>
      <w:r w:rsidR="000E7114">
        <w:t xml:space="preserve">, hazard ratio; </w:t>
      </w:r>
      <w:r w:rsidR="00973374">
        <w:t xml:space="preserve">NHIS, </w:t>
      </w:r>
      <w:r w:rsidR="00973374" w:rsidRPr="009942CF">
        <w:t>N</w:t>
      </w:r>
      <w:r w:rsidR="00973374">
        <w:t xml:space="preserve">ational </w:t>
      </w:r>
      <w:r w:rsidR="00973374" w:rsidRPr="009942CF">
        <w:t>H</w:t>
      </w:r>
      <w:r w:rsidR="00973374">
        <w:t xml:space="preserve">ealth </w:t>
      </w:r>
      <w:r w:rsidR="00973374" w:rsidRPr="009942CF">
        <w:t>I</w:t>
      </w:r>
      <w:r w:rsidR="00973374">
        <w:t xml:space="preserve">nterview </w:t>
      </w:r>
      <w:r w:rsidR="00973374" w:rsidRPr="009942CF">
        <w:t>Survey</w:t>
      </w:r>
      <w:r w:rsidR="00973374">
        <w:t>;</w:t>
      </w:r>
    </w:p>
    <w:p w14:paraId="5B162981" w14:textId="4EE279F1" w:rsidR="00245203" w:rsidRDefault="00A311B8" w:rsidP="00E26995">
      <w:r w:rsidRPr="00A311B8">
        <w:t>1, HRs come from Cox models adjusted for sex, ethnic group, BMI, smoking status, and alcohol drinking status</w:t>
      </w:r>
      <w:r w:rsidR="00BD56B2">
        <w:t xml:space="preserve"> </w:t>
      </w:r>
      <w:r w:rsidR="00BD56B2" w:rsidRPr="00D34119">
        <w:t>with age as the time scale</w:t>
      </w:r>
      <w:r w:rsidRPr="00A311B8">
        <w:t xml:space="preserve">; </w:t>
      </w:r>
      <w:r w:rsidR="00597CEF">
        <w:t xml:space="preserve">2, </w:t>
      </w:r>
      <w:r w:rsidRPr="00A311B8">
        <w:t xml:space="preserve">HRs come from Cox models through imputation, adjusted for sex, ethnic group, BMI, smoking status, </w:t>
      </w:r>
      <w:r w:rsidR="003A3572">
        <w:t>alcohol intake</w:t>
      </w:r>
      <w:r w:rsidRPr="00A311B8">
        <w:t xml:space="preserve"> status, self-reported diabetes, and gastroesophageal reflux disease</w:t>
      </w:r>
      <w:r w:rsidR="00597CEF">
        <w:t xml:space="preserve"> </w:t>
      </w:r>
      <w:r w:rsidR="00597CEF" w:rsidRPr="00D34119">
        <w:t>with age as the time scale</w:t>
      </w:r>
      <w:r w:rsidRPr="00A311B8">
        <w:t xml:space="preserve">; 3, excluded underweight participant who had a BMI lower than 18.5; 4, </w:t>
      </w:r>
      <w:r w:rsidR="003A3572" w:rsidRPr="00EC38F9">
        <w:t>GERD was extracted from the Medicare data for a subset of the NIH-AARP cohort, then imputed  for missing GERD in the NIH-AARP cohort and the 2015 National Health Interview Survey data</w:t>
      </w:r>
      <w:r w:rsidR="003A3572">
        <w:t>.</w:t>
      </w:r>
    </w:p>
    <w:p w14:paraId="616CE9C4" w14:textId="77777777" w:rsidR="00245203" w:rsidRDefault="00245203">
      <w:r>
        <w:br w:type="page"/>
      </w:r>
    </w:p>
    <w:p w14:paraId="2A50EE87" w14:textId="0A80F586" w:rsidR="00245203" w:rsidRDefault="00245203" w:rsidP="00245203">
      <w:r>
        <w:rPr>
          <w:b/>
        </w:rPr>
        <w:lastRenderedPageBreak/>
        <w:t>Supplementary Table</w:t>
      </w:r>
      <w:r w:rsidR="00D47B82">
        <w:rPr>
          <w:b/>
        </w:rPr>
        <w:t xml:space="preserve"> 5</w:t>
      </w:r>
      <w:r w:rsidRPr="009444FA">
        <w:rPr>
          <w:b/>
        </w:rPr>
        <w:t>.</w:t>
      </w:r>
      <w:r>
        <w:t xml:space="preserve"> </w:t>
      </w:r>
      <w:r w:rsidRPr="001C7E9E">
        <w:t>Population attributable risks and 95%</w:t>
      </w:r>
      <w:r>
        <w:t xml:space="preserve">CIs for </w:t>
      </w:r>
      <w:r w:rsidRPr="001C7E9E">
        <w:t>potential</w:t>
      </w:r>
      <w:r>
        <w:t>ly</w:t>
      </w:r>
      <w:r w:rsidRPr="001C7E9E">
        <w:t xml:space="preserve"> </w:t>
      </w:r>
      <w:r>
        <w:t>modifiable</w:t>
      </w:r>
      <w:r w:rsidRPr="001C7E9E">
        <w:t xml:space="preserve"> risk factors for esophageal cancer and gastric adenocarcino</w:t>
      </w:r>
      <w:r>
        <w:t>ma in 2015 in the United States</w:t>
      </w:r>
    </w:p>
    <w:tbl>
      <w:tblPr>
        <w:tblW w:w="13325" w:type="dxa"/>
        <w:tblLook w:val="04A0" w:firstRow="1" w:lastRow="0" w:firstColumn="1" w:lastColumn="0" w:noHBand="0" w:noVBand="1"/>
      </w:tblPr>
      <w:tblGrid>
        <w:gridCol w:w="3923"/>
        <w:gridCol w:w="839"/>
        <w:gridCol w:w="1421"/>
        <w:gridCol w:w="839"/>
        <w:gridCol w:w="1483"/>
        <w:gridCol w:w="960"/>
        <w:gridCol w:w="1450"/>
        <w:gridCol w:w="960"/>
        <w:gridCol w:w="1450"/>
      </w:tblGrid>
      <w:tr w:rsidR="00245203" w:rsidRPr="00A04EB0" w14:paraId="36CBF7BB" w14:textId="77777777" w:rsidTr="00A263DD">
        <w:trPr>
          <w:trHeight w:val="300"/>
        </w:trPr>
        <w:tc>
          <w:tcPr>
            <w:tcW w:w="39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DB8136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Variables</w:t>
            </w:r>
          </w:p>
        </w:tc>
        <w:tc>
          <w:tcPr>
            <w:tcW w:w="45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0274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Esophageal cancer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01680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Gastric adenocarcinoma</w:t>
            </w:r>
          </w:p>
        </w:tc>
      </w:tr>
      <w:tr w:rsidR="00245203" w:rsidRPr="00A04EB0" w14:paraId="17916284" w14:textId="77777777" w:rsidTr="00A263DD">
        <w:trPr>
          <w:trHeight w:val="300"/>
        </w:trPr>
        <w:tc>
          <w:tcPr>
            <w:tcW w:w="39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EB827F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1980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ESCC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13BC3" w14:textId="6C692168" w:rsidR="00245203" w:rsidRPr="00A04EB0" w:rsidRDefault="008D5B1C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EAC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E6FDA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GCA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A0AA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GNCA</w:t>
            </w:r>
          </w:p>
        </w:tc>
      </w:tr>
      <w:tr w:rsidR="00245203" w:rsidRPr="00A04EB0" w14:paraId="029405CE" w14:textId="77777777" w:rsidTr="00A263DD">
        <w:trPr>
          <w:trHeight w:val="336"/>
        </w:trPr>
        <w:tc>
          <w:tcPr>
            <w:tcW w:w="39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7D23BE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F5EF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PAR</w:t>
            </w:r>
            <w:r w:rsidRPr="00A04EB0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7975B" w14:textId="1057C291" w:rsidR="00245203" w:rsidRPr="00A04EB0" w:rsidRDefault="006910C1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66D7B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PAR</w:t>
            </w:r>
            <w:r w:rsidRPr="00A04EB0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BF0E" w14:textId="11CFE096" w:rsidR="00245203" w:rsidRPr="00A04EB0" w:rsidRDefault="006910C1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5ED8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PAR</w:t>
            </w:r>
            <w:r w:rsidRPr="00A04EB0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B4788" w14:textId="6EE79EE6" w:rsidR="00245203" w:rsidRPr="00A04EB0" w:rsidRDefault="006910C1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3F5B1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PAR</w:t>
            </w:r>
            <w:r w:rsidRPr="00A04EB0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4425" w14:textId="46C7D78A" w:rsidR="00245203" w:rsidRPr="00A04EB0" w:rsidRDefault="006910C1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</w:tr>
      <w:tr w:rsidR="00245203" w:rsidRPr="00A04EB0" w14:paraId="3CFFD39F" w14:textId="77777777" w:rsidTr="00A263DD">
        <w:trPr>
          <w:trHeight w:val="432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F6976" w14:textId="74638F44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BMI</w:t>
            </w:r>
            <w:r w:rsidRPr="002E1D9F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7B21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98B7" w14:textId="77777777" w:rsidR="00245203" w:rsidRPr="00A04EB0" w:rsidRDefault="00245203" w:rsidP="00A2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793A" w14:textId="77777777" w:rsidR="00245203" w:rsidRPr="00A04EB0" w:rsidRDefault="00245203" w:rsidP="00A2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6A42" w14:textId="77777777" w:rsidR="00245203" w:rsidRPr="00A04EB0" w:rsidRDefault="00245203" w:rsidP="00A2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24B0" w14:textId="77777777" w:rsidR="00245203" w:rsidRPr="00A04EB0" w:rsidRDefault="00245203" w:rsidP="00A2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7569" w14:textId="77777777" w:rsidR="00245203" w:rsidRPr="00A04EB0" w:rsidRDefault="00245203" w:rsidP="00A2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9388D" w14:textId="77777777" w:rsidR="00245203" w:rsidRPr="00A04EB0" w:rsidRDefault="00245203" w:rsidP="00A2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595C" w14:textId="77777777" w:rsidR="00245203" w:rsidRPr="00A04EB0" w:rsidRDefault="00245203" w:rsidP="00A2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03" w:rsidRPr="00A04EB0" w14:paraId="56C73920" w14:textId="77777777" w:rsidTr="00A263DD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341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18.5-&lt;25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4ABF3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16.22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39C1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8.76-23.67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58EF6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31EF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6B00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BC49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1BD4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6FA7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</w:tr>
      <w:tr w:rsidR="00245203" w:rsidRPr="00A04EB0" w14:paraId="1017D2FE" w14:textId="77777777" w:rsidTr="00A263DD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6A33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 xml:space="preserve"> ≥25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FDBE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4C59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C281" w14:textId="183380C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33.</w:t>
            </w:r>
            <w:r w:rsidR="00497E10">
              <w:rPr>
                <w:rFonts w:ascii="Calibri" w:eastAsia="等线" w:hAnsi="Calibri" w:cs="宋体"/>
                <w:b/>
                <w:bCs/>
                <w:color w:val="000000"/>
              </w:rPr>
              <w:t>4</w:t>
            </w:r>
            <w:r w:rsidR="00497E10" w:rsidRPr="00A04EB0">
              <w:rPr>
                <w:rFonts w:ascii="Calibri" w:eastAsia="等线" w:hAnsi="Calibri" w:cs="宋体"/>
                <w:b/>
                <w:bCs/>
                <w:color w:val="000000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B657" w14:textId="6E47D93F" w:rsidR="00245203" w:rsidRPr="00A04EB0" w:rsidRDefault="00497E10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2</w:t>
            </w:r>
            <w:r>
              <w:rPr>
                <w:rFonts w:ascii="Calibri" w:eastAsia="等线" w:hAnsi="Calibri" w:cs="宋体"/>
                <w:b/>
                <w:color w:val="000000"/>
              </w:rPr>
              <w:t>4</w:t>
            </w:r>
            <w:r w:rsidR="00245203" w:rsidRPr="00A04EB0">
              <w:rPr>
                <w:rFonts w:ascii="Calibri" w:eastAsia="等线" w:hAnsi="Calibri" w:cs="宋体"/>
                <w:b/>
                <w:color w:val="000000"/>
              </w:rPr>
              <w:t>.</w:t>
            </w:r>
            <w:r>
              <w:rPr>
                <w:rFonts w:ascii="Calibri" w:eastAsia="等线" w:hAnsi="Calibri" w:cs="宋体"/>
                <w:b/>
                <w:color w:val="000000"/>
              </w:rPr>
              <w:t>26</w:t>
            </w:r>
            <w:r w:rsidR="00245203" w:rsidRPr="00A04EB0">
              <w:rPr>
                <w:rFonts w:ascii="Calibri" w:eastAsia="等线" w:hAnsi="Calibri" w:cs="宋体"/>
                <w:b/>
                <w:color w:val="000000"/>
              </w:rPr>
              <w:t>-42.</w:t>
            </w:r>
            <w:r>
              <w:rPr>
                <w:rFonts w:ascii="Calibri" w:eastAsia="等线" w:hAnsi="Calibri" w:cs="宋体"/>
                <w:b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EFB99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18.86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0E2D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 xml:space="preserve"> 7.03-30.70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95E9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8.57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E304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-3.05-20.18</w:t>
            </w:r>
          </w:p>
        </w:tc>
      </w:tr>
      <w:tr w:rsidR="00245203" w:rsidRPr="00A04EB0" w14:paraId="1D98D099" w14:textId="77777777" w:rsidTr="00A263DD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1923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 xml:space="preserve">Smoking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3CC3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F827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DEFD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5C44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53B4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E04F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5E7DA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7607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03" w:rsidRPr="00A04EB0" w14:paraId="4B7E5D47" w14:textId="77777777" w:rsidTr="00A263DD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4059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Never smoker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43BE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8659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D242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1B38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2D41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DE78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82D9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B631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</w:tr>
      <w:tr w:rsidR="00245203" w:rsidRPr="00A04EB0" w14:paraId="1CEEC818" w14:textId="77777777" w:rsidTr="00A263DD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40B6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Ever smoker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70BD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55.59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EEB5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43.88-67.30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6CBE" w14:textId="556643C4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34.</w:t>
            </w:r>
            <w:r w:rsidR="00497E10" w:rsidRPr="00A04EB0">
              <w:rPr>
                <w:rFonts w:ascii="Calibri" w:eastAsia="等线" w:hAnsi="Calibri" w:cs="宋体"/>
                <w:b/>
                <w:bCs/>
                <w:color w:val="000000"/>
              </w:rPr>
              <w:t>9</w:t>
            </w:r>
            <w:r w:rsidR="00497E10">
              <w:rPr>
                <w:rFonts w:ascii="Calibri" w:eastAsia="等线" w:hAnsi="Calibri" w:cs="宋体"/>
                <w:b/>
                <w:bCs/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B0CE" w14:textId="4882BD52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27.</w:t>
            </w:r>
            <w:r w:rsidR="00497E10">
              <w:rPr>
                <w:rFonts w:ascii="Calibri" w:eastAsia="等线" w:hAnsi="Calibri" w:cs="宋体"/>
                <w:b/>
                <w:color w:val="000000"/>
              </w:rPr>
              <w:t>39</w:t>
            </w:r>
            <w:r w:rsidRPr="00A04EB0">
              <w:rPr>
                <w:rFonts w:ascii="Calibri" w:eastAsia="等线" w:hAnsi="Calibri" w:cs="宋体"/>
                <w:b/>
                <w:color w:val="000000"/>
              </w:rPr>
              <w:t>-42.</w:t>
            </w:r>
            <w:r w:rsidR="00497E10" w:rsidRPr="00A04EB0">
              <w:rPr>
                <w:rFonts w:ascii="Calibri" w:eastAsia="等线" w:hAnsi="Calibri" w:cs="宋体"/>
                <w:b/>
                <w:color w:val="000000"/>
              </w:rPr>
              <w:t>4</w:t>
            </w:r>
            <w:r w:rsidR="00497E10">
              <w:rPr>
                <w:rFonts w:ascii="Calibri" w:eastAsia="等线" w:hAnsi="Calibri" w:cs="宋体"/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AB5F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39.08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541DC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30.34-47.83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99C5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10.94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F65B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3.72-18.15</w:t>
            </w:r>
          </w:p>
        </w:tc>
      </w:tr>
      <w:tr w:rsidR="00245203" w:rsidRPr="00A04EB0" w14:paraId="679B20A1" w14:textId="77777777" w:rsidTr="00A263DD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FBB1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Alcohol intake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66E8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8F32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464DB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EA6B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6E1F0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9094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2FD2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4BA7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03" w:rsidRPr="00A04EB0" w14:paraId="0B85BB6C" w14:textId="77777777" w:rsidTr="007120D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ADF5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&gt;0-1 drink/ day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1784E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1C2E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2F45D" w14:textId="5AA5DBC3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583F4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FE43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02EB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BC27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F0AB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</w:tr>
      <w:tr w:rsidR="00245203" w:rsidRPr="00A04EB0" w14:paraId="6896852A" w14:textId="77777777" w:rsidTr="007120D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D5E8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never drinker or &gt;1 drinks/ day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1FD8D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47.99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BCA7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37.72-58.26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0F83" w14:textId="27ECB40A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1DAF3" w14:textId="3EC3A233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6542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7.25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6BAB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-1.48-15.98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5F09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9.07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7C90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0.53-17.61</w:t>
            </w:r>
          </w:p>
        </w:tc>
      </w:tr>
      <w:tr w:rsidR="00245203" w:rsidRPr="00A04EB0" w14:paraId="45DCA2D4" w14:textId="77777777" w:rsidTr="00A263DD">
        <w:trPr>
          <w:trHeight w:val="288"/>
        </w:trPr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944A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Self-reported diabetes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DAA3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86D84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33AC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13BB5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49A6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364D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0F5F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03" w:rsidRPr="00A04EB0" w14:paraId="7C0960FA" w14:textId="77777777" w:rsidTr="007120D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6779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No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593C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2931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E00D5" w14:textId="72324BB3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E8E2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0989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81AB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601B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B443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03" w:rsidRPr="00A04EB0" w14:paraId="5C0A73B0" w14:textId="77777777" w:rsidTr="007120D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53BB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Yes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D89D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FB44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83FB0" w14:textId="0E8F15AE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01090" w14:textId="223F6D3C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8450C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9.92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DA405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4.81-15.04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1250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26E9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03" w:rsidRPr="00A04EB0" w14:paraId="5A9619A5" w14:textId="77777777" w:rsidTr="00A263DD">
        <w:trPr>
          <w:trHeight w:val="288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1440" w14:textId="54740DD1" w:rsidR="00245203" w:rsidRPr="003A3572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GERD</w:t>
            </w:r>
            <w:r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8F54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4635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33E0A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D6DB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6581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C673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03" w:rsidRPr="00A04EB0" w14:paraId="2A3DC4ED" w14:textId="77777777" w:rsidTr="00A263DD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B01F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No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85A8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4330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57B61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0425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B2FE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92E9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F047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A264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03" w:rsidRPr="00A04EB0" w14:paraId="7F40AC2C" w14:textId="77777777" w:rsidTr="00A263DD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86F79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Yes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315A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70C9C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7B7804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20.93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805E6" w14:textId="35D481F9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7.</w:t>
            </w:r>
            <w:r w:rsidR="00497E10" w:rsidRPr="00A04EB0">
              <w:rPr>
                <w:rFonts w:ascii="Calibri" w:eastAsia="等线" w:hAnsi="Calibri" w:cs="宋体"/>
                <w:b/>
                <w:bCs/>
                <w:color w:val="000000"/>
              </w:rPr>
              <w:t>4</w:t>
            </w:r>
            <w:r w:rsidR="00497E10">
              <w:rPr>
                <w:rFonts w:ascii="Calibri" w:eastAsia="等线" w:hAnsi="Calibri" w:cs="宋体"/>
                <w:b/>
                <w:bCs/>
                <w:color w:val="000000"/>
              </w:rPr>
              <w:t>2</w:t>
            </w: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-34.</w:t>
            </w:r>
            <w:r w:rsidR="00497E10" w:rsidRPr="00A04EB0">
              <w:rPr>
                <w:rFonts w:ascii="Calibri" w:eastAsia="等线" w:hAnsi="Calibri" w:cs="宋体"/>
                <w:b/>
                <w:bCs/>
                <w:color w:val="000000"/>
              </w:rPr>
              <w:t>4</w:t>
            </w:r>
            <w:r w:rsidR="00497E10">
              <w:rPr>
                <w:rFonts w:ascii="Calibri" w:eastAsia="等线" w:hAnsi="Calibri" w:cs="宋体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7173A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17.88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301A3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3.51-32.25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7D77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4215D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 xml:space="preserve">　</w:t>
            </w:r>
          </w:p>
        </w:tc>
      </w:tr>
      <w:tr w:rsidR="00245203" w:rsidRPr="00A04EB0" w14:paraId="573FB6E1" w14:textId="77777777" w:rsidTr="00A263DD">
        <w:trPr>
          <w:trHeight w:val="336"/>
        </w:trPr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A0773" w14:textId="77777777" w:rsidR="00245203" w:rsidRPr="00A04EB0" w:rsidRDefault="00245203" w:rsidP="00A263DD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 xml:space="preserve">Combined PAR for </w:t>
            </w:r>
            <w:r>
              <w:rPr>
                <w:rFonts w:ascii="Calibri" w:eastAsia="等线" w:hAnsi="Calibri" w:cs="宋体"/>
                <w:b/>
                <w:bCs/>
                <w:color w:val="000000"/>
              </w:rPr>
              <w:t xml:space="preserve">potentially </w:t>
            </w:r>
            <w:r w:rsidRPr="002E1D9F">
              <w:rPr>
                <w:rFonts w:ascii="Calibri" w:eastAsia="等线" w:hAnsi="Calibri" w:cs="宋体"/>
                <w:b/>
                <w:bCs/>
                <w:color w:val="000000"/>
              </w:rPr>
              <w:t>modifiable</w:t>
            </w: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 xml:space="preserve"> risk factors</w:t>
            </w:r>
            <w:r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CA8B5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80.59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1112E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 xml:space="preserve"> 73.62-87.57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DAFD" w14:textId="5150E690" w:rsidR="00245203" w:rsidRPr="00A04EB0" w:rsidRDefault="00497E10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6</w:t>
            </w:r>
            <w:r>
              <w:rPr>
                <w:rFonts w:ascii="Calibri" w:eastAsia="等线" w:hAnsi="Calibri" w:cs="宋体"/>
                <w:b/>
                <w:bCs/>
                <w:color w:val="000000"/>
              </w:rPr>
              <w:t>5</w:t>
            </w:r>
            <w:r w:rsidR="00245203" w:rsidRPr="00A04EB0">
              <w:rPr>
                <w:rFonts w:ascii="Calibri" w:eastAsia="等线" w:hAnsi="Calibri" w:cs="宋体"/>
                <w:b/>
                <w:bCs/>
                <w:color w:val="000000"/>
              </w:rPr>
              <w:t>.</w:t>
            </w:r>
            <w:r>
              <w:rPr>
                <w:rFonts w:ascii="Calibri" w:eastAsia="等线" w:hAnsi="Calibri" w:cs="宋体"/>
                <w:b/>
                <w:bCs/>
                <w:color w:val="000000"/>
              </w:rPr>
              <w:t>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A0E79" w14:textId="7B4BD285" w:rsidR="00245203" w:rsidRPr="00A04EB0" w:rsidRDefault="00497E10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5</w:t>
            </w:r>
            <w:r>
              <w:rPr>
                <w:rFonts w:ascii="Calibri" w:eastAsia="等线" w:hAnsi="Calibri" w:cs="宋体"/>
                <w:b/>
                <w:bCs/>
                <w:color w:val="000000"/>
              </w:rPr>
              <w:t>8</w:t>
            </w:r>
            <w:r w:rsidR="00245203" w:rsidRPr="00A04EB0">
              <w:rPr>
                <w:rFonts w:ascii="Calibri" w:eastAsia="等线" w:hAnsi="Calibri" w:cs="宋体"/>
                <w:b/>
                <w:bCs/>
                <w:color w:val="000000"/>
              </w:rPr>
              <w:t>.</w:t>
            </w:r>
            <w:r>
              <w:rPr>
                <w:rFonts w:ascii="Calibri" w:eastAsia="等线" w:hAnsi="Calibri" w:cs="宋体"/>
                <w:b/>
                <w:bCs/>
                <w:color w:val="000000"/>
              </w:rPr>
              <w:t>1</w:t>
            </w:r>
            <w:r w:rsidR="00245203" w:rsidRPr="00A04EB0">
              <w:rPr>
                <w:rFonts w:ascii="Calibri" w:eastAsia="等线" w:hAnsi="Calibri" w:cs="宋体"/>
                <w:b/>
                <w:bCs/>
                <w:color w:val="000000"/>
              </w:rPr>
              <w:t>7-7</w:t>
            </w:r>
            <w:r>
              <w:rPr>
                <w:rFonts w:ascii="Calibri" w:eastAsia="等线" w:hAnsi="Calibri" w:cs="宋体"/>
                <w:b/>
                <w:bCs/>
                <w:color w:val="000000"/>
              </w:rPr>
              <w:t>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A2DBF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65.80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9C08C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56.84-74.77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C6B43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25.97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BD037" w14:textId="77777777" w:rsidR="00245203" w:rsidRPr="00A04EB0" w:rsidRDefault="00245203" w:rsidP="00A263DD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13.62-38.32</w:t>
            </w:r>
          </w:p>
        </w:tc>
      </w:tr>
    </w:tbl>
    <w:p w14:paraId="4257BAF7" w14:textId="797F7400" w:rsidR="00245203" w:rsidRDefault="00245203" w:rsidP="00245203">
      <w:r w:rsidRPr="00FE5E55">
        <w:t xml:space="preserve">Note: </w:t>
      </w:r>
      <w:r w:rsidR="00B14BDC" w:rsidRPr="00B970D4">
        <w:t>BMI</w:t>
      </w:r>
      <w:r w:rsidR="00B14BDC">
        <w:t>,</w:t>
      </w:r>
      <w:r w:rsidR="00B14BDC" w:rsidRPr="00B970D4">
        <w:t xml:space="preserve"> </w:t>
      </w:r>
      <w:r w:rsidR="00B14BDC">
        <w:t>b</w:t>
      </w:r>
      <w:r w:rsidR="00B14BDC" w:rsidRPr="00B970D4">
        <w:t>ody mass index</w:t>
      </w:r>
      <w:r w:rsidR="00B14BDC">
        <w:t>;</w:t>
      </w:r>
      <w:r w:rsidR="00B14BDC" w:rsidRPr="00B970D4">
        <w:t xml:space="preserve"> </w:t>
      </w:r>
      <w:r w:rsidR="00B14BDC" w:rsidRPr="00831D94">
        <w:t>CIs</w:t>
      </w:r>
      <w:r w:rsidR="00B14BDC">
        <w:t>,</w:t>
      </w:r>
      <w:r w:rsidR="00B14BDC" w:rsidRPr="00831D94">
        <w:t xml:space="preserve"> confidence intervals</w:t>
      </w:r>
      <w:r w:rsidR="00B14BDC">
        <w:t xml:space="preserve">; </w:t>
      </w:r>
      <w:r w:rsidR="00B14BDC" w:rsidRPr="007120D6">
        <w:rPr>
          <w:bCs/>
        </w:rPr>
        <w:t xml:space="preserve">ESCC, esophageal squamous cell carcinoma; EAC, esophageal adenocarcinoma; GCA, gastric cardia adenocarcinoma; </w:t>
      </w:r>
      <w:r w:rsidR="00B14BDC">
        <w:t>GERD,</w:t>
      </w:r>
      <w:r w:rsidR="00B14BDC" w:rsidRPr="00B970D4">
        <w:t xml:space="preserve"> </w:t>
      </w:r>
      <w:r w:rsidR="00B14BDC">
        <w:t>g</w:t>
      </w:r>
      <w:r w:rsidR="00B14BDC" w:rsidRPr="00B970D4">
        <w:t>astroesophageal reflux disease</w:t>
      </w:r>
      <w:r w:rsidR="00B14BDC">
        <w:t xml:space="preserve">; </w:t>
      </w:r>
      <w:r w:rsidR="00B14BDC" w:rsidRPr="007120D6">
        <w:rPr>
          <w:bCs/>
        </w:rPr>
        <w:t>GNCA, gastric non-cardia adenocarcinoma;</w:t>
      </w:r>
      <w:r w:rsidR="00B14BDC">
        <w:rPr>
          <w:bCs/>
        </w:rPr>
        <w:t xml:space="preserve"> </w:t>
      </w:r>
      <w:r w:rsidRPr="00FE5E55">
        <w:t>PAR, population attributable risk;</w:t>
      </w:r>
    </w:p>
    <w:p w14:paraId="515E013A" w14:textId="36319AD9" w:rsidR="00D6111D" w:rsidRDefault="00245203">
      <w:r>
        <w:t xml:space="preserve">1, </w:t>
      </w:r>
      <w:r w:rsidRPr="00FE5E55">
        <w:t xml:space="preserve">Results are based on risk estimates from the NIH-AARP cohort (1995-2011) and distributions of different risk factors in 2015 by NHIS survey; </w:t>
      </w:r>
      <w:r>
        <w:t xml:space="preserve">2, </w:t>
      </w:r>
      <w:r w:rsidRPr="00A311B8">
        <w:t>excluded underweight participant who had a BMI lower than 18.5;</w:t>
      </w:r>
      <w:r>
        <w:t xml:space="preserve"> 3</w:t>
      </w:r>
      <w:r w:rsidRPr="009942CF">
        <w:t xml:space="preserve">, </w:t>
      </w:r>
      <w:r w:rsidRPr="003A3572">
        <w:t>GERD was extracted from the Medicare data for a subset of the NIH-AARP cohort, then imputed  for missing GERD in the NIH-AARP cohort and the 2015 National Health Interview Survey data;</w:t>
      </w:r>
      <w:r>
        <w:t xml:space="preserve"> 4</w:t>
      </w:r>
      <w:r w:rsidRPr="00FE5E55">
        <w:t xml:space="preserve">, </w:t>
      </w:r>
      <w:r w:rsidRPr="001E04BB">
        <w:t xml:space="preserve">combined PAR was calculated by combination of </w:t>
      </w:r>
      <w:r>
        <w:t xml:space="preserve">potentially </w:t>
      </w:r>
      <w:r w:rsidRPr="001E04BB">
        <w:t>modifiable risk factors including BMI, smoking</w:t>
      </w:r>
      <w:r w:rsidRPr="001E04BB">
        <w:rPr>
          <w:rFonts w:hint="eastAsia"/>
        </w:rPr>
        <w:t>,</w:t>
      </w:r>
      <w:r w:rsidRPr="001E04BB">
        <w:t xml:space="preserve"> and alcohol </w:t>
      </w:r>
      <w:r>
        <w:t>intake</w:t>
      </w:r>
      <w:r w:rsidRPr="001E04BB">
        <w:t xml:space="preserve"> status for ESCC and GNCA; </w:t>
      </w:r>
      <w:r w:rsidR="00123458" w:rsidRPr="001E04BB">
        <w:t xml:space="preserve">BMI, smoking, and GERD for </w:t>
      </w:r>
      <w:r w:rsidR="00123458">
        <w:t xml:space="preserve">EAC; </w:t>
      </w:r>
      <w:r w:rsidRPr="001E04BB">
        <w:t>BMI, smoking, drinking, self-reported diabetes, and GERD for GC</w:t>
      </w:r>
      <w:r>
        <w:t>A</w:t>
      </w:r>
      <w:r w:rsidRPr="001E04BB">
        <w:t>.</w:t>
      </w:r>
    </w:p>
    <w:p w14:paraId="3E295E31" w14:textId="29920B1A" w:rsidR="002A4B5B" w:rsidRDefault="002A4B5B" w:rsidP="002A4B5B">
      <w:r>
        <w:rPr>
          <w:b/>
        </w:rPr>
        <w:lastRenderedPageBreak/>
        <w:t xml:space="preserve">Supplementary </w:t>
      </w:r>
      <w:r w:rsidRPr="006C4A90">
        <w:rPr>
          <w:b/>
        </w:rPr>
        <w:t xml:space="preserve">Table </w:t>
      </w:r>
      <w:r w:rsidR="00D47B82">
        <w:rPr>
          <w:b/>
        </w:rPr>
        <w:t>6</w:t>
      </w:r>
      <w:r w:rsidRPr="006C4A90">
        <w:rPr>
          <w:b/>
        </w:rPr>
        <w:t>.</w:t>
      </w:r>
      <w:r>
        <w:t xml:space="preserve"> </w:t>
      </w:r>
      <w:r w:rsidRPr="006C4A90">
        <w:t>Distribution, hazard ratios, and 95%CIs of different risk factors for esophageal cancer and gastric adenocarcinoma in the NIH-AARP Diet and Health Study Cohort (1995-2011)</w:t>
      </w:r>
      <w:r>
        <w:t>, treating potentially modifiable risk factors as binary variables</w:t>
      </w:r>
      <w:r w:rsidR="00992A0E">
        <w:t>, additionally include diabetes and GERD for ESCC and GNCA, alcohol and diabetes for EAC.</w:t>
      </w:r>
    </w:p>
    <w:tbl>
      <w:tblPr>
        <w:tblW w:w="13323" w:type="dxa"/>
        <w:tblLook w:val="04A0" w:firstRow="1" w:lastRow="0" w:firstColumn="1" w:lastColumn="0" w:noHBand="0" w:noVBand="1"/>
      </w:tblPr>
      <w:tblGrid>
        <w:gridCol w:w="3023"/>
        <w:gridCol w:w="1847"/>
        <w:gridCol w:w="7"/>
        <w:gridCol w:w="697"/>
        <w:gridCol w:w="7"/>
        <w:gridCol w:w="1414"/>
        <w:gridCol w:w="7"/>
        <w:gridCol w:w="737"/>
        <w:gridCol w:w="7"/>
        <w:gridCol w:w="1414"/>
        <w:gridCol w:w="7"/>
        <w:gridCol w:w="603"/>
        <w:gridCol w:w="7"/>
        <w:gridCol w:w="1414"/>
        <w:gridCol w:w="7"/>
        <w:gridCol w:w="697"/>
        <w:gridCol w:w="7"/>
        <w:gridCol w:w="1415"/>
        <w:gridCol w:w="6"/>
      </w:tblGrid>
      <w:tr w:rsidR="002A4B5B" w:rsidRPr="007E03EF" w14:paraId="30A4B3D6" w14:textId="77777777" w:rsidTr="000F7976">
        <w:trPr>
          <w:gridAfter w:val="1"/>
          <w:wAfter w:w="6" w:type="dxa"/>
          <w:trHeight w:val="300"/>
        </w:trPr>
        <w:tc>
          <w:tcPr>
            <w:tcW w:w="30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0F49A1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Variables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888F6F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NHIS weighted population in 2015, (n=83,170,147), %</w:t>
            </w:r>
          </w:p>
        </w:tc>
        <w:tc>
          <w:tcPr>
            <w:tcW w:w="4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8F62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Esophageal cancer</w:t>
            </w:r>
          </w:p>
        </w:tc>
        <w:tc>
          <w:tcPr>
            <w:tcW w:w="41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07852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Gastric adenocarcinoma</w:t>
            </w:r>
          </w:p>
        </w:tc>
      </w:tr>
      <w:tr w:rsidR="002A4B5B" w:rsidRPr="007E03EF" w14:paraId="487C009C" w14:textId="77777777" w:rsidTr="000F7976">
        <w:trPr>
          <w:gridAfter w:val="1"/>
          <w:wAfter w:w="6" w:type="dxa"/>
          <w:trHeight w:val="300"/>
        </w:trPr>
        <w:tc>
          <w:tcPr>
            <w:tcW w:w="30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93EE9C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35B6A7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21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18A8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ESCC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C5C3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EAC</w:t>
            </w:r>
          </w:p>
        </w:tc>
        <w:tc>
          <w:tcPr>
            <w:tcW w:w="2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B6C9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GCA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31AE9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GNCA</w:t>
            </w:r>
          </w:p>
        </w:tc>
      </w:tr>
      <w:tr w:rsidR="002A4B5B" w:rsidRPr="007E03EF" w14:paraId="65FF044E" w14:textId="77777777" w:rsidTr="000F7976">
        <w:trPr>
          <w:trHeight w:val="336"/>
        </w:trPr>
        <w:tc>
          <w:tcPr>
            <w:tcW w:w="30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3041B4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5578D9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EA3C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HR</w:t>
            </w:r>
            <w:r w:rsidRPr="007E03EF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BCBA0" w14:textId="62C0BBE3" w:rsidR="002A4B5B" w:rsidRPr="007E03EF" w:rsidRDefault="006910C1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8C12" w14:textId="280E3879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HR</w:t>
            </w:r>
            <w:r w:rsidR="008B2793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D6B4E" w14:textId="16F4CC55" w:rsidR="002A4B5B" w:rsidRPr="007E03EF" w:rsidRDefault="006910C1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A3DDD" w14:textId="449931EE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HR</w:t>
            </w:r>
            <w:r w:rsidR="008B2793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43FC5" w14:textId="484F9CB0" w:rsidR="002A4B5B" w:rsidRPr="007E03EF" w:rsidRDefault="006910C1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4566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HR</w:t>
            </w:r>
            <w:r w:rsidRPr="007E03EF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5C47" w14:textId="313AF48A" w:rsidR="002A4B5B" w:rsidRPr="007E03EF" w:rsidRDefault="006910C1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</w:tr>
      <w:tr w:rsidR="002A4B5B" w:rsidRPr="007E03EF" w14:paraId="19F408EC" w14:textId="77777777" w:rsidTr="000F7976">
        <w:trPr>
          <w:trHeight w:val="417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50F7D" w14:textId="275F5D95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BMI</w:t>
            </w:r>
            <w:r w:rsidR="00D819BE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D824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E3F4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D065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9AD8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1661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4CC5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10FC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7149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B9E9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B5B" w:rsidRPr="007E03EF" w14:paraId="362D45A2" w14:textId="77777777" w:rsidTr="000F7976">
        <w:trPr>
          <w:trHeight w:val="28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0114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18.5-&lt;25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30B6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26.2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84CC" w14:textId="31F5FD78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1.7</w:t>
            </w:r>
            <w:r w:rsidR="002E4C2E">
              <w:rPr>
                <w:rFonts w:ascii="Calibri" w:eastAsia="等线" w:hAnsi="Calibri" w:cs="宋体"/>
                <w:b/>
                <w:bCs/>
                <w:color w:val="000000"/>
              </w:rPr>
              <w:t>7</w:t>
            </w: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2EF2" w14:textId="1DBC8976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</w:t>
            </w:r>
            <w:r w:rsidR="002E4C2E">
              <w:rPr>
                <w:rFonts w:ascii="Calibri" w:eastAsia="等线" w:hAnsi="Calibri" w:cs="宋体"/>
                <w:b/>
                <w:bCs/>
                <w:color w:val="000000"/>
              </w:rPr>
              <w:t>40</w:t>
            </w: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-2.2</w:t>
            </w:r>
            <w:r w:rsidR="002E4C2E">
              <w:rPr>
                <w:rFonts w:ascii="Calibri" w:eastAsia="等线" w:hAnsi="Calibri" w:cs="宋体"/>
                <w:b/>
                <w:bCs/>
                <w:color w:val="000000"/>
              </w:rPr>
              <w:t>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D387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C52C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0EBD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35C2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5029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F1F5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</w:tr>
      <w:tr w:rsidR="002A4B5B" w:rsidRPr="007E03EF" w14:paraId="517E3351" w14:textId="77777777" w:rsidTr="000F7976">
        <w:trPr>
          <w:trHeight w:val="28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2B7A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 ≥25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8FB4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72.6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E8EC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923C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BBDF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1.64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3D12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1.39-1.93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93F5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1.30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1598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1.09-1.56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17CD" w14:textId="64F2372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1.1</w:t>
            </w:r>
            <w:r w:rsidR="002E4C2E">
              <w:rPr>
                <w:rFonts w:ascii="Calibri" w:eastAsia="等线" w:hAnsi="Calibri" w:cs="宋体"/>
                <w:color w:val="000000"/>
              </w:rPr>
              <w:t>1</w:t>
            </w:r>
            <w:r w:rsidRPr="007E03EF">
              <w:rPr>
                <w:rFonts w:ascii="Calibri" w:eastAsia="等线" w:hAnsi="Calibri" w:cs="宋体"/>
                <w:color w:val="000000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D40F" w14:textId="55B2AFE6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0.9</w:t>
            </w:r>
            <w:r w:rsidR="002E4C2E">
              <w:rPr>
                <w:rFonts w:ascii="Calibri" w:eastAsia="等线" w:hAnsi="Calibri" w:cs="宋体"/>
                <w:color w:val="000000"/>
              </w:rPr>
              <w:t>4</w:t>
            </w:r>
            <w:r w:rsidRPr="007E03EF">
              <w:rPr>
                <w:rFonts w:ascii="Calibri" w:eastAsia="等线" w:hAnsi="Calibri" w:cs="宋体"/>
                <w:color w:val="000000"/>
              </w:rPr>
              <w:t>-1.3</w:t>
            </w:r>
            <w:r w:rsidR="002E4C2E">
              <w:rPr>
                <w:rFonts w:ascii="Calibri" w:eastAsia="等线" w:hAnsi="Calibri" w:cs="宋体"/>
                <w:color w:val="000000"/>
              </w:rPr>
              <w:t>1</w:t>
            </w:r>
          </w:p>
        </w:tc>
      </w:tr>
      <w:tr w:rsidR="002A4B5B" w:rsidRPr="007E03EF" w14:paraId="682934CA" w14:textId="77777777" w:rsidTr="000F7976">
        <w:trPr>
          <w:trHeight w:val="28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8B9B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Smoking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A9B3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238D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A4CD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1860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F4C9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C206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3574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4B60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9078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B5B" w:rsidRPr="007E03EF" w14:paraId="2778E76F" w14:textId="77777777" w:rsidTr="000F7976">
        <w:trPr>
          <w:trHeight w:val="28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2A7D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Never smoker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AF9C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54.9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E856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FDF6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B497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BFC0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F9C0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FBCA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4156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48A0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</w:tr>
      <w:tr w:rsidR="002A4B5B" w:rsidRPr="007E03EF" w14:paraId="6BA2F3F6" w14:textId="77777777" w:rsidTr="000F7976">
        <w:trPr>
          <w:trHeight w:val="28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67D6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Ever smoker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66C3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45.1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47DD" w14:textId="4312DB1A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3.7</w:t>
            </w:r>
            <w:r w:rsidR="002E4C2E">
              <w:rPr>
                <w:rFonts w:ascii="Calibri" w:eastAsia="等线" w:hAnsi="Calibri" w:cs="宋体"/>
                <w:b/>
                <w:bCs/>
                <w:color w:val="000000"/>
              </w:rPr>
              <w:t>0</w:t>
            </w: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E166" w14:textId="688826BB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2.6</w:t>
            </w:r>
            <w:r w:rsidR="002E4C2E">
              <w:rPr>
                <w:rFonts w:ascii="Calibri" w:eastAsia="等线" w:hAnsi="Calibri" w:cs="宋体"/>
                <w:b/>
                <w:bCs/>
                <w:color w:val="000000"/>
              </w:rPr>
              <w:t>1</w:t>
            </w: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-5.2</w:t>
            </w:r>
            <w:r w:rsidR="002E4C2E">
              <w:rPr>
                <w:rFonts w:ascii="Calibri" w:eastAsia="等线" w:hAnsi="Calibri" w:cs="宋体"/>
                <w:b/>
                <w:bCs/>
                <w:color w:val="000000"/>
              </w:rPr>
              <w:t>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C00D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2.09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7CD4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1.76-2.48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9D25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2.31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C5CE5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1.88- 2.84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AFD5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 xml:space="preserve">1.28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54C6" w14:textId="4A42C06E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E03EF">
              <w:rPr>
                <w:rFonts w:ascii="Calibri" w:eastAsia="等线" w:hAnsi="Calibri" w:cs="宋体"/>
                <w:b/>
                <w:bCs/>
                <w:color w:val="000000"/>
              </w:rPr>
              <w:t>1.09-1.5</w:t>
            </w:r>
            <w:r w:rsidR="002E4C2E">
              <w:rPr>
                <w:rFonts w:ascii="Calibri" w:eastAsia="等线" w:hAnsi="Calibri" w:cs="宋体"/>
                <w:b/>
                <w:bCs/>
                <w:color w:val="000000"/>
              </w:rPr>
              <w:t>0</w:t>
            </w:r>
          </w:p>
        </w:tc>
      </w:tr>
      <w:tr w:rsidR="002A4B5B" w:rsidRPr="007E03EF" w14:paraId="63E884F4" w14:textId="77777777" w:rsidTr="000F7976">
        <w:trPr>
          <w:gridAfter w:val="1"/>
          <w:wAfter w:w="7" w:type="dxa"/>
          <w:trHeight w:val="288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21DF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Alcohol intake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4B70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0950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2532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AE8E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4AB0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1841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590B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D642" w14:textId="77777777" w:rsidR="002A4B5B" w:rsidRPr="007E03EF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B5B" w:rsidRPr="007E03EF" w14:paraId="4CDA0FDF" w14:textId="77777777" w:rsidTr="000F7976">
        <w:trPr>
          <w:trHeight w:val="28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82D1" w14:textId="77777777" w:rsidR="002A4B5B" w:rsidRPr="007E03EF" w:rsidRDefault="002A4B5B" w:rsidP="007F47BF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&gt;0-1 drink/ day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87A1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>42.4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276B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1E7E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B3D2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5648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DD92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2CF0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D99D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E03EF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4191" w14:textId="77777777" w:rsidR="002A4B5B" w:rsidRPr="007E03EF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</w:tr>
      <w:tr w:rsidR="002A4B5B" w:rsidRPr="007E03EF" w14:paraId="5210F82D" w14:textId="77777777" w:rsidTr="000F7976">
        <w:trPr>
          <w:trHeight w:val="28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C0B1" w14:textId="77777777" w:rsidR="002A4B5B" w:rsidRPr="007120D6" w:rsidRDefault="002A4B5B" w:rsidP="007F47BF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C42F64">
              <w:rPr>
                <w:rFonts w:ascii="Calibri" w:eastAsia="等线" w:hAnsi="Calibri" w:cs="宋体"/>
                <w:color w:val="000000"/>
              </w:rPr>
              <w:t>never drinker or &gt;1 drinks/ day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289B" w14:textId="77777777" w:rsidR="002A4B5B" w:rsidRPr="007120D6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57.6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A824" w14:textId="7DDD1665" w:rsidR="002A4B5B" w:rsidRPr="007120D6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2.6</w:t>
            </w:r>
            <w:r w:rsidR="002E4C2E" w:rsidRPr="007120D6">
              <w:rPr>
                <w:rFonts w:ascii="Calibri" w:eastAsia="等线" w:hAnsi="Calibri" w:cs="宋体"/>
                <w:b/>
                <w:bCs/>
                <w:color w:val="000000"/>
              </w:rPr>
              <w:t>0</w:t>
            </w: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1AC8" w14:textId="25B12A1D" w:rsidR="002A4B5B" w:rsidRPr="007120D6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2.02-3.3</w:t>
            </w:r>
            <w:r w:rsidR="002E4C2E" w:rsidRPr="007120D6">
              <w:rPr>
                <w:rFonts w:ascii="Calibri" w:eastAsia="等线" w:hAnsi="Calibri" w:cs="宋体"/>
                <w:b/>
                <w:bCs/>
                <w:color w:val="000000"/>
              </w:rPr>
              <w:t>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6337" w14:textId="77777777" w:rsidR="002A4B5B" w:rsidRPr="007120D6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 xml:space="preserve">0.93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18C8" w14:textId="77777777" w:rsidR="002A4B5B" w:rsidRPr="007120D6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0.82-1.06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AEC3" w14:textId="77777777" w:rsidR="002A4B5B" w:rsidRPr="007120D6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 xml:space="preserve">1.14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3D4A" w14:textId="77777777" w:rsidR="002A4B5B" w:rsidRPr="007120D6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0.97-1.32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208B" w14:textId="18A9531C" w:rsidR="002A4B5B" w:rsidRPr="007120D6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color w:val="000000"/>
              </w:rPr>
              <w:t>1.1</w:t>
            </w:r>
            <w:r w:rsidR="002E4C2E" w:rsidRPr="007120D6">
              <w:rPr>
                <w:rFonts w:ascii="Calibri" w:eastAsia="等线" w:hAnsi="Calibri" w:cs="宋体"/>
                <w:b/>
                <w:color w:val="000000"/>
              </w:rPr>
              <w:t>6</w:t>
            </w:r>
            <w:r w:rsidRPr="007120D6">
              <w:rPr>
                <w:rFonts w:ascii="Calibri" w:eastAsia="等线" w:hAnsi="Calibri" w:cs="宋体"/>
                <w:b/>
                <w:color w:val="000000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341C" w14:textId="32E611F8" w:rsidR="002A4B5B" w:rsidRPr="007120D6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color w:val="000000"/>
              </w:rPr>
              <w:t>1.0</w:t>
            </w:r>
            <w:r w:rsidR="002E4C2E" w:rsidRPr="007120D6">
              <w:rPr>
                <w:rFonts w:ascii="Calibri" w:eastAsia="等线" w:hAnsi="Calibri" w:cs="宋体"/>
                <w:b/>
                <w:color w:val="000000"/>
              </w:rPr>
              <w:t>0</w:t>
            </w:r>
            <w:r w:rsidRPr="007120D6">
              <w:rPr>
                <w:rFonts w:ascii="Calibri" w:eastAsia="等线" w:hAnsi="Calibri" w:cs="宋体"/>
                <w:b/>
                <w:color w:val="000000"/>
              </w:rPr>
              <w:t>-1.35</w:t>
            </w:r>
          </w:p>
        </w:tc>
      </w:tr>
      <w:tr w:rsidR="002A4B5B" w:rsidRPr="007E03EF" w14:paraId="75733E78" w14:textId="77777777" w:rsidTr="000F7976">
        <w:trPr>
          <w:gridAfter w:val="1"/>
          <w:wAfter w:w="7" w:type="dxa"/>
          <w:trHeight w:val="288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C6AA" w14:textId="77777777" w:rsidR="002A4B5B" w:rsidRPr="007120D6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C42F64">
              <w:rPr>
                <w:rFonts w:ascii="Calibri" w:eastAsia="等线" w:hAnsi="Calibri" w:cs="宋体"/>
                <w:b/>
                <w:bCs/>
                <w:color w:val="000000"/>
              </w:rPr>
              <w:t>Self-reported diabetes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4C4F" w14:textId="77777777" w:rsidR="002A4B5B" w:rsidRPr="007120D6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69EA" w14:textId="77777777" w:rsidR="002A4B5B" w:rsidRPr="007120D6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E91D" w14:textId="77777777" w:rsidR="002A4B5B" w:rsidRPr="007120D6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AC5D" w14:textId="77777777" w:rsidR="002A4B5B" w:rsidRPr="007120D6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59C7" w14:textId="77777777" w:rsidR="002A4B5B" w:rsidRPr="007120D6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1A02" w14:textId="77777777" w:rsidR="002A4B5B" w:rsidRPr="007120D6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9C2A" w14:textId="77777777" w:rsidR="002A4B5B" w:rsidRPr="007120D6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BE25" w14:textId="77777777" w:rsidR="002A4B5B" w:rsidRPr="007120D6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C2E" w:rsidRPr="007E03EF" w14:paraId="1117642F" w14:textId="77777777" w:rsidTr="000F7976">
        <w:trPr>
          <w:trHeight w:val="28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882A" w14:textId="77777777" w:rsidR="002E4C2E" w:rsidRPr="007120D6" w:rsidRDefault="002E4C2E" w:rsidP="002E4C2E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C42F64">
              <w:rPr>
                <w:rFonts w:ascii="Calibri" w:eastAsia="等线" w:hAnsi="Calibri" w:cs="宋体"/>
                <w:color w:val="000000"/>
              </w:rPr>
              <w:t>No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95CA" w14:textId="5A176021" w:rsidR="002E4C2E" w:rsidRPr="00C42F64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91.0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3AC0" w14:textId="4F3AB1A0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C5D2" w14:textId="77777777" w:rsidR="002E4C2E" w:rsidRPr="007120D6" w:rsidRDefault="002E4C2E" w:rsidP="002E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DC9B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25EA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425E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1179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3C94" w14:textId="0D6BFAD5" w:rsidR="002E4C2E" w:rsidRPr="007120D6" w:rsidRDefault="002E4C2E" w:rsidP="0071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1.00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C9A4" w14:textId="77777777" w:rsidR="002E4C2E" w:rsidRPr="007120D6" w:rsidRDefault="002E4C2E" w:rsidP="0071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C2E" w:rsidRPr="007E03EF" w14:paraId="0229C38A" w14:textId="77777777" w:rsidTr="000F7976">
        <w:trPr>
          <w:trHeight w:val="28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1D1D" w14:textId="77777777" w:rsidR="002E4C2E" w:rsidRPr="007120D6" w:rsidRDefault="002E4C2E" w:rsidP="002E4C2E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C42F64">
              <w:rPr>
                <w:rFonts w:ascii="Calibri" w:eastAsia="等线" w:hAnsi="Calibri" w:cs="宋体"/>
                <w:color w:val="000000"/>
              </w:rPr>
              <w:t>Yes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CAA9" w14:textId="342AA83D" w:rsidR="002E4C2E" w:rsidRPr="00C42F64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9.0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892A" w14:textId="1808F800" w:rsidR="002E4C2E" w:rsidRPr="00C42F64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 xml:space="preserve">1.07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ECF2" w14:textId="191F5CA7" w:rsidR="002E4C2E" w:rsidRPr="00C42F64" w:rsidRDefault="002E4C2E" w:rsidP="0071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0.71-1.63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CDD8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 xml:space="preserve">1.09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8759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0.88-1.35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3DCC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 xml:space="preserve">1.64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7422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1.32-2.05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F898" w14:textId="1339E169" w:rsidR="002E4C2E" w:rsidRPr="007120D6" w:rsidRDefault="00C12AA3" w:rsidP="00C42F64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1.19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BA8E" w14:textId="42F6B648" w:rsidR="002E4C2E" w:rsidRPr="00C42F64" w:rsidRDefault="00C12AA3" w:rsidP="0071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0.94</w:t>
            </w:r>
            <w:r w:rsidR="002E4C2E" w:rsidRPr="007120D6">
              <w:rPr>
                <w:rFonts w:ascii="Calibri" w:eastAsia="等线" w:hAnsi="Calibri" w:cs="宋体"/>
                <w:color w:val="000000"/>
              </w:rPr>
              <w:t>-</w:t>
            </w:r>
            <w:r w:rsidRPr="007120D6">
              <w:rPr>
                <w:rFonts w:ascii="Calibri" w:eastAsia="等线" w:hAnsi="Calibri" w:cs="宋体"/>
                <w:color w:val="000000"/>
              </w:rPr>
              <w:t>1.52</w:t>
            </w:r>
          </w:p>
        </w:tc>
      </w:tr>
      <w:tr w:rsidR="002E4C2E" w:rsidRPr="007E03EF" w14:paraId="73A79E1F" w14:textId="77777777" w:rsidTr="000F7976">
        <w:trPr>
          <w:gridAfter w:val="1"/>
          <w:wAfter w:w="7" w:type="dxa"/>
          <w:trHeight w:val="324"/>
        </w:trPr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329E" w14:textId="6202B2DA" w:rsidR="002E4C2E" w:rsidRPr="00C42F64" w:rsidRDefault="002E4C2E" w:rsidP="002E4C2E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C42F64">
              <w:rPr>
                <w:rFonts w:ascii="Calibri" w:eastAsia="等线" w:hAnsi="Calibri" w:cs="宋体"/>
                <w:b/>
                <w:bCs/>
                <w:color w:val="000000"/>
              </w:rPr>
              <w:t>GERD</w:t>
            </w:r>
            <w:r w:rsidR="00D819BE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94B1" w14:textId="77777777" w:rsidR="002E4C2E" w:rsidRPr="007120D6" w:rsidRDefault="002E4C2E" w:rsidP="007120D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2B1C" w14:textId="77777777" w:rsidR="002E4C2E" w:rsidRPr="007120D6" w:rsidRDefault="002E4C2E" w:rsidP="002E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9EBA" w14:textId="77777777" w:rsidR="002E4C2E" w:rsidRPr="007120D6" w:rsidRDefault="002E4C2E" w:rsidP="002E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F8F9" w14:textId="77777777" w:rsidR="002E4C2E" w:rsidRPr="007120D6" w:rsidRDefault="002E4C2E" w:rsidP="002E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3329" w14:textId="77777777" w:rsidR="002E4C2E" w:rsidRPr="007120D6" w:rsidRDefault="002E4C2E" w:rsidP="002E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969" w14:textId="77777777" w:rsidR="002E4C2E" w:rsidRPr="007120D6" w:rsidRDefault="002E4C2E" w:rsidP="0071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28A1" w14:textId="77777777" w:rsidR="002E4C2E" w:rsidRPr="007120D6" w:rsidRDefault="002E4C2E" w:rsidP="0071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C2E" w:rsidRPr="007E03EF" w14:paraId="759E62E8" w14:textId="77777777" w:rsidTr="000F7976">
        <w:trPr>
          <w:trHeight w:val="288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125D" w14:textId="77777777" w:rsidR="002E4C2E" w:rsidRPr="007120D6" w:rsidRDefault="002E4C2E" w:rsidP="002E4C2E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C42F64">
              <w:rPr>
                <w:rFonts w:ascii="Calibri" w:eastAsia="等线" w:hAnsi="Calibri" w:cs="宋体"/>
                <w:color w:val="000000"/>
              </w:rPr>
              <w:t>No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1A15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76.2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561E" w14:textId="3C04212D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B4F8" w14:textId="77777777" w:rsidR="002E4C2E" w:rsidRPr="007120D6" w:rsidRDefault="002E4C2E" w:rsidP="0071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6A08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89E0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2F77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 xml:space="preserve">1.00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C0F3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E027" w14:textId="6055DD0F" w:rsidR="002E4C2E" w:rsidRPr="007120D6" w:rsidRDefault="002E4C2E" w:rsidP="0071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1.00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02A6" w14:textId="77777777" w:rsidR="002E4C2E" w:rsidRPr="007120D6" w:rsidRDefault="002E4C2E" w:rsidP="0071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C2E" w:rsidRPr="007E03EF" w14:paraId="2DEED972" w14:textId="77777777" w:rsidTr="000F7976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55EDB" w14:textId="77777777" w:rsidR="002E4C2E" w:rsidRPr="007120D6" w:rsidRDefault="002E4C2E" w:rsidP="002E4C2E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C42F64">
              <w:rPr>
                <w:rFonts w:ascii="Calibri" w:eastAsia="等线" w:hAnsi="Calibri" w:cs="宋体"/>
                <w:color w:val="000000"/>
              </w:rPr>
              <w:t>Yes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4EC12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23.8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59AF" w14:textId="672C6772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 xml:space="preserve">1.75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A8531" w14:textId="3E832838" w:rsidR="002E4C2E" w:rsidRPr="00C42F64" w:rsidRDefault="002E4C2E" w:rsidP="00C42F64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0.89-3.46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44A97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 xml:space="preserve">2.07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E7FFE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1.38-3.12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E46D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 xml:space="preserve">1.91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8096F" w14:textId="77777777" w:rsidR="002E4C2E" w:rsidRPr="007120D6" w:rsidRDefault="002E4C2E" w:rsidP="002E4C2E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1.21-3.00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EBE05" w14:textId="3880EBF2" w:rsidR="002E4C2E" w:rsidRPr="00C42F64" w:rsidRDefault="00C12AA3" w:rsidP="00C42F64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1.26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C7F5C" w14:textId="50AE07DE" w:rsidR="002E4C2E" w:rsidRPr="00C42F64" w:rsidRDefault="00C12AA3" w:rsidP="007120D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0.76</w:t>
            </w:r>
            <w:r w:rsidR="002E4C2E" w:rsidRPr="007120D6">
              <w:rPr>
                <w:rFonts w:ascii="Calibri" w:eastAsia="等线" w:hAnsi="Calibri" w:cs="宋体"/>
                <w:color w:val="000000"/>
              </w:rPr>
              <w:t>-</w:t>
            </w:r>
            <w:r w:rsidRPr="007120D6">
              <w:rPr>
                <w:rFonts w:ascii="Calibri" w:eastAsia="等线" w:hAnsi="Calibri" w:cs="宋体"/>
                <w:color w:val="000000"/>
              </w:rPr>
              <w:t>2.07</w:t>
            </w:r>
          </w:p>
        </w:tc>
      </w:tr>
    </w:tbl>
    <w:p w14:paraId="3F18A8E8" w14:textId="4C401400" w:rsidR="002A4B5B" w:rsidRDefault="002A4B5B" w:rsidP="000F7976">
      <w:r w:rsidRPr="00A311B8">
        <w:t xml:space="preserve">Note: </w:t>
      </w:r>
      <w:r w:rsidR="004922E1" w:rsidRPr="00B970D4">
        <w:t>BMI</w:t>
      </w:r>
      <w:r w:rsidR="004922E1">
        <w:t>,</w:t>
      </w:r>
      <w:r w:rsidR="004922E1" w:rsidRPr="00B970D4">
        <w:t xml:space="preserve"> </w:t>
      </w:r>
      <w:r w:rsidR="004922E1">
        <w:t>b</w:t>
      </w:r>
      <w:r w:rsidR="004922E1" w:rsidRPr="00B970D4">
        <w:t>ody mass index</w:t>
      </w:r>
      <w:r w:rsidR="004922E1">
        <w:t>;</w:t>
      </w:r>
      <w:r w:rsidR="004922E1" w:rsidRPr="00B970D4">
        <w:t xml:space="preserve"> </w:t>
      </w:r>
      <w:r w:rsidR="004922E1" w:rsidRPr="00831D94">
        <w:t>CIs</w:t>
      </w:r>
      <w:r w:rsidR="004922E1">
        <w:t>,</w:t>
      </w:r>
      <w:r w:rsidR="004922E1" w:rsidRPr="00831D94">
        <w:t xml:space="preserve"> confidence intervals</w:t>
      </w:r>
      <w:r w:rsidR="004922E1">
        <w:t xml:space="preserve">; </w:t>
      </w:r>
      <w:r w:rsidR="004922E1" w:rsidRPr="007120D6">
        <w:rPr>
          <w:bCs/>
        </w:rPr>
        <w:t xml:space="preserve">ESCC, esophageal squamous cell carcinoma; EAC, esophageal adenocarcinoma; GCA, gastric cardia adenocarcinoma; </w:t>
      </w:r>
      <w:r w:rsidR="004922E1">
        <w:t>GERD,</w:t>
      </w:r>
      <w:r w:rsidR="004922E1" w:rsidRPr="00B970D4">
        <w:t xml:space="preserve"> </w:t>
      </w:r>
      <w:r w:rsidR="004922E1">
        <w:t>g</w:t>
      </w:r>
      <w:r w:rsidR="004922E1" w:rsidRPr="00B970D4">
        <w:t>astroesophageal reflux disease</w:t>
      </w:r>
      <w:r w:rsidR="004922E1">
        <w:t xml:space="preserve">; </w:t>
      </w:r>
      <w:r w:rsidR="004922E1" w:rsidRPr="007120D6">
        <w:rPr>
          <w:bCs/>
        </w:rPr>
        <w:t>GNCA, gastric non-cardia adenocarcinoma;</w:t>
      </w:r>
      <w:r w:rsidR="004922E1">
        <w:rPr>
          <w:bCs/>
        </w:rPr>
        <w:t xml:space="preserve"> </w:t>
      </w:r>
      <w:r w:rsidR="00587D0D">
        <w:t>H</w:t>
      </w:r>
      <w:r w:rsidR="00587D0D" w:rsidRPr="00831D94">
        <w:t>R</w:t>
      </w:r>
      <w:r w:rsidR="00587D0D">
        <w:t>, hazard ratio;</w:t>
      </w:r>
      <w:r w:rsidR="00D94986">
        <w:t xml:space="preserve"> </w:t>
      </w:r>
      <w:r w:rsidR="00D94986">
        <w:t xml:space="preserve">NHIS, </w:t>
      </w:r>
      <w:r w:rsidR="00D94986" w:rsidRPr="009942CF">
        <w:t>N</w:t>
      </w:r>
      <w:r w:rsidR="00D94986">
        <w:t xml:space="preserve">ational </w:t>
      </w:r>
      <w:r w:rsidR="00D94986" w:rsidRPr="009942CF">
        <w:t>H</w:t>
      </w:r>
      <w:r w:rsidR="00D94986">
        <w:t xml:space="preserve">ealth </w:t>
      </w:r>
      <w:r w:rsidR="00D94986" w:rsidRPr="009942CF">
        <w:t>I</w:t>
      </w:r>
      <w:r w:rsidR="00D94986">
        <w:t xml:space="preserve">nterview </w:t>
      </w:r>
      <w:r w:rsidR="00D94986" w:rsidRPr="009942CF">
        <w:t>Survey</w:t>
      </w:r>
      <w:r w:rsidR="00D94986">
        <w:t>;</w:t>
      </w:r>
    </w:p>
    <w:p w14:paraId="3014927E" w14:textId="514C28DA" w:rsidR="002A4B5B" w:rsidRDefault="002A4B5B" w:rsidP="002A4B5B">
      <w:r w:rsidRPr="00A311B8">
        <w:t xml:space="preserve">1, HRs come from Cox models through imputation, adjusted for sex, ethnic group, BMI, smoking status, </w:t>
      </w:r>
      <w:r>
        <w:t>alcohol intake</w:t>
      </w:r>
      <w:r w:rsidRPr="00A311B8">
        <w:t xml:space="preserve"> status, self-reported diabetes, and gastroesophageal reflux disease</w:t>
      </w:r>
      <w:r>
        <w:t xml:space="preserve"> </w:t>
      </w:r>
      <w:r w:rsidRPr="00D34119">
        <w:t>with age as the time scale</w:t>
      </w:r>
      <w:r w:rsidRPr="00A311B8">
        <w:t xml:space="preserve">; </w:t>
      </w:r>
      <w:r w:rsidR="00D819BE">
        <w:t>2</w:t>
      </w:r>
      <w:r w:rsidRPr="00A311B8">
        <w:t xml:space="preserve">, excluded underweight participant who had a BMI lower than 18.5; </w:t>
      </w:r>
      <w:r w:rsidR="00D819BE">
        <w:t>3</w:t>
      </w:r>
      <w:r w:rsidRPr="00A311B8">
        <w:t xml:space="preserve">, </w:t>
      </w:r>
      <w:r w:rsidRPr="00EC38F9">
        <w:t>GERD was extracted from the Medicare data for a subset of the NIH-AARP cohort, then imputed for missing GERD in the NIH-AARP cohort and the 2015 National Health Interview Survey data</w:t>
      </w:r>
      <w:r>
        <w:t>.</w:t>
      </w:r>
    </w:p>
    <w:p w14:paraId="2044A6D2" w14:textId="77777777" w:rsidR="002A4B5B" w:rsidRDefault="002A4B5B" w:rsidP="002A4B5B">
      <w:r>
        <w:br w:type="page"/>
      </w:r>
    </w:p>
    <w:p w14:paraId="04C07EDD" w14:textId="7897E471" w:rsidR="002A4B5B" w:rsidRDefault="002A4B5B" w:rsidP="002A4B5B">
      <w:r w:rsidRPr="00B77EFF">
        <w:rPr>
          <w:b/>
        </w:rPr>
        <w:lastRenderedPageBreak/>
        <w:t xml:space="preserve">Supplementary Table </w:t>
      </w:r>
      <w:r w:rsidR="00D47B82" w:rsidRPr="00B77EFF">
        <w:rPr>
          <w:b/>
        </w:rPr>
        <w:t>7</w:t>
      </w:r>
      <w:r w:rsidRPr="00B77EFF">
        <w:rPr>
          <w:b/>
        </w:rPr>
        <w:t>.</w:t>
      </w:r>
      <w:r>
        <w:t xml:space="preserve"> </w:t>
      </w:r>
      <w:r w:rsidRPr="001C7E9E">
        <w:t>Population attributable risks and 95%</w:t>
      </w:r>
      <w:r>
        <w:t xml:space="preserve">CIs for </w:t>
      </w:r>
      <w:r w:rsidRPr="001C7E9E">
        <w:t>potential</w:t>
      </w:r>
      <w:r>
        <w:t>ly</w:t>
      </w:r>
      <w:r w:rsidRPr="001C7E9E">
        <w:t xml:space="preserve"> </w:t>
      </w:r>
      <w:r>
        <w:t>modifiable</w:t>
      </w:r>
      <w:r w:rsidRPr="001C7E9E">
        <w:t xml:space="preserve"> risk factors for esophageal cancer and gastric adenocarcino</w:t>
      </w:r>
      <w:r>
        <w:t>ma in 2015 in the United States</w:t>
      </w:r>
      <w:r w:rsidR="00992A0E">
        <w:t>, additionally include diabetes and GERD for ESCC and GNCA, alcohol and diabetes for EAC.</w:t>
      </w:r>
    </w:p>
    <w:tbl>
      <w:tblPr>
        <w:tblW w:w="13644" w:type="dxa"/>
        <w:tblLook w:val="04A0" w:firstRow="1" w:lastRow="0" w:firstColumn="1" w:lastColumn="0" w:noHBand="0" w:noVBand="1"/>
      </w:tblPr>
      <w:tblGrid>
        <w:gridCol w:w="3923"/>
        <w:gridCol w:w="1115"/>
        <w:gridCol w:w="1421"/>
        <w:gridCol w:w="839"/>
        <w:gridCol w:w="1483"/>
        <w:gridCol w:w="960"/>
        <w:gridCol w:w="1450"/>
        <w:gridCol w:w="1003"/>
        <w:gridCol w:w="1450"/>
      </w:tblGrid>
      <w:tr w:rsidR="002A4B5B" w:rsidRPr="00A04EB0" w14:paraId="2FAEC8CE" w14:textId="77777777" w:rsidTr="009452B6">
        <w:trPr>
          <w:trHeight w:val="300"/>
        </w:trPr>
        <w:tc>
          <w:tcPr>
            <w:tcW w:w="39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CF9D14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Variables</w:t>
            </w:r>
          </w:p>
        </w:tc>
        <w:tc>
          <w:tcPr>
            <w:tcW w:w="48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9FC55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Esophageal cancer</w:t>
            </w:r>
          </w:p>
        </w:tc>
        <w:tc>
          <w:tcPr>
            <w:tcW w:w="48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0A38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Gastric adenocarcinoma</w:t>
            </w:r>
          </w:p>
        </w:tc>
      </w:tr>
      <w:tr w:rsidR="002A4B5B" w:rsidRPr="00A04EB0" w14:paraId="552DECA5" w14:textId="77777777" w:rsidTr="009452B6">
        <w:trPr>
          <w:trHeight w:val="300"/>
        </w:trPr>
        <w:tc>
          <w:tcPr>
            <w:tcW w:w="39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5A6518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536E4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ESCC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9541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EAC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5C2F1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GCA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79B6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GNCA</w:t>
            </w:r>
          </w:p>
        </w:tc>
      </w:tr>
      <w:tr w:rsidR="002A4B5B" w:rsidRPr="00A04EB0" w14:paraId="4C82BC17" w14:textId="77777777" w:rsidTr="009452B6">
        <w:trPr>
          <w:trHeight w:val="336"/>
        </w:trPr>
        <w:tc>
          <w:tcPr>
            <w:tcW w:w="39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DC5241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6486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PAR</w:t>
            </w:r>
            <w:r w:rsidRPr="00A04EB0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4B82" w14:textId="7623B8AF" w:rsidR="002A4B5B" w:rsidRPr="00A04EB0" w:rsidRDefault="006910C1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2AA78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PAR</w:t>
            </w:r>
            <w:r w:rsidRPr="00A04EB0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29B2E" w14:textId="537118AB" w:rsidR="002A4B5B" w:rsidRPr="00A04EB0" w:rsidRDefault="006910C1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0887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PAR</w:t>
            </w:r>
            <w:r w:rsidRPr="00A04EB0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148F" w14:textId="34CC4525" w:rsidR="002A4B5B" w:rsidRPr="00A04EB0" w:rsidRDefault="006910C1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92E8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PAR</w:t>
            </w:r>
            <w:r w:rsidRPr="00A04EB0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9A9C5" w14:textId="1B855AEF" w:rsidR="002A4B5B" w:rsidRPr="00A04EB0" w:rsidRDefault="006910C1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95%CIs</w:t>
            </w:r>
          </w:p>
        </w:tc>
      </w:tr>
      <w:tr w:rsidR="002A4B5B" w:rsidRPr="00A04EB0" w14:paraId="437763B4" w14:textId="77777777" w:rsidTr="009452B6">
        <w:trPr>
          <w:trHeight w:val="432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689CF" w14:textId="67449950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BMI</w:t>
            </w:r>
            <w:r w:rsidRPr="002E1D9F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A0AB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8B20" w14:textId="77777777" w:rsidR="002A4B5B" w:rsidRPr="00A04EB0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F1DA5" w14:textId="77777777" w:rsidR="002A4B5B" w:rsidRPr="00A04EB0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26AC" w14:textId="77777777" w:rsidR="002A4B5B" w:rsidRPr="00A04EB0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6541" w14:textId="77777777" w:rsidR="002A4B5B" w:rsidRPr="00A04EB0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6779" w14:textId="77777777" w:rsidR="002A4B5B" w:rsidRPr="00A04EB0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6659" w14:textId="77777777" w:rsidR="002A4B5B" w:rsidRPr="00A04EB0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3290" w14:textId="77777777" w:rsidR="002A4B5B" w:rsidRPr="00A04EB0" w:rsidRDefault="002A4B5B" w:rsidP="007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B5B" w:rsidRPr="00A04EB0" w14:paraId="3EE77C21" w14:textId="77777777" w:rsidTr="009452B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BC5E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18.5-&lt;25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F4308" w14:textId="26CDBC5C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16.</w:t>
            </w:r>
            <w:r w:rsidR="000675B9">
              <w:rPr>
                <w:rFonts w:ascii="Calibri" w:eastAsia="等线" w:hAnsi="Calibri" w:cs="宋体"/>
                <w:b/>
                <w:bCs/>
                <w:color w:val="000000"/>
              </w:rPr>
              <w:t>43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5E6D" w14:textId="0608BD80" w:rsidR="002A4B5B" w:rsidRPr="00A04EB0" w:rsidRDefault="000675B9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>
              <w:rPr>
                <w:rFonts w:ascii="Calibri" w:eastAsia="等线" w:hAnsi="Calibri" w:cs="宋体"/>
                <w:b/>
                <w:color w:val="000000"/>
              </w:rPr>
              <w:t>9.03</w:t>
            </w:r>
            <w:r w:rsidR="002A4B5B" w:rsidRPr="00A04EB0">
              <w:rPr>
                <w:rFonts w:ascii="Calibri" w:eastAsia="等线" w:hAnsi="Calibri" w:cs="宋体"/>
                <w:b/>
                <w:color w:val="000000"/>
              </w:rPr>
              <w:t>-23.</w:t>
            </w:r>
            <w:r>
              <w:rPr>
                <w:rFonts w:ascii="Calibri" w:eastAsia="等线" w:hAnsi="Calibri" w:cs="宋体"/>
                <w:b/>
                <w:color w:val="000000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513D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829B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62817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9B2C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E1C1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7084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</w:tr>
      <w:tr w:rsidR="002A4B5B" w:rsidRPr="00A04EB0" w14:paraId="6E02F8A4" w14:textId="77777777" w:rsidTr="009452B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C159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 xml:space="preserve"> ≥25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587C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6F20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15E9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33.18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6C13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23.93-42.44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20C57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18.86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2D9C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 xml:space="preserve"> 7.03-30.70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A8DD" w14:textId="185A8BBA" w:rsidR="002A4B5B" w:rsidRPr="00A04EB0" w:rsidRDefault="009452B6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>
              <w:rPr>
                <w:rFonts w:ascii="Calibri" w:eastAsia="等线" w:hAnsi="Calibri" w:cs="宋体"/>
                <w:color w:val="000000"/>
              </w:rPr>
              <w:t>7.54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1567" w14:textId="2ECC6012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-</w:t>
            </w:r>
            <w:r w:rsidR="009452B6">
              <w:rPr>
                <w:rFonts w:ascii="Calibri" w:eastAsia="等线" w:hAnsi="Calibri" w:cs="宋体"/>
                <w:color w:val="000000"/>
              </w:rPr>
              <w:t>4.30</w:t>
            </w:r>
            <w:r w:rsidRPr="00A04EB0">
              <w:rPr>
                <w:rFonts w:ascii="Calibri" w:eastAsia="等线" w:hAnsi="Calibri" w:cs="宋体"/>
                <w:color w:val="000000"/>
              </w:rPr>
              <w:t>-</w:t>
            </w:r>
            <w:r w:rsidR="009452B6">
              <w:rPr>
                <w:rFonts w:ascii="Calibri" w:eastAsia="等线" w:hAnsi="Calibri" w:cs="宋体"/>
                <w:color w:val="000000"/>
              </w:rPr>
              <w:t>19.38</w:t>
            </w:r>
          </w:p>
        </w:tc>
      </w:tr>
      <w:tr w:rsidR="002A4B5B" w:rsidRPr="00A04EB0" w14:paraId="3049328B" w14:textId="77777777" w:rsidTr="009452B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9EE6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 xml:space="preserve">Smoking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7FA6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CF95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7487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1A03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BD0E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A55D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CD48E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F120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B5B" w:rsidRPr="00A04EB0" w14:paraId="52CED75E" w14:textId="77777777" w:rsidTr="009452B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BC47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Never smoker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7AD59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FE59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76858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EF8F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F088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51FE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26D25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DF42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</w:tr>
      <w:tr w:rsidR="002A4B5B" w:rsidRPr="00A04EB0" w14:paraId="0EEE6A7C" w14:textId="77777777" w:rsidTr="009452B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1CAB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Ever smoker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BF10" w14:textId="718E6482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55.</w:t>
            </w:r>
            <w:r w:rsidR="000675B9">
              <w:rPr>
                <w:rFonts w:ascii="Calibri" w:eastAsia="等线" w:hAnsi="Calibri" w:cs="宋体"/>
                <w:b/>
                <w:bCs/>
                <w:color w:val="000000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94B8" w14:textId="2B28D39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43.</w:t>
            </w:r>
            <w:r w:rsidR="000675B9">
              <w:rPr>
                <w:rFonts w:ascii="Calibri" w:eastAsia="等线" w:hAnsi="Calibri" w:cs="宋体"/>
                <w:b/>
                <w:color w:val="000000"/>
              </w:rPr>
              <w:t>97</w:t>
            </w:r>
            <w:r w:rsidRPr="00A04EB0">
              <w:rPr>
                <w:rFonts w:ascii="Calibri" w:eastAsia="等线" w:hAnsi="Calibri" w:cs="宋体"/>
                <w:b/>
                <w:color w:val="000000"/>
              </w:rPr>
              <w:t>-67.</w:t>
            </w:r>
            <w:r w:rsidR="000675B9">
              <w:rPr>
                <w:rFonts w:ascii="Calibri" w:eastAsia="等线" w:hAnsi="Calibri" w:cs="宋体"/>
                <w:b/>
                <w:color w:val="000000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0A65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34.97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9D56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27.47-42.47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9B26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39.08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CF68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30.34-47.83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59102" w14:textId="584A1C26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10.</w:t>
            </w:r>
            <w:r w:rsidR="009452B6">
              <w:rPr>
                <w:rFonts w:ascii="Calibri" w:eastAsia="等线" w:hAnsi="Calibri" w:cs="宋体"/>
                <w:b/>
                <w:bCs/>
                <w:color w:val="000000"/>
              </w:rPr>
              <w:t>85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FDD2" w14:textId="205CCFBA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3.</w:t>
            </w:r>
            <w:r w:rsidR="009452B6">
              <w:rPr>
                <w:rFonts w:ascii="Calibri" w:eastAsia="等线" w:hAnsi="Calibri" w:cs="宋体"/>
                <w:b/>
                <w:color w:val="000000"/>
              </w:rPr>
              <w:t>60</w:t>
            </w:r>
            <w:r w:rsidRPr="00A04EB0">
              <w:rPr>
                <w:rFonts w:ascii="Calibri" w:eastAsia="等线" w:hAnsi="Calibri" w:cs="宋体"/>
                <w:b/>
                <w:color w:val="000000"/>
              </w:rPr>
              <w:t>-18.1</w:t>
            </w:r>
            <w:r w:rsidR="009452B6">
              <w:rPr>
                <w:rFonts w:ascii="Calibri" w:eastAsia="等线" w:hAnsi="Calibri" w:cs="宋体"/>
                <w:b/>
                <w:color w:val="000000"/>
              </w:rPr>
              <w:t>0</w:t>
            </w:r>
          </w:p>
        </w:tc>
      </w:tr>
      <w:tr w:rsidR="002A4B5B" w:rsidRPr="00A04EB0" w14:paraId="4CE580BB" w14:textId="77777777" w:rsidTr="009452B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E100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>
              <w:rPr>
                <w:rFonts w:ascii="Calibri" w:eastAsia="等线" w:hAnsi="Calibri" w:cs="宋体"/>
                <w:b/>
                <w:bCs/>
                <w:color w:val="000000"/>
              </w:rPr>
              <w:t>Alcohol intake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A18D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9570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9CDE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A672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4D4A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DC9C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2682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4144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B5B" w:rsidRPr="00A04EB0" w14:paraId="6A7FDAAA" w14:textId="77777777" w:rsidTr="009452B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5429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&gt;0-1 drink/ day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74A5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D049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73B0A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C326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84D1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EAA4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6F91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ED49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</w:tr>
      <w:tr w:rsidR="002A4B5B" w:rsidRPr="00A04EB0" w14:paraId="728FDB22" w14:textId="77777777" w:rsidTr="009452B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A118" w14:textId="77777777" w:rsidR="002A4B5B" w:rsidRPr="00A04EB0" w:rsidRDefault="002A4B5B" w:rsidP="007F47BF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never drinker or &gt;1 drinks/ day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00CA" w14:textId="2399C513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bCs/>
                <w:color w:val="000000"/>
              </w:rPr>
              <w:t>4</w:t>
            </w:r>
            <w:r w:rsidR="000675B9">
              <w:rPr>
                <w:rFonts w:ascii="Calibri" w:eastAsia="等线" w:hAnsi="Calibri" w:cs="宋体"/>
                <w:b/>
                <w:bCs/>
                <w:color w:val="000000"/>
              </w:rPr>
              <w:t>8.04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34E1" w14:textId="362887B8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37.7</w:t>
            </w:r>
            <w:r w:rsidR="000675B9">
              <w:rPr>
                <w:rFonts w:ascii="Calibri" w:eastAsia="等线" w:hAnsi="Calibri" w:cs="宋体"/>
                <w:b/>
                <w:color w:val="000000"/>
              </w:rPr>
              <w:t>5</w:t>
            </w:r>
            <w:r w:rsidRPr="00A04EB0">
              <w:rPr>
                <w:rFonts w:ascii="Calibri" w:eastAsia="等线" w:hAnsi="Calibri" w:cs="宋体"/>
                <w:b/>
                <w:color w:val="000000"/>
              </w:rPr>
              <w:t>-58.</w:t>
            </w:r>
            <w:r w:rsidR="000675B9">
              <w:rPr>
                <w:rFonts w:ascii="Calibri" w:eastAsia="等线" w:hAnsi="Calibri" w:cs="宋体"/>
                <w:b/>
                <w:color w:val="000000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5A01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-3.80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B007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-11.11-3.51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EA51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7.25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DCF2" w14:textId="77777777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A04EB0">
              <w:rPr>
                <w:rFonts w:ascii="Calibri" w:eastAsia="等线" w:hAnsi="Calibri" w:cs="宋体"/>
                <w:color w:val="000000"/>
              </w:rPr>
              <w:t>-1.48-15.98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209A" w14:textId="4BEB6733" w:rsidR="002A4B5B" w:rsidRPr="00A04EB0" w:rsidRDefault="009452B6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>
              <w:rPr>
                <w:rFonts w:ascii="Calibri" w:eastAsia="等线" w:hAnsi="Calibri" w:cs="宋体"/>
                <w:b/>
                <w:color w:val="000000"/>
              </w:rPr>
              <w:t>8.89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BB58" w14:textId="3B1FB855" w:rsidR="002A4B5B" w:rsidRPr="00A04EB0" w:rsidRDefault="002A4B5B" w:rsidP="007F47BF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A04EB0">
              <w:rPr>
                <w:rFonts w:ascii="Calibri" w:eastAsia="等线" w:hAnsi="Calibri" w:cs="宋体"/>
                <w:b/>
                <w:color w:val="000000"/>
              </w:rPr>
              <w:t>0.</w:t>
            </w:r>
            <w:r w:rsidR="009452B6">
              <w:rPr>
                <w:rFonts w:ascii="Calibri" w:eastAsia="等线" w:hAnsi="Calibri" w:cs="宋体"/>
                <w:b/>
                <w:color w:val="000000"/>
              </w:rPr>
              <w:t>30</w:t>
            </w:r>
            <w:r w:rsidRPr="00A04EB0">
              <w:rPr>
                <w:rFonts w:ascii="Calibri" w:eastAsia="等线" w:hAnsi="Calibri" w:cs="宋体"/>
                <w:b/>
                <w:color w:val="000000"/>
              </w:rPr>
              <w:t>-17.</w:t>
            </w:r>
            <w:r w:rsidR="009452B6">
              <w:rPr>
                <w:rFonts w:ascii="Calibri" w:eastAsia="等线" w:hAnsi="Calibri" w:cs="宋体"/>
                <w:b/>
                <w:color w:val="000000"/>
              </w:rPr>
              <w:t>49</w:t>
            </w:r>
          </w:p>
        </w:tc>
      </w:tr>
      <w:tr w:rsidR="002A4B5B" w:rsidRPr="00A04EB0" w14:paraId="1B69C756" w14:textId="77777777" w:rsidTr="009452B6">
        <w:trPr>
          <w:trHeight w:val="288"/>
        </w:trPr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A216" w14:textId="77777777" w:rsidR="002A4B5B" w:rsidRPr="007120D6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C42F64">
              <w:rPr>
                <w:rFonts w:ascii="Calibri" w:eastAsia="等线" w:hAnsi="Calibri" w:cs="宋体"/>
                <w:b/>
                <w:bCs/>
                <w:color w:val="000000"/>
              </w:rPr>
              <w:t>Self-reported diabetes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EDDA" w14:textId="77777777" w:rsidR="002A4B5B" w:rsidRPr="007120D6" w:rsidRDefault="002A4B5B" w:rsidP="007F47BF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7F17" w14:textId="77777777" w:rsidR="002A4B5B" w:rsidRPr="007120D6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665B" w14:textId="77777777" w:rsidR="002A4B5B" w:rsidRPr="007120D6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87218" w14:textId="77777777" w:rsidR="002A4B5B" w:rsidRPr="007120D6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F609" w14:textId="77777777" w:rsidR="002A4B5B" w:rsidRPr="007120D6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7FA7" w14:textId="77777777" w:rsidR="002A4B5B" w:rsidRPr="007120D6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EEFA" w14:textId="77777777" w:rsidR="002A4B5B" w:rsidRPr="007120D6" w:rsidRDefault="002A4B5B" w:rsidP="007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B6" w:rsidRPr="00A04EB0" w14:paraId="28C97AAC" w14:textId="77777777" w:rsidTr="009452B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F1E7" w14:textId="77777777" w:rsidR="009452B6" w:rsidRPr="007120D6" w:rsidRDefault="009452B6" w:rsidP="009452B6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C42F64">
              <w:rPr>
                <w:rFonts w:ascii="Calibri" w:eastAsia="等线" w:hAnsi="Calibri" w:cs="宋体"/>
                <w:color w:val="000000"/>
              </w:rPr>
              <w:t>No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0594" w14:textId="72716AC3" w:rsidR="009452B6" w:rsidRPr="007120D6" w:rsidRDefault="009452B6" w:rsidP="007120D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F6BA" w14:textId="77777777" w:rsidR="009452B6" w:rsidRPr="007120D6" w:rsidRDefault="009452B6" w:rsidP="00C4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0FFE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559E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88025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B494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60E4" w14:textId="3599A0E6" w:rsidR="009452B6" w:rsidRPr="007120D6" w:rsidRDefault="009452B6" w:rsidP="009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EB1C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B6" w:rsidRPr="00A04EB0" w14:paraId="729C7281" w14:textId="77777777" w:rsidTr="009452B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E8BB" w14:textId="77777777" w:rsidR="009452B6" w:rsidRPr="007120D6" w:rsidRDefault="009452B6" w:rsidP="009452B6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C42F64">
              <w:rPr>
                <w:rFonts w:ascii="Calibri" w:eastAsia="等线" w:hAnsi="Calibri" w:cs="宋体"/>
                <w:color w:val="000000"/>
              </w:rPr>
              <w:t>Yes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3C60" w14:textId="0662A603" w:rsidR="009452B6" w:rsidRPr="007120D6" w:rsidRDefault="009452B6" w:rsidP="007120D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1.18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50A" w14:textId="0D365495" w:rsidR="009452B6" w:rsidRPr="007120D6" w:rsidRDefault="009452B6" w:rsidP="00C4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-6.14-8.49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B558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1.48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BA1A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-2.34-5.30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35B6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9.92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5EC9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color w:val="000000"/>
              </w:rPr>
              <w:t>4.81-15.04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0C6E" w14:textId="563837B0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3.58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8F68" w14:textId="0E0F50F7" w:rsidR="009452B6" w:rsidRPr="007120D6" w:rsidRDefault="009452B6" w:rsidP="009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-1.54-8.70</w:t>
            </w:r>
          </w:p>
        </w:tc>
      </w:tr>
      <w:tr w:rsidR="009452B6" w:rsidRPr="00A04EB0" w14:paraId="7417A203" w14:textId="77777777" w:rsidTr="009452B6">
        <w:trPr>
          <w:trHeight w:val="288"/>
        </w:trPr>
        <w:tc>
          <w:tcPr>
            <w:tcW w:w="6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BB04" w14:textId="048DC5CD" w:rsidR="009452B6" w:rsidRPr="007120D6" w:rsidRDefault="009452B6" w:rsidP="009452B6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</w:pPr>
            <w:r w:rsidRPr="00C42F64">
              <w:rPr>
                <w:rFonts w:ascii="Calibri" w:eastAsia="等线" w:hAnsi="Calibri" w:cs="宋体"/>
                <w:b/>
                <w:bCs/>
                <w:color w:val="000000"/>
              </w:rPr>
              <w:t>GERD</w:t>
            </w:r>
            <w:r w:rsidRPr="007120D6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087E8" w14:textId="77777777" w:rsidR="009452B6" w:rsidRPr="007120D6" w:rsidRDefault="009452B6" w:rsidP="009452B6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A811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9DBF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6EBF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5E5E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12D7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B6" w:rsidRPr="00A04EB0" w14:paraId="410B494C" w14:textId="77777777" w:rsidTr="009452B6">
        <w:trPr>
          <w:trHeight w:val="28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3A1C" w14:textId="77777777" w:rsidR="009452B6" w:rsidRPr="007120D6" w:rsidRDefault="009452B6" w:rsidP="009452B6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C42F64">
              <w:rPr>
                <w:rFonts w:ascii="Calibri" w:eastAsia="等线" w:hAnsi="Calibri" w:cs="宋体"/>
                <w:color w:val="000000"/>
              </w:rPr>
              <w:t>No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2919" w14:textId="3429E1E9" w:rsidR="009452B6" w:rsidRPr="007120D6" w:rsidRDefault="009452B6" w:rsidP="007120D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979E" w14:textId="77777777" w:rsidR="009452B6" w:rsidRPr="007120D6" w:rsidRDefault="009452B6" w:rsidP="00C4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38C0D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87BF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66A2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09D3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CD9B" w14:textId="67765E99" w:rsidR="009452B6" w:rsidRPr="007120D6" w:rsidRDefault="009452B6" w:rsidP="009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Ref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60A5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2B6" w:rsidRPr="00A04EB0" w14:paraId="4D427D63" w14:textId="77777777" w:rsidTr="009452B6">
        <w:trPr>
          <w:trHeight w:val="300"/>
        </w:trPr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7BAA7" w14:textId="77777777" w:rsidR="009452B6" w:rsidRPr="007120D6" w:rsidRDefault="009452B6" w:rsidP="009452B6">
            <w:pPr>
              <w:spacing w:after="0" w:line="240" w:lineRule="auto"/>
              <w:rPr>
                <w:rFonts w:ascii="Calibri" w:eastAsia="等线" w:hAnsi="Calibri" w:cs="宋体"/>
                <w:color w:val="000000"/>
              </w:rPr>
            </w:pPr>
            <w:r w:rsidRPr="00C42F64">
              <w:rPr>
                <w:rFonts w:ascii="Calibri" w:eastAsia="等线" w:hAnsi="Calibri" w:cs="宋体"/>
                <w:color w:val="000000"/>
              </w:rPr>
              <w:t>Yes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094E6" w14:textId="07CE0F1B" w:rsidR="009452B6" w:rsidRPr="007120D6" w:rsidRDefault="009452B6" w:rsidP="00C42F64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14.95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D1B8B" w14:textId="2A850D24" w:rsidR="009452B6" w:rsidRPr="007120D6" w:rsidRDefault="009452B6" w:rsidP="007120D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-4.84-34.74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064AC2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20.93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D536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7.40-34.46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63F33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17.88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36569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3.51-32.25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65DD7" w14:textId="4AEF5D69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5.51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ABBC7" w14:textId="5BDF5863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color w:val="000000"/>
              </w:rPr>
            </w:pPr>
            <w:r w:rsidRPr="007120D6">
              <w:rPr>
                <w:rFonts w:ascii="Calibri" w:eastAsia="等线" w:hAnsi="Calibri" w:cs="宋体"/>
                <w:color w:val="000000"/>
              </w:rPr>
              <w:t>-6.52-17.55</w:t>
            </w:r>
          </w:p>
        </w:tc>
      </w:tr>
      <w:tr w:rsidR="009452B6" w:rsidRPr="00A04EB0" w14:paraId="1D080D18" w14:textId="77777777" w:rsidTr="007120D6">
        <w:trPr>
          <w:trHeight w:val="336"/>
        </w:trPr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1235F" w14:textId="77777777" w:rsidR="009452B6" w:rsidRPr="007120D6" w:rsidRDefault="009452B6" w:rsidP="009452B6">
            <w:pPr>
              <w:spacing w:after="0" w:line="240" w:lineRule="auto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C42F64">
              <w:rPr>
                <w:rFonts w:ascii="Calibri" w:eastAsia="等线" w:hAnsi="Calibri" w:cs="宋体"/>
                <w:b/>
                <w:bCs/>
                <w:color w:val="000000"/>
              </w:rPr>
              <w:t>Combined PAR for potentially modifiable risk factors</w:t>
            </w:r>
            <w:r w:rsidRPr="007120D6">
              <w:rPr>
                <w:rFonts w:ascii="Calibri" w:eastAsia="等线" w:hAnsi="Calibri" w:cs="宋体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46B647" w14:textId="7DABB04A" w:rsidR="009452B6" w:rsidRPr="00C42F64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 w:hint="eastAsia"/>
                <w:b/>
                <w:bCs/>
                <w:color w:val="000000"/>
              </w:rPr>
              <w:t>8</w:t>
            </w: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3.72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CB6F32" w14:textId="142FDD54" w:rsidR="009452B6" w:rsidRPr="00C42F64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 w:hint="eastAsia"/>
                <w:b/>
                <w:bCs/>
                <w:color w:val="000000"/>
              </w:rPr>
              <w:t>7</w:t>
            </w: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6.92-90.52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5D436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64.76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5B0FFC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56.57-72.96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ED64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65.80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01408" w14:textId="77777777" w:rsidR="009452B6" w:rsidRPr="007120D6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56.84-74.77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AD56BE" w14:textId="78997DFD" w:rsidR="009452B6" w:rsidRPr="00C42F64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 w:hint="eastAsia"/>
                <w:b/>
                <w:bCs/>
                <w:color w:val="000000"/>
              </w:rPr>
              <w:t>3</w:t>
            </w: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1.51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E576B7" w14:textId="0A78DC49" w:rsidR="009452B6" w:rsidRPr="00C42F64" w:rsidRDefault="009452B6" w:rsidP="009452B6">
            <w:pPr>
              <w:spacing w:after="0" w:line="240" w:lineRule="auto"/>
              <w:jc w:val="center"/>
              <w:rPr>
                <w:rFonts w:ascii="Calibri" w:eastAsia="等线" w:hAnsi="Calibri" w:cs="宋体"/>
                <w:b/>
                <w:bCs/>
                <w:color w:val="000000"/>
              </w:rPr>
            </w:pPr>
            <w:r w:rsidRPr="007120D6">
              <w:rPr>
                <w:rFonts w:ascii="Calibri" w:eastAsia="等线" w:hAnsi="Calibri" w:cs="宋体" w:hint="eastAsia"/>
                <w:b/>
                <w:bCs/>
                <w:color w:val="000000"/>
              </w:rPr>
              <w:t>1</w:t>
            </w:r>
            <w:r w:rsidRPr="007120D6">
              <w:rPr>
                <w:rFonts w:ascii="Calibri" w:eastAsia="等线" w:hAnsi="Calibri" w:cs="宋体"/>
                <w:b/>
                <w:bCs/>
                <w:color w:val="000000"/>
              </w:rPr>
              <w:t>7.83-45.18</w:t>
            </w:r>
          </w:p>
        </w:tc>
      </w:tr>
    </w:tbl>
    <w:p w14:paraId="58EB178D" w14:textId="4CA48718" w:rsidR="002A4B5B" w:rsidRDefault="002A4B5B" w:rsidP="002A4B5B">
      <w:r w:rsidRPr="00FE5E55">
        <w:t xml:space="preserve">Note: </w:t>
      </w:r>
      <w:r w:rsidR="00C1319F" w:rsidRPr="00B970D4">
        <w:t>BMI</w:t>
      </w:r>
      <w:r w:rsidR="00C1319F">
        <w:t>,</w:t>
      </w:r>
      <w:r w:rsidR="00C1319F" w:rsidRPr="00B970D4">
        <w:t xml:space="preserve"> </w:t>
      </w:r>
      <w:r w:rsidR="00C1319F">
        <w:t>b</w:t>
      </w:r>
      <w:r w:rsidR="00C1319F" w:rsidRPr="00B970D4">
        <w:t>ody mass index</w:t>
      </w:r>
      <w:r w:rsidR="00C1319F">
        <w:t>;</w:t>
      </w:r>
      <w:r w:rsidR="00C1319F" w:rsidRPr="00B970D4">
        <w:t xml:space="preserve"> </w:t>
      </w:r>
      <w:r w:rsidR="00C1319F" w:rsidRPr="00831D94">
        <w:t>CIs</w:t>
      </w:r>
      <w:r w:rsidR="00C1319F">
        <w:t>,</w:t>
      </w:r>
      <w:r w:rsidR="00C1319F" w:rsidRPr="00831D94">
        <w:t xml:space="preserve"> confidence intervals</w:t>
      </w:r>
      <w:r w:rsidR="00C1319F">
        <w:t xml:space="preserve">; </w:t>
      </w:r>
      <w:r w:rsidR="00C1319F" w:rsidRPr="007120D6">
        <w:rPr>
          <w:bCs/>
        </w:rPr>
        <w:t xml:space="preserve">ESCC, esophageal squamous cell carcinoma; EAC, esophageal adenocarcinoma; GCA, gastric cardia adenocarcinoma; </w:t>
      </w:r>
      <w:r w:rsidR="00C1319F">
        <w:t>GERD,</w:t>
      </w:r>
      <w:r w:rsidR="00C1319F" w:rsidRPr="00B970D4">
        <w:t xml:space="preserve"> </w:t>
      </w:r>
      <w:r w:rsidR="00C1319F">
        <w:t>g</w:t>
      </w:r>
      <w:r w:rsidR="00C1319F" w:rsidRPr="00B970D4">
        <w:t>astroesophageal reflux disease</w:t>
      </w:r>
      <w:r w:rsidR="00C1319F">
        <w:t xml:space="preserve">; </w:t>
      </w:r>
      <w:r w:rsidR="00C1319F" w:rsidRPr="007120D6">
        <w:rPr>
          <w:bCs/>
        </w:rPr>
        <w:t>GNCA, gastric non-cardia adenocarcinoma;</w:t>
      </w:r>
      <w:r w:rsidR="00C1319F">
        <w:rPr>
          <w:bCs/>
        </w:rPr>
        <w:t xml:space="preserve"> </w:t>
      </w:r>
      <w:r w:rsidRPr="00FE5E55">
        <w:t xml:space="preserve">PAR, population attributable risk; </w:t>
      </w:r>
    </w:p>
    <w:p w14:paraId="6A86F091" w14:textId="44DB0BE3" w:rsidR="00D6111D" w:rsidRPr="00D6111D" w:rsidRDefault="002A4B5B">
      <w:r>
        <w:t xml:space="preserve">1, </w:t>
      </w:r>
      <w:r w:rsidRPr="00FE5E55">
        <w:t xml:space="preserve">Results are based on risk estimates from the NIH-AARP cohort (1995-2011) and distributions of different risk factors in 2015 by NHIS survey; </w:t>
      </w:r>
      <w:r>
        <w:t xml:space="preserve">2, </w:t>
      </w:r>
      <w:r w:rsidRPr="00A311B8">
        <w:t>excluded underweight participant who had a BMI lower than 18.5;</w:t>
      </w:r>
      <w:r>
        <w:t xml:space="preserve"> 3</w:t>
      </w:r>
      <w:r w:rsidRPr="009942CF">
        <w:t xml:space="preserve">, </w:t>
      </w:r>
      <w:r w:rsidRPr="003A3572">
        <w:t>GERD was extracted from the Medicare data for a subset of the NIH-AARP cohort, then imputed  for missing GERD in the NIH-AARP cohort and the 2015 National Health Interview Survey data;</w:t>
      </w:r>
      <w:r>
        <w:t xml:space="preserve"> 4</w:t>
      </w:r>
      <w:r w:rsidRPr="00FE5E55">
        <w:t xml:space="preserve">, </w:t>
      </w:r>
      <w:r w:rsidRPr="001E04BB">
        <w:t xml:space="preserve">combined PAR was calculated by combination of </w:t>
      </w:r>
      <w:r>
        <w:t xml:space="preserve">potentially </w:t>
      </w:r>
      <w:r w:rsidRPr="001E04BB">
        <w:t>modifiable risk factors including BMI, smoking, drinking, self-reported diabetes, and GERD.</w:t>
      </w:r>
    </w:p>
    <w:sectPr w:rsidR="00D6111D" w:rsidRPr="00D6111D" w:rsidSect="00CB2D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60B7" w14:textId="77777777" w:rsidR="00E10F26" w:rsidRDefault="00E10F26" w:rsidP="00770B8D">
      <w:pPr>
        <w:spacing w:after="0" w:line="240" w:lineRule="auto"/>
      </w:pPr>
      <w:r>
        <w:separator/>
      </w:r>
    </w:p>
  </w:endnote>
  <w:endnote w:type="continuationSeparator" w:id="0">
    <w:p w14:paraId="2633C765" w14:textId="77777777" w:rsidR="00E10F26" w:rsidRDefault="00E10F26" w:rsidP="0077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72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B9D5E" w14:textId="77777777" w:rsidR="0033543F" w:rsidRDefault="0033543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0FEC3" w14:textId="77777777" w:rsidR="0033543F" w:rsidRDefault="003354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8EAF" w14:textId="77777777" w:rsidR="00E10F26" w:rsidRDefault="00E10F26" w:rsidP="00770B8D">
      <w:pPr>
        <w:spacing w:after="0" w:line="240" w:lineRule="auto"/>
      </w:pPr>
      <w:r>
        <w:separator/>
      </w:r>
    </w:p>
  </w:footnote>
  <w:footnote w:type="continuationSeparator" w:id="0">
    <w:p w14:paraId="0E83C238" w14:textId="77777777" w:rsidR="00E10F26" w:rsidRDefault="00E10F26" w:rsidP="00770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3B"/>
    <w:rsid w:val="000132B6"/>
    <w:rsid w:val="00014B31"/>
    <w:rsid w:val="00027F5B"/>
    <w:rsid w:val="00053AF2"/>
    <w:rsid w:val="000675B9"/>
    <w:rsid w:val="0007121C"/>
    <w:rsid w:val="000775B9"/>
    <w:rsid w:val="000A1DD3"/>
    <w:rsid w:val="000A2307"/>
    <w:rsid w:val="000A2C33"/>
    <w:rsid w:val="000B1593"/>
    <w:rsid w:val="000B3184"/>
    <w:rsid w:val="000D487F"/>
    <w:rsid w:val="000D6A79"/>
    <w:rsid w:val="000E57EC"/>
    <w:rsid w:val="000E7114"/>
    <w:rsid w:val="000F7976"/>
    <w:rsid w:val="00104909"/>
    <w:rsid w:val="00104B08"/>
    <w:rsid w:val="00123458"/>
    <w:rsid w:val="001325A3"/>
    <w:rsid w:val="0013719F"/>
    <w:rsid w:val="001414A3"/>
    <w:rsid w:val="00172A82"/>
    <w:rsid w:val="00173B0F"/>
    <w:rsid w:val="001B688C"/>
    <w:rsid w:val="001B757A"/>
    <w:rsid w:val="001C43E7"/>
    <w:rsid w:val="001C7E9E"/>
    <w:rsid w:val="001E04BB"/>
    <w:rsid w:val="001E2486"/>
    <w:rsid w:val="002127D6"/>
    <w:rsid w:val="00214E59"/>
    <w:rsid w:val="00230E95"/>
    <w:rsid w:val="00243977"/>
    <w:rsid w:val="00245203"/>
    <w:rsid w:val="00280DE7"/>
    <w:rsid w:val="002A28B4"/>
    <w:rsid w:val="002A4B5B"/>
    <w:rsid w:val="002B539D"/>
    <w:rsid w:val="002C75D8"/>
    <w:rsid w:val="002D232A"/>
    <w:rsid w:val="002E1D9F"/>
    <w:rsid w:val="002E4C2E"/>
    <w:rsid w:val="00300639"/>
    <w:rsid w:val="00331AB4"/>
    <w:rsid w:val="0033543F"/>
    <w:rsid w:val="003547C1"/>
    <w:rsid w:val="00357A51"/>
    <w:rsid w:val="00364D5B"/>
    <w:rsid w:val="00377F10"/>
    <w:rsid w:val="003A3572"/>
    <w:rsid w:val="003B2CB6"/>
    <w:rsid w:val="003B6F77"/>
    <w:rsid w:val="003C49E7"/>
    <w:rsid w:val="003D52E7"/>
    <w:rsid w:val="003E4047"/>
    <w:rsid w:val="00402E9D"/>
    <w:rsid w:val="00457166"/>
    <w:rsid w:val="00472CD2"/>
    <w:rsid w:val="0048711D"/>
    <w:rsid w:val="004922E1"/>
    <w:rsid w:val="00497E10"/>
    <w:rsid w:val="004A4A66"/>
    <w:rsid w:val="004B60FB"/>
    <w:rsid w:val="004E7B2E"/>
    <w:rsid w:val="004F1E5C"/>
    <w:rsid w:val="005029BC"/>
    <w:rsid w:val="005641AB"/>
    <w:rsid w:val="005758BC"/>
    <w:rsid w:val="00587D0D"/>
    <w:rsid w:val="00597CEF"/>
    <w:rsid w:val="005A46A7"/>
    <w:rsid w:val="005B0F84"/>
    <w:rsid w:val="00615EAA"/>
    <w:rsid w:val="00622E94"/>
    <w:rsid w:val="00635841"/>
    <w:rsid w:val="00644627"/>
    <w:rsid w:val="00653EE5"/>
    <w:rsid w:val="00672105"/>
    <w:rsid w:val="00680DFF"/>
    <w:rsid w:val="00682869"/>
    <w:rsid w:val="006910C1"/>
    <w:rsid w:val="006A4F72"/>
    <w:rsid w:val="006A7B91"/>
    <w:rsid w:val="006B4D69"/>
    <w:rsid w:val="006B5FDF"/>
    <w:rsid w:val="006C1289"/>
    <w:rsid w:val="006C4A90"/>
    <w:rsid w:val="006D7D7B"/>
    <w:rsid w:val="006F4172"/>
    <w:rsid w:val="00703D68"/>
    <w:rsid w:val="00711B7D"/>
    <w:rsid w:val="007120D6"/>
    <w:rsid w:val="00743EC7"/>
    <w:rsid w:val="00770B8D"/>
    <w:rsid w:val="007D2B14"/>
    <w:rsid w:val="007D4671"/>
    <w:rsid w:val="007F150D"/>
    <w:rsid w:val="0082372E"/>
    <w:rsid w:val="00826766"/>
    <w:rsid w:val="00831D94"/>
    <w:rsid w:val="00832C27"/>
    <w:rsid w:val="00842B27"/>
    <w:rsid w:val="0086076F"/>
    <w:rsid w:val="008612CA"/>
    <w:rsid w:val="008639D9"/>
    <w:rsid w:val="00871FDB"/>
    <w:rsid w:val="00882B66"/>
    <w:rsid w:val="008B0C54"/>
    <w:rsid w:val="008B2793"/>
    <w:rsid w:val="008D5B1C"/>
    <w:rsid w:val="008E13CF"/>
    <w:rsid w:val="00902377"/>
    <w:rsid w:val="00920499"/>
    <w:rsid w:val="009336C0"/>
    <w:rsid w:val="009444FA"/>
    <w:rsid w:val="009452B6"/>
    <w:rsid w:val="009455D5"/>
    <w:rsid w:val="00951849"/>
    <w:rsid w:val="009653AA"/>
    <w:rsid w:val="00973374"/>
    <w:rsid w:val="0097452F"/>
    <w:rsid w:val="00992A0E"/>
    <w:rsid w:val="009942CF"/>
    <w:rsid w:val="009A1193"/>
    <w:rsid w:val="009A220D"/>
    <w:rsid w:val="009C70F8"/>
    <w:rsid w:val="009F55BB"/>
    <w:rsid w:val="00A0653F"/>
    <w:rsid w:val="00A070AA"/>
    <w:rsid w:val="00A311B8"/>
    <w:rsid w:val="00A36749"/>
    <w:rsid w:val="00A416E1"/>
    <w:rsid w:val="00A629E4"/>
    <w:rsid w:val="00A75B00"/>
    <w:rsid w:val="00A80F30"/>
    <w:rsid w:val="00A93315"/>
    <w:rsid w:val="00AB6184"/>
    <w:rsid w:val="00AB66AF"/>
    <w:rsid w:val="00AF2B97"/>
    <w:rsid w:val="00B10A8C"/>
    <w:rsid w:val="00B14BDC"/>
    <w:rsid w:val="00B160B3"/>
    <w:rsid w:val="00B25438"/>
    <w:rsid w:val="00B30B3B"/>
    <w:rsid w:val="00B77EFF"/>
    <w:rsid w:val="00B93BE2"/>
    <w:rsid w:val="00B970D4"/>
    <w:rsid w:val="00BB1668"/>
    <w:rsid w:val="00BC1957"/>
    <w:rsid w:val="00BD56B2"/>
    <w:rsid w:val="00BF5D39"/>
    <w:rsid w:val="00C12AA3"/>
    <w:rsid w:val="00C1319F"/>
    <w:rsid w:val="00C354BB"/>
    <w:rsid w:val="00C42F64"/>
    <w:rsid w:val="00C611D0"/>
    <w:rsid w:val="00C64C1E"/>
    <w:rsid w:val="00CB2D0F"/>
    <w:rsid w:val="00CB45CE"/>
    <w:rsid w:val="00CC7145"/>
    <w:rsid w:val="00CD007F"/>
    <w:rsid w:val="00CD3B97"/>
    <w:rsid w:val="00CF1EAA"/>
    <w:rsid w:val="00D01CD9"/>
    <w:rsid w:val="00D449DB"/>
    <w:rsid w:val="00D47B82"/>
    <w:rsid w:val="00D53637"/>
    <w:rsid w:val="00D6111D"/>
    <w:rsid w:val="00D819BE"/>
    <w:rsid w:val="00D94986"/>
    <w:rsid w:val="00DA008B"/>
    <w:rsid w:val="00DD38A9"/>
    <w:rsid w:val="00DD5276"/>
    <w:rsid w:val="00DE3620"/>
    <w:rsid w:val="00DE6CEA"/>
    <w:rsid w:val="00DF5CB2"/>
    <w:rsid w:val="00E10F26"/>
    <w:rsid w:val="00E26995"/>
    <w:rsid w:val="00E40993"/>
    <w:rsid w:val="00E453A6"/>
    <w:rsid w:val="00E60555"/>
    <w:rsid w:val="00E72E02"/>
    <w:rsid w:val="00E77DE3"/>
    <w:rsid w:val="00EA4BE4"/>
    <w:rsid w:val="00EA4CB3"/>
    <w:rsid w:val="00EA6D32"/>
    <w:rsid w:val="00EB5700"/>
    <w:rsid w:val="00EB6486"/>
    <w:rsid w:val="00F105D8"/>
    <w:rsid w:val="00F240BB"/>
    <w:rsid w:val="00F250BF"/>
    <w:rsid w:val="00F25A25"/>
    <w:rsid w:val="00F3266A"/>
    <w:rsid w:val="00F4153A"/>
    <w:rsid w:val="00F47737"/>
    <w:rsid w:val="00F55A67"/>
    <w:rsid w:val="00FC5A8D"/>
    <w:rsid w:val="00FD6C30"/>
    <w:rsid w:val="00FE4BB7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E27A9"/>
  <w15:chartTrackingRefBased/>
  <w15:docId w15:val="{F5568976-96BF-4146-B09E-634C741E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70B8D"/>
  </w:style>
  <w:style w:type="paragraph" w:styleId="a5">
    <w:name w:val="footer"/>
    <w:basedOn w:val="a"/>
    <w:link w:val="a6"/>
    <w:uiPriority w:val="99"/>
    <w:unhideWhenUsed/>
    <w:rsid w:val="0077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770B8D"/>
  </w:style>
  <w:style w:type="paragraph" w:styleId="a7">
    <w:name w:val="Balloon Text"/>
    <w:basedOn w:val="a"/>
    <w:link w:val="a8"/>
    <w:uiPriority w:val="99"/>
    <w:semiHidden/>
    <w:unhideWhenUsed/>
    <w:rsid w:val="00DD38A9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D38A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547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47C1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3547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47C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54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56C3-DBBE-4F29-97FB-8855B0A4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Shao Ming (NIH/NCI) [F]</dc:creator>
  <cp:keywords/>
  <dc:description/>
  <cp:lastModifiedBy>WangSM</cp:lastModifiedBy>
  <cp:revision>117</cp:revision>
  <dcterms:created xsi:type="dcterms:W3CDTF">2021-04-03T04:21:00Z</dcterms:created>
  <dcterms:modified xsi:type="dcterms:W3CDTF">2021-04-22T01:15:00Z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