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5D2" w:rsidRDefault="006C15D2" w:rsidP="00D81ED1">
      <w:pPr>
        <w:spacing w:line="480" w:lineRule="auto"/>
        <w:outlineLvl w:val="0"/>
      </w:pPr>
      <w:bookmarkStart w:id="0" w:name="_GoBack"/>
      <w:bookmarkEnd w:id="0"/>
      <w:r w:rsidRPr="00F3387F">
        <w:rPr>
          <w:b/>
          <w:u w:val="single"/>
        </w:rPr>
        <w:t>Supplementary Appendix</w:t>
      </w:r>
      <w:r w:rsidR="00F3387F" w:rsidRPr="00F3387F">
        <w:rPr>
          <w:b/>
          <w:u w:val="single"/>
        </w:rPr>
        <w:t xml:space="preserve"> for article: </w:t>
      </w:r>
      <w:bookmarkStart w:id="1" w:name="_Ref463962117"/>
      <w:r w:rsidR="00F3387F" w:rsidRPr="00F3387F">
        <w:rPr>
          <w:b/>
          <w:szCs w:val="24"/>
          <w:u w:val="single"/>
        </w:rPr>
        <w:t>C</w:t>
      </w:r>
      <w:bookmarkEnd w:id="1"/>
      <w:r w:rsidR="00F3387F" w:rsidRPr="00F3387F">
        <w:rPr>
          <w:b/>
          <w:szCs w:val="24"/>
          <w:u w:val="single"/>
        </w:rPr>
        <w:t>linical Concepts and Commentary: Operating Room Crisis Checklists and Emergency Manuals</w:t>
      </w:r>
    </w:p>
    <w:p w:rsidR="00F3387F" w:rsidRDefault="00F3387F">
      <w:pPr>
        <w:rPr>
          <w:b/>
        </w:rPr>
      </w:pPr>
    </w:p>
    <w:p w:rsidR="006C15D2" w:rsidRPr="00BE4CB8" w:rsidRDefault="00BE4CB8">
      <w:pPr>
        <w:rPr>
          <w:b/>
        </w:rPr>
      </w:pPr>
      <w:r w:rsidRPr="00BE4CB8">
        <w:rPr>
          <w:b/>
        </w:rPr>
        <w:t xml:space="preserve">Supplementary Material on </w:t>
      </w:r>
      <w:r w:rsidR="006C15D2" w:rsidRPr="00BE4CB8">
        <w:rPr>
          <w:b/>
        </w:rPr>
        <w:t xml:space="preserve">Early </w:t>
      </w:r>
      <w:r w:rsidRPr="00BE4CB8">
        <w:rPr>
          <w:b/>
        </w:rPr>
        <w:t xml:space="preserve">Examples of </w:t>
      </w:r>
      <w:r w:rsidR="006C15D2" w:rsidRPr="00BE4CB8">
        <w:rPr>
          <w:b/>
        </w:rPr>
        <w:t>Aviation Findings on Human Error:</w:t>
      </w:r>
    </w:p>
    <w:p w:rsidR="006C15D2" w:rsidRDefault="006C15D2"/>
    <w:p w:rsidR="004D56E8" w:rsidRDefault="006C15D2" w:rsidP="00E122A2">
      <w:pPr>
        <w:pStyle w:val="ColorfulList-Accent11"/>
        <w:spacing w:line="480" w:lineRule="auto"/>
        <w:ind w:left="0" w:firstLine="720"/>
        <w:contextualSpacing w:val="0"/>
        <w:rPr>
          <w:rFonts w:ascii="Times New Roman" w:hAnsi="Times New Roman"/>
          <w:sz w:val="24"/>
          <w:szCs w:val="24"/>
        </w:rPr>
      </w:pPr>
      <w:r w:rsidRPr="00462601">
        <w:rPr>
          <w:rFonts w:ascii="Times New Roman" w:hAnsi="Times New Roman"/>
          <w:sz w:val="24"/>
          <w:szCs w:val="24"/>
        </w:rPr>
        <w:t xml:space="preserve">The following are just some examples of these types of failures noted in the aviation literature </w:t>
      </w:r>
      <w:r w:rsidRPr="006C15D2">
        <w:rPr>
          <w:rFonts w:ascii="Times New Roman" w:hAnsi="Times New Roman"/>
          <w:sz w:val="24"/>
          <w:szCs w:val="24"/>
        </w:rPr>
        <w:t xml:space="preserve">as the principles of Crew Resource Management were being developed and adopted </w:t>
      </w:r>
      <w:r w:rsidRPr="00462601">
        <w:rPr>
          <w:rFonts w:ascii="Times New Roman" w:hAnsi="Times New Roman"/>
          <w:sz w:val="24"/>
          <w:szCs w:val="24"/>
        </w:rPr>
        <w:t>(one can imagine analogous situations in the operating room): (1) “A crew, distracted by the failure of a landing gear indicator light, fail[s] to notice that the automatic pilot was disengaged allowing the aircraft to descen[d] into a swamp”; (2) “A crew, distracted by nonoperational communication, fail[s] to complete checklists and crash[es] on take-off because the flaps were not extended”; (3) “A crew crash[es] on take-off because of icing on the wings…failure of a flight attendant to communicate credible concerns about the need for de-icing….”</w:t>
      </w:r>
      <w:r>
        <w:rPr>
          <w:rStyle w:val="EndnoteReference"/>
          <w:rFonts w:ascii="Times New Roman" w:hAnsi="Times New Roman"/>
          <w:sz w:val="24"/>
          <w:szCs w:val="24"/>
        </w:rPr>
        <w:endnoteReference w:id="1"/>
      </w:r>
      <w:r w:rsidRPr="00462601">
        <w:rPr>
          <w:rFonts w:ascii="Times New Roman" w:hAnsi="Times New Roman"/>
          <w:sz w:val="24"/>
          <w:szCs w:val="24"/>
        </w:rPr>
        <w:t xml:space="preserve">  </w:t>
      </w:r>
      <w:r>
        <w:rPr>
          <w:rFonts w:ascii="Times New Roman" w:hAnsi="Times New Roman"/>
          <w:sz w:val="24"/>
          <w:szCs w:val="24"/>
        </w:rPr>
        <w:t xml:space="preserve">Supplemental </w:t>
      </w:r>
      <w:r w:rsidRPr="00462601">
        <w:rPr>
          <w:rFonts w:ascii="Times New Roman" w:hAnsi="Times New Roman"/>
          <w:sz w:val="24"/>
          <w:szCs w:val="24"/>
        </w:rPr>
        <w:t xml:space="preserve">Figure 1 shows a report by the National Aeronautics and Space Administration (NASA) on the nature and frequency of information transfer problems from an analysis of 12,373 consecutive reports to their Aviation Safety Reporting System from May 1978 to July 1980 (over 70% of these reports were found to have at least one information transfer problem).  Communication was a problem, and less than 3% of this problem was due to failure in equipment.  </w:t>
      </w:r>
    </w:p>
    <w:p w:rsidR="004D56E8" w:rsidRDefault="00BE4CB8" w:rsidP="004D56E8">
      <w:pPr>
        <w:pStyle w:val="ColorfulList-Accent11"/>
        <w:spacing w:line="480" w:lineRule="auto"/>
        <w:ind w:left="0"/>
        <w:contextualSpacing w:val="0"/>
        <w:rPr>
          <w:rFonts w:ascii="Times New Roman" w:hAnsi="Times New Roman"/>
          <w:b/>
          <w:sz w:val="24"/>
          <w:szCs w:val="24"/>
        </w:rPr>
      </w:pPr>
      <w:r>
        <w:rPr>
          <w:rFonts w:ascii="Times New Roman" w:hAnsi="Times New Roman"/>
          <w:b/>
          <w:sz w:val="24"/>
          <w:szCs w:val="24"/>
        </w:rPr>
        <w:t xml:space="preserve">Supplementary Material on </w:t>
      </w:r>
      <w:r w:rsidR="004D56E8">
        <w:rPr>
          <w:rFonts w:ascii="Times New Roman" w:hAnsi="Times New Roman"/>
          <w:b/>
          <w:sz w:val="24"/>
          <w:szCs w:val="24"/>
        </w:rPr>
        <w:t>Clinical Implementation</w:t>
      </w:r>
      <w:r>
        <w:rPr>
          <w:rFonts w:ascii="Times New Roman" w:hAnsi="Times New Roman"/>
          <w:b/>
          <w:sz w:val="24"/>
          <w:szCs w:val="24"/>
        </w:rPr>
        <w:t xml:space="preserve"> of Crisis Checklists and Emergency Manuals</w:t>
      </w:r>
      <w:r w:rsidR="004D56E8">
        <w:rPr>
          <w:rFonts w:ascii="Times New Roman" w:hAnsi="Times New Roman"/>
          <w:b/>
          <w:sz w:val="24"/>
          <w:szCs w:val="24"/>
        </w:rPr>
        <w:t>:</w:t>
      </w:r>
    </w:p>
    <w:p w:rsidR="004D56E8" w:rsidRPr="008912F5" w:rsidRDefault="00C65D76" w:rsidP="004D56E8">
      <w:pPr>
        <w:pStyle w:val="PlainText"/>
        <w:spacing w:line="480" w:lineRule="auto"/>
        <w:ind w:firstLine="720"/>
        <w:rPr>
          <w:rFonts w:ascii="Times New Roman" w:hAnsi="Times New Roman"/>
          <w:sz w:val="24"/>
          <w:szCs w:val="24"/>
        </w:rPr>
      </w:pPr>
      <w:r>
        <w:rPr>
          <w:rFonts w:ascii="Times New Roman" w:hAnsi="Times New Roman"/>
          <w:sz w:val="24"/>
          <w:szCs w:val="24"/>
        </w:rPr>
        <w:t xml:space="preserve">Customization: </w:t>
      </w:r>
      <w:r w:rsidR="004D56E8" w:rsidRPr="008912F5">
        <w:rPr>
          <w:rFonts w:ascii="Times New Roman" w:hAnsi="Times New Roman"/>
          <w:sz w:val="24"/>
          <w:szCs w:val="24"/>
        </w:rPr>
        <w:t xml:space="preserve">Individual institutions play a key role in customizing these tools to conform to local practice patterns, and all should include useful local emergency phone numbers.  Elements such as medication names, device models/settings, and other components can vary across institutions.  Institutions that perform a high proportion of pediatric anesthesia may want </w:t>
      </w:r>
      <w:r w:rsidR="004D56E8" w:rsidRPr="008912F5">
        <w:rPr>
          <w:rFonts w:ascii="Times New Roman" w:hAnsi="Times New Roman"/>
          <w:sz w:val="24"/>
          <w:szCs w:val="24"/>
        </w:rPr>
        <w:lastRenderedPageBreak/>
        <w:t>to highlight the Critical Events Checklists from the Society for Pediatric Anesthesia.  To cite the Institute of Medicine: “trying to redesign organizational structures…and revise organizational cultures without taking into account the specific needs of team and individuals is likely to be an exercise in frustration.”</w:t>
      </w:r>
      <w:r w:rsidR="004D56E8" w:rsidRPr="008912F5">
        <w:rPr>
          <w:rStyle w:val="EndnoteReference"/>
          <w:rFonts w:ascii="Times New Roman" w:hAnsi="Times New Roman"/>
          <w:sz w:val="24"/>
          <w:szCs w:val="24"/>
        </w:rPr>
        <w:endnoteReference w:id="2"/>
      </w:r>
      <w:r w:rsidR="004D56E8" w:rsidRPr="008912F5">
        <w:rPr>
          <w:rFonts w:ascii="Times New Roman" w:hAnsi="Times New Roman"/>
          <w:sz w:val="24"/>
          <w:szCs w:val="24"/>
          <w:vertAlign w:val="superscript"/>
        </w:rPr>
        <w:t>,</w:t>
      </w:r>
      <w:r w:rsidR="004D56E8" w:rsidRPr="008912F5">
        <w:rPr>
          <w:rStyle w:val="EndnoteReference"/>
          <w:rFonts w:ascii="Times New Roman" w:hAnsi="Times New Roman"/>
          <w:sz w:val="24"/>
          <w:szCs w:val="24"/>
        </w:rPr>
        <w:endnoteReference w:id="3"/>
      </w:r>
      <w:r w:rsidR="004D56E8" w:rsidRPr="008912F5">
        <w:rPr>
          <w:rFonts w:ascii="Times New Roman" w:hAnsi="Times New Roman"/>
          <w:sz w:val="24"/>
          <w:szCs w:val="24"/>
        </w:rPr>
        <w:t xml:space="preserve">  </w:t>
      </w:r>
    </w:p>
    <w:p w:rsidR="004D56E8" w:rsidRDefault="00C65D76" w:rsidP="004D56E8">
      <w:pPr>
        <w:pStyle w:val="PlainText"/>
        <w:spacing w:line="480" w:lineRule="auto"/>
        <w:ind w:firstLine="720"/>
        <w:rPr>
          <w:rFonts w:ascii="Times New Roman" w:hAnsi="Times New Roman"/>
          <w:sz w:val="24"/>
          <w:szCs w:val="24"/>
        </w:rPr>
      </w:pPr>
      <w:r>
        <w:rPr>
          <w:rFonts w:ascii="Times New Roman" w:hAnsi="Times New Roman"/>
          <w:sz w:val="24"/>
          <w:szCs w:val="24"/>
        </w:rPr>
        <w:t xml:space="preserve">Training: </w:t>
      </w:r>
      <w:r w:rsidR="004D56E8">
        <w:rPr>
          <w:rFonts w:ascii="Times New Roman" w:hAnsi="Times New Roman"/>
          <w:sz w:val="24"/>
          <w:szCs w:val="24"/>
        </w:rPr>
        <w:t xml:space="preserve">Along with making cognitive aids accessible, all operating room health care workers who may be part of the team during a crisis should be familiarized with their use.  Simulation is likely one of the most impactful means to train teams in appropriate use of the manuals, </w:t>
      </w:r>
      <w:r w:rsidR="004D56E8" w:rsidRPr="008912F5">
        <w:rPr>
          <w:rFonts w:ascii="Times New Roman" w:hAnsi="Times New Roman"/>
          <w:sz w:val="24"/>
          <w:szCs w:val="24"/>
        </w:rPr>
        <w:t>particularly when combined with other lower-cost methods to increase exposures. The actual</w:t>
      </w:r>
      <w:r w:rsidR="004D56E8">
        <w:rPr>
          <w:rFonts w:ascii="Times New Roman" w:hAnsi="Times New Roman"/>
          <w:sz w:val="24"/>
          <w:szCs w:val="24"/>
        </w:rPr>
        <w:t xml:space="preserve"> best practices for training and optimal set-up of simulations have yet to be determined. Yet, we believe it is fairly clear that, </w:t>
      </w:r>
      <w:r w:rsidR="004D56E8">
        <w:rPr>
          <w:rFonts w:ascii="Times New Roman" w:hAnsi="Times New Roman"/>
          <w:iCs/>
          <w:sz w:val="24"/>
          <w:szCs w:val="24"/>
        </w:rPr>
        <w:t>for cognitive aids to have their intended effect, t</w:t>
      </w:r>
      <w:r w:rsidR="004D56E8" w:rsidRPr="00064883">
        <w:rPr>
          <w:rFonts w:ascii="Times New Roman" w:hAnsi="Times New Roman"/>
          <w:sz w:val="24"/>
          <w:szCs w:val="24"/>
        </w:rPr>
        <w:t xml:space="preserve">eam training </w:t>
      </w:r>
      <w:r w:rsidR="004D56E8">
        <w:rPr>
          <w:rFonts w:ascii="Times New Roman" w:hAnsi="Times New Roman"/>
          <w:sz w:val="24"/>
          <w:szCs w:val="24"/>
        </w:rPr>
        <w:t xml:space="preserve">efforts are necessary in conjunction with broad clinical </w:t>
      </w:r>
      <w:r w:rsidR="004D56E8" w:rsidRPr="00064883">
        <w:rPr>
          <w:rFonts w:ascii="Times New Roman" w:hAnsi="Times New Roman"/>
          <w:sz w:val="24"/>
          <w:szCs w:val="24"/>
        </w:rPr>
        <w:t xml:space="preserve">implementation </w:t>
      </w:r>
      <w:r w:rsidR="004D56E8">
        <w:rPr>
          <w:rFonts w:ascii="Times New Roman" w:hAnsi="Times New Roman"/>
          <w:sz w:val="24"/>
          <w:szCs w:val="24"/>
        </w:rPr>
        <w:t>efforts so that the concept penetrates deeply into the culture</w:t>
      </w:r>
      <w:r w:rsidR="004D56E8" w:rsidRPr="00FE2674">
        <w:rPr>
          <w:rFonts w:ascii="Times New Roman" w:hAnsi="Times New Roman"/>
          <w:iCs/>
          <w:sz w:val="24"/>
          <w:szCs w:val="24"/>
        </w:rPr>
        <w:t xml:space="preserve">.  </w:t>
      </w:r>
    </w:p>
    <w:p w:rsidR="008B4A2A" w:rsidRDefault="008B4A2A" w:rsidP="008B4A2A">
      <w:pPr>
        <w:pStyle w:val="PlainText"/>
        <w:spacing w:line="480" w:lineRule="auto"/>
        <w:ind w:firstLine="720"/>
        <w:rPr>
          <w:rFonts w:ascii="Times New Roman" w:hAnsi="Times New Roman"/>
          <w:iCs/>
          <w:sz w:val="24"/>
          <w:szCs w:val="24"/>
        </w:rPr>
      </w:pPr>
      <w:r>
        <w:rPr>
          <w:rFonts w:ascii="Times New Roman" w:hAnsi="Times New Roman"/>
          <w:sz w:val="24"/>
          <w:szCs w:val="24"/>
        </w:rPr>
        <w:t>For emergency manuals to be effective tools, they must be</w:t>
      </w:r>
      <w:r w:rsidRPr="00810051">
        <w:rPr>
          <w:rFonts w:ascii="Times New Roman" w:hAnsi="Times New Roman"/>
          <w:sz w:val="24"/>
          <w:szCs w:val="24"/>
        </w:rPr>
        <w:t xml:space="preserve"> </w:t>
      </w:r>
      <w:r>
        <w:rPr>
          <w:rFonts w:ascii="Times New Roman" w:hAnsi="Times New Roman"/>
          <w:sz w:val="24"/>
          <w:szCs w:val="24"/>
        </w:rPr>
        <w:t xml:space="preserve">easily </w:t>
      </w:r>
      <w:r w:rsidRPr="00810051">
        <w:rPr>
          <w:rFonts w:ascii="Times New Roman" w:hAnsi="Times New Roman"/>
          <w:sz w:val="24"/>
          <w:szCs w:val="24"/>
        </w:rPr>
        <w:t>usable</w:t>
      </w:r>
      <w:r>
        <w:rPr>
          <w:rFonts w:ascii="Times New Roman" w:hAnsi="Times New Roman"/>
          <w:sz w:val="24"/>
          <w:szCs w:val="24"/>
        </w:rPr>
        <w:t xml:space="preserve"> and</w:t>
      </w:r>
      <w:r w:rsidRPr="00810051">
        <w:rPr>
          <w:rFonts w:ascii="Times New Roman" w:hAnsi="Times New Roman"/>
          <w:sz w:val="24"/>
          <w:szCs w:val="24"/>
        </w:rPr>
        <w:t xml:space="preserve"> </w:t>
      </w:r>
      <w:r>
        <w:rPr>
          <w:rFonts w:ascii="Times New Roman" w:hAnsi="Times New Roman"/>
          <w:sz w:val="24"/>
          <w:szCs w:val="24"/>
        </w:rPr>
        <w:t xml:space="preserve">contain </w:t>
      </w:r>
      <w:r w:rsidRPr="00810051">
        <w:rPr>
          <w:rFonts w:ascii="Times New Roman" w:hAnsi="Times New Roman"/>
          <w:sz w:val="24"/>
          <w:szCs w:val="24"/>
        </w:rPr>
        <w:t xml:space="preserve">the key content that is at the greatest risk of being missed.  </w:t>
      </w:r>
      <w:r w:rsidRPr="00167489">
        <w:rPr>
          <w:rFonts w:ascii="Times New Roman" w:hAnsi="Times New Roman"/>
          <w:sz w:val="24"/>
          <w:szCs w:val="24"/>
        </w:rPr>
        <w:t xml:space="preserve">A recent review of the use of cognitive aids during anesthetic emergencies </w:t>
      </w:r>
      <w:r>
        <w:rPr>
          <w:rFonts w:ascii="Times New Roman" w:hAnsi="Times New Roman"/>
          <w:sz w:val="24"/>
          <w:szCs w:val="24"/>
        </w:rPr>
        <w:t>noted</w:t>
      </w:r>
      <w:r w:rsidRPr="00167489">
        <w:rPr>
          <w:rFonts w:ascii="Times New Roman" w:hAnsi="Times New Roman"/>
          <w:sz w:val="24"/>
          <w:szCs w:val="24"/>
        </w:rPr>
        <w:t xml:space="preserve"> that </w:t>
      </w:r>
      <w:r>
        <w:rPr>
          <w:rFonts w:ascii="Times New Roman" w:eastAsia="Times New Roman" w:hAnsi="Times New Roman"/>
          <w:sz w:val="24"/>
          <w:szCs w:val="24"/>
        </w:rPr>
        <w:t>human factors design of cognitive aids is seldom considered.</w:t>
      </w:r>
      <w:r>
        <w:rPr>
          <w:rStyle w:val="EndnoteReference"/>
          <w:rFonts w:ascii="Times New Roman" w:eastAsia="Times New Roman" w:hAnsi="Times New Roman"/>
          <w:sz w:val="24"/>
          <w:szCs w:val="24"/>
        </w:rPr>
        <w:endnoteReference w:id="4"/>
      </w:r>
      <w:r>
        <w:rPr>
          <w:rFonts w:ascii="Times New Roman" w:eastAsia="Times New Roman" w:hAnsi="Times New Roman"/>
          <w:sz w:val="24"/>
          <w:szCs w:val="24"/>
        </w:rPr>
        <w:t xml:space="preserve">  The author of that review also recommends that, </w:t>
      </w:r>
      <w:r>
        <w:rPr>
          <w:rFonts w:ascii="Times New Roman" w:hAnsi="Times New Roman"/>
          <w:sz w:val="24"/>
          <w:szCs w:val="24"/>
        </w:rPr>
        <w:t xml:space="preserve">in order for cognitive aids to be optimally useful, </w:t>
      </w:r>
      <w:r w:rsidRPr="00167489">
        <w:rPr>
          <w:rFonts w:ascii="Times New Roman" w:eastAsia="Times New Roman" w:hAnsi="Times New Roman"/>
          <w:sz w:val="24"/>
          <w:szCs w:val="24"/>
        </w:rPr>
        <w:t xml:space="preserve">their content needs to be </w:t>
      </w:r>
      <w:r>
        <w:rPr>
          <w:rFonts w:ascii="Times New Roman" w:eastAsia="Times New Roman" w:hAnsi="Times New Roman"/>
          <w:sz w:val="24"/>
          <w:szCs w:val="24"/>
        </w:rPr>
        <w:t>modified as</w:t>
      </w:r>
      <w:r w:rsidRPr="00167489">
        <w:rPr>
          <w:rFonts w:ascii="Times New Roman" w:eastAsia="Times New Roman" w:hAnsi="Times New Roman"/>
          <w:sz w:val="24"/>
          <w:szCs w:val="24"/>
        </w:rPr>
        <w:t xml:space="preserve"> knowledge </w:t>
      </w:r>
      <w:r>
        <w:rPr>
          <w:rFonts w:ascii="Times New Roman" w:eastAsia="Times New Roman" w:hAnsi="Times New Roman"/>
          <w:sz w:val="24"/>
          <w:szCs w:val="24"/>
        </w:rPr>
        <w:t xml:space="preserve">evolves to represent best clinical practice.  In the multiple iterations of crisis checklists and emergency manuals, the expertise of a graphic designer at Harvard and of the Anesthesia Informatics and Media lab at Stanford, as well as simulation-testing at both institutions, were employed with the shared goal of user-centered design.  </w:t>
      </w:r>
      <w:r>
        <w:rPr>
          <w:rFonts w:ascii="Times New Roman" w:hAnsi="Times New Roman"/>
          <w:sz w:val="24"/>
          <w:szCs w:val="24"/>
        </w:rPr>
        <w:t>Illustrative examples of the designs and recommended uses are</w:t>
      </w:r>
      <w:r w:rsidRPr="00AE47D5">
        <w:rPr>
          <w:rFonts w:ascii="Times New Roman" w:hAnsi="Times New Roman"/>
          <w:sz w:val="24"/>
          <w:szCs w:val="24"/>
        </w:rPr>
        <w:t xml:space="preserve"> shown in </w:t>
      </w:r>
      <w:r w:rsidR="00827179">
        <w:rPr>
          <w:rFonts w:ascii="Times New Roman" w:hAnsi="Times New Roman"/>
          <w:sz w:val="24"/>
          <w:szCs w:val="24"/>
        </w:rPr>
        <w:t xml:space="preserve">Supplemental </w:t>
      </w:r>
      <w:r>
        <w:rPr>
          <w:rFonts w:ascii="Times New Roman" w:eastAsia="Times New Roman" w:hAnsi="Times New Roman"/>
          <w:sz w:val="24"/>
          <w:szCs w:val="24"/>
        </w:rPr>
        <w:t>Figures 2</w:t>
      </w:r>
      <w:r w:rsidRPr="00AE47D5">
        <w:rPr>
          <w:rFonts w:ascii="Times New Roman" w:eastAsia="Times New Roman" w:hAnsi="Times New Roman"/>
          <w:sz w:val="24"/>
          <w:szCs w:val="24"/>
        </w:rPr>
        <w:t xml:space="preserve"> </w:t>
      </w:r>
      <w:r w:rsidR="0091104B">
        <w:rPr>
          <w:rFonts w:ascii="Times New Roman" w:eastAsia="Times New Roman" w:hAnsi="Times New Roman"/>
          <w:sz w:val="24"/>
          <w:szCs w:val="24"/>
        </w:rPr>
        <w:t>and 3</w:t>
      </w:r>
      <w:r w:rsidRPr="00AE47D5">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hAnsi="Times New Roman"/>
          <w:iCs/>
          <w:sz w:val="24"/>
          <w:szCs w:val="24"/>
        </w:rPr>
        <w:t xml:space="preserve"> </w:t>
      </w:r>
    </w:p>
    <w:p w:rsidR="008B4A2A" w:rsidRPr="008912F5" w:rsidRDefault="008B4A2A" w:rsidP="008B4A2A">
      <w:pPr>
        <w:pStyle w:val="PlainText"/>
        <w:spacing w:line="480" w:lineRule="auto"/>
        <w:ind w:firstLine="720"/>
        <w:rPr>
          <w:rFonts w:ascii="Times New Roman" w:hAnsi="Times New Roman"/>
          <w:iCs/>
          <w:sz w:val="24"/>
          <w:szCs w:val="24"/>
        </w:rPr>
      </w:pPr>
      <w:r w:rsidRPr="008912F5">
        <w:rPr>
          <w:rFonts w:ascii="Times New Roman" w:hAnsi="Times New Roman"/>
          <w:iCs/>
          <w:sz w:val="24"/>
          <w:szCs w:val="24"/>
        </w:rPr>
        <w:lastRenderedPageBreak/>
        <w:t>Lastly, we comment on the value of ongoing measurement and/or monitoring as this intervention crosses the bridge from simulation to reality.  While the question of unintended consequences is an ongoing area of research,</w:t>
      </w:r>
      <w:r w:rsidRPr="008912F5">
        <w:rPr>
          <w:rStyle w:val="EndnoteReference"/>
          <w:rFonts w:ascii="Times New Roman" w:hAnsi="Times New Roman"/>
          <w:iCs/>
          <w:sz w:val="24"/>
          <w:szCs w:val="24"/>
        </w:rPr>
        <w:endnoteReference w:id="5"/>
      </w:r>
      <w:r w:rsidRPr="008912F5">
        <w:rPr>
          <w:rFonts w:ascii="Times New Roman" w:hAnsi="Times New Roman"/>
          <w:iCs/>
          <w:sz w:val="24"/>
          <w:szCs w:val="24"/>
        </w:rPr>
        <w:t xml:space="preserve"> to date the evidence surrounding this question has been largely anecdotal.</w:t>
      </w:r>
      <w:r w:rsidRPr="008912F5">
        <w:rPr>
          <w:rStyle w:val="EndnoteReference"/>
          <w:rFonts w:ascii="Times New Roman" w:hAnsi="Times New Roman"/>
          <w:iCs/>
          <w:sz w:val="24"/>
          <w:szCs w:val="24"/>
        </w:rPr>
        <w:endnoteReference w:id="6"/>
      </w:r>
      <w:r w:rsidRPr="008912F5">
        <w:rPr>
          <w:rFonts w:ascii="Times New Roman" w:hAnsi="Times New Roman"/>
          <w:iCs/>
          <w:sz w:val="24"/>
          <w:szCs w:val="24"/>
        </w:rPr>
        <w:t xml:space="preserve">  One question that has been raised is the issue of managing emergencies that are not identical to an event in an established checklist or emergency manual. At least in other industries, this issue has precedent. In the airline incident involving the ditching of US Airways flight 1549 on the Hudson River (known by many as the “Miracle on the Hudson”), the NTSB applauded the flight crew’s use of the available dual-engine failure checklist even though it was designed for management at a higher altitude.  The report states: “CVR [cockpit voice recorder] data indicate that the communication and coordination between the captain and first officer were excellent…the first officer progressed through the checklist while the captain was flying the airplane, communicating with ATC [air traffic control], and determining a suitable landing point. In addition, the captain used the first officer as a resource by requesting his input during the accident sequence.”  An anesthesiologist can imagine how these principles could be helpful to emergency management in the operating room.  The NTSB’s response to this event was not to abandon the notion of emergency checklists, but rather call for a new checklist to be made for this low altitude situation.  In their report, the NTSB states: “This accident demonstrates that abnormal events, including a dual-engine failure, can occur at a low altitude and, therefore, that a checklist is clearly needed to address such situations.”</w:t>
      </w:r>
      <w:r w:rsidR="00062DDF">
        <w:rPr>
          <w:rStyle w:val="EndnoteReference"/>
          <w:rFonts w:ascii="Times New Roman" w:hAnsi="Times New Roman"/>
          <w:iCs/>
          <w:sz w:val="24"/>
          <w:szCs w:val="24"/>
        </w:rPr>
        <w:endnoteReference w:id="7"/>
      </w:r>
      <w:r w:rsidRPr="008912F5">
        <w:rPr>
          <w:rFonts w:ascii="Times New Roman" w:hAnsi="Times New Roman"/>
          <w:iCs/>
          <w:sz w:val="24"/>
          <w:szCs w:val="24"/>
        </w:rPr>
        <w:t xml:space="preserve">  As the areas for improvement of crisis checklists and emergency manuals are discovered, we hope the response will be to take this in the context of the large body of evidentiary support for these tools, rather than appeal to resistance as an unequivocal solution.      </w:t>
      </w:r>
    </w:p>
    <w:p w:rsidR="004D56E8" w:rsidRPr="004D56E8" w:rsidRDefault="004D56E8" w:rsidP="004D56E8">
      <w:pPr>
        <w:pStyle w:val="ColorfulList-Accent11"/>
        <w:spacing w:line="480" w:lineRule="auto"/>
        <w:ind w:left="0"/>
        <w:contextualSpacing w:val="0"/>
        <w:rPr>
          <w:rFonts w:ascii="Times New Roman" w:hAnsi="Times New Roman"/>
          <w:b/>
          <w:sz w:val="24"/>
          <w:szCs w:val="24"/>
        </w:rPr>
      </w:pPr>
    </w:p>
    <w:p w:rsidR="006C15D2" w:rsidRPr="006C15D2" w:rsidRDefault="006C15D2"/>
    <w:sectPr w:rsidR="006C15D2" w:rsidRPr="006C15D2" w:rsidSect="00CB2C7D">
      <w:endnotePr>
        <w:numFmt w:val="decimal"/>
      </w:endnotePr>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E647CB" w15:done="0"/>
  <w15:commentEx w15:paraId="325D07E5" w15:done="0"/>
  <w15:commentEx w15:paraId="3604AB2B" w15:done="0"/>
  <w15:commentEx w15:paraId="3C016702" w15:done="0"/>
  <w15:commentEx w15:paraId="1CD99C5C" w15:done="0"/>
  <w15:commentEx w15:paraId="635026B9" w15:paraIdParent="1CD99C5C" w15:done="0"/>
  <w15:commentEx w15:paraId="019678A2" w15:done="0"/>
  <w15:commentEx w15:paraId="049EA23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B07" w:rsidRDefault="00E37B07" w:rsidP="006C15D2">
      <w:r>
        <w:separator/>
      </w:r>
    </w:p>
  </w:endnote>
  <w:endnote w:type="continuationSeparator" w:id="0">
    <w:p w:rsidR="00E37B07" w:rsidRDefault="00E37B07" w:rsidP="006C15D2">
      <w:r>
        <w:continuationSeparator/>
      </w:r>
    </w:p>
  </w:endnote>
  <w:endnote w:id="1">
    <w:p w:rsidR="006C15D2" w:rsidRDefault="006C15D2">
      <w:pPr>
        <w:pStyle w:val="EndnoteText"/>
      </w:pPr>
      <w:r>
        <w:rPr>
          <w:rStyle w:val="EndnoteReference"/>
        </w:rPr>
        <w:endnoteRef/>
      </w:r>
      <w:r>
        <w:t xml:space="preserve"> </w:t>
      </w:r>
      <w:r w:rsidRPr="00C23BFE">
        <w:rPr>
          <w:sz w:val="24"/>
          <w:szCs w:val="24"/>
        </w:rPr>
        <w:t>Kanki B, Helmreich R, Anca J.  Crew Resource Management, 2nd Edition. Amsterdam, Academic Press/Elsevier, 2010</w:t>
      </w:r>
      <w:r>
        <w:rPr>
          <w:sz w:val="24"/>
          <w:szCs w:val="24"/>
        </w:rPr>
        <w:t>.</w:t>
      </w:r>
    </w:p>
  </w:endnote>
  <w:endnote w:id="2">
    <w:p w:rsidR="004D56E8" w:rsidRPr="008912F5" w:rsidRDefault="004D56E8" w:rsidP="004D56E8">
      <w:pPr>
        <w:pStyle w:val="EndnoteText"/>
      </w:pPr>
      <w:r w:rsidRPr="008912F5">
        <w:rPr>
          <w:rStyle w:val="EndnoteReference"/>
        </w:rPr>
        <w:endnoteRef/>
      </w:r>
      <w:r w:rsidRPr="008912F5">
        <w:t xml:space="preserve"> </w:t>
      </w:r>
      <w:r w:rsidRPr="008912F5">
        <w:rPr>
          <w:sz w:val="24"/>
          <w:szCs w:val="24"/>
        </w:rPr>
        <w:t>Institute of Medicine. Crossing the Quality Chasm. Washington, DC: National Academy Press; 2001.</w:t>
      </w:r>
    </w:p>
  </w:endnote>
  <w:endnote w:id="3">
    <w:p w:rsidR="004D56E8" w:rsidRPr="008912F5" w:rsidRDefault="004D56E8" w:rsidP="004D56E8">
      <w:pPr>
        <w:pStyle w:val="EndnoteText"/>
      </w:pPr>
      <w:r w:rsidRPr="008912F5">
        <w:rPr>
          <w:rStyle w:val="EndnoteReference"/>
        </w:rPr>
        <w:endnoteRef/>
      </w:r>
      <w:r w:rsidRPr="00BF1F76">
        <w:rPr>
          <w:lang w:val="da-DK"/>
        </w:rPr>
        <w:t xml:space="preserve"> </w:t>
      </w:r>
      <w:r w:rsidRPr="00BF1F76">
        <w:rPr>
          <w:sz w:val="24"/>
          <w:szCs w:val="24"/>
          <w:lang w:val="da-DK"/>
        </w:rPr>
        <w:t xml:space="preserve">Arriaga AF, Berry WR, Gawande AA.  </w:t>
      </w:r>
      <w:r w:rsidRPr="008912F5">
        <w:rPr>
          <w:sz w:val="24"/>
          <w:szCs w:val="24"/>
        </w:rPr>
        <w:t>On the Better Colectomy Project.  Ann Surg 2010; 252: 409-10.</w:t>
      </w:r>
    </w:p>
  </w:endnote>
  <w:endnote w:id="4">
    <w:p w:rsidR="008B4A2A" w:rsidRPr="00A873D2" w:rsidRDefault="008B4A2A" w:rsidP="008B4A2A">
      <w:pPr>
        <w:pStyle w:val="Heading1"/>
        <w:rPr>
          <w:sz w:val="24"/>
          <w:szCs w:val="24"/>
        </w:rPr>
      </w:pPr>
      <w:r w:rsidRPr="00A873D2">
        <w:rPr>
          <w:rStyle w:val="EndnoteReference"/>
          <w:b w:val="0"/>
          <w:sz w:val="24"/>
          <w:szCs w:val="24"/>
        </w:rPr>
        <w:endnoteRef/>
      </w:r>
      <w:r w:rsidRPr="00A873D2">
        <w:rPr>
          <w:b w:val="0"/>
          <w:sz w:val="24"/>
          <w:szCs w:val="24"/>
        </w:rPr>
        <w:t xml:space="preserve"> </w:t>
      </w:r>
      <w:r w:rsidRPr="00315DDC">
        <w:rPr>
          <w:b w:val="0"/>
          <w:sz w:val="24"/>
          <w:szCs w:val="24"/>
        </w:rPr>
        <w:t>Marshall S</w:t>
      </w:r>
      <w:r w:rsidRPr="00A873D2">
        <w:rPr>
          <w:b w:val="0"/>
          <w:sz w:val="24"/>
          <w:szCs w:val="24"/>
        </w:rPr>
        <w:t xml:space="preserve">.  The use of </w:t>
      </w:r>
      <w:r w:rsidRPr="00A873D2">
        <w:rPr>
          <w:rStyle w:val="highlight"/>
          <w:b w:val="0"/>
          <w:sz w:val="24"/>
          <w:szCs w:val="24"/>
        </w:rPr>
        <w:t>cognitive</w:t>
      </w:r>
      <w:r w:rsidRPr="00A873D2">
        <w:rPr>
          <w:b w:val="0"/>
          <w:sz w:val="24"/>
          <w:szCs w:val="24"/>
        </w:rPr>
        <w:t xml:space="preserve"> </w:t>
      </w:r>
      <w:r w:rsidRPr="00A873D2">
        <w:rPr>
          <w:rStyle w:val="highlight"/>
          <w:b w:val="0"/>
          <w:sz w:val="24"/>
          <w:szCs w:val="24"/>
        </w:rPr>
        <w:t>aids</w:t>
      </w:r>
      <w:r w:rsidRPr="00A873D2">
        <w:rPr>
          <w:b w:val="0"/>
          <w:sz w:val="24"/>
          <w:szCs w:val="24"/>
        </w:rPr>
        <w:t xml:space="preserve"> during </w:t>
      </w:r>
      <w:r w:rsidRPr="00A873D2">
        <w:rPr>
          <w:rStyle w:val="highlight"/>
          <w:b w:val="0"/>
          <w:sz w:val="24"/>
          <w:szCs w:val="24"/>
        </w:rPr>
        <w:t>emergencies</w:t>
      </w:r>
      <w:r w:rsidRPr="00A873D2">
        <w:rPr>
          <w:b w:val="0"/>
          <w:sz w:val="24"/>
          <w:szCs w:val="24"/>
        </w:rPr>
        <w:t xml:space="preserve"> in </w:t>
      </w:r>
      <w:r w:rsidRPr="00A873D2">
        <w:rPr>
          <w:rStyle w:val="highlight"/>
          <w:b w:val="0"/>
          <w:sz w:val="24"/>
          <w:szCs w:val="24"/>
        </w:rPr>
        <w:t>anesthesia</w:t>
      </w:r>
      <w:r w:rsidRPr="00A873D2">
        <w:rPr>
          <w:b w:val="0"/>
          <w:sz w:val="24"/>
          <w:szCs w:val="24"/>
        </w:rPr>
        <w:t xml:space="preserve">: a </w:t>
      </w:r>
      <w:r w:rsidRPr="00A873D2">
        <w:rPr>
          <w:rStyle w:val="highlight"/>
          <w:b w:val="0"/>
          <w:sz w:val="24"/>
          <w:szCs w:val="24"/>
        </w:rPr>
        <w:t>review</w:t>
      </w:r>
      <w:r w:rsidRPr="00A873D2">
        <w:rPr>
          <w:b w:val="0"/>
          <w:sz w:val="24"/>
          <w:szCs w:val="24"/>
        </w:rPr>
        <w:t xml:space="preserve"> of the </w:t>
      </w:r>
      <w:r w:rsidRPr="00A873D2">
        <w:rPr>
          <w:rStyle w:val="highlight"/>
          <w:b w:val="0"/>
          <w:sz w:val="24"/>
          <w:szCs w:val="24"/>
        </w:rPr>
        <w:t>literature</w:t>
      </w:r>
      <w:r w:rsidRPr="00A873D2">
        <w:rPr>
          <w:b w:val="0"/>
          <w:sz w:val="24"/>
          <w:szCs w:val="24"/>
        </w:rPr>
        <w:t xml:space="preserve">.  </w:t>
      </w:r>
      <w:r w:rsidRPr="00315DDC">
        <w:rPr>
          <w:b w:val="0"/>
          <w:sz w:val="24"/>
          <w:szCs w:val="24"/>
        </w:rPr>
        <w:t>Anesth Analg</w:t>
      </w:r>
      <w:r w:rsidRPr="00A873D2">
        <w:rPr>
          <w:b w:val="0"/>
          <w:sz w:val="24"/>
          <w:szCs w:val="24"/>
        </w:rPr>
        <w:t xml:space="preserve"> 2013;117:1162-71.</w:t>
      </w:r>
    </w:p>
  </w:endnote>
  <w:endnote w:id="5">
    <w:p w:rsidR="008B4A2A" w:rsidRPr="00BF1F76" w:rsidRDefault="008B4A2A" w:rsidP="008B4A2A">
      <w:pPr>
        <w:pStyle w:val="EndnoteText"/>
        <w:rPr>
          <w:lang w:val="da-DK"/>
        </w:rPr>
      </w:pPr>
      <w:r w:rsidRPr="008912F5">
        <w:rPr>
          <w:rStyle w:val="EndnoteReference"/>
        </w:rPr>
        <w:endnoteRef/>
      </w:r>
      <w:r w:rsidRPr="008912F5">
        <w:t xml:space="preserve"> </w:t>
      </w:r>
      <w:r w:rsidRPr="008912F5">
        <w:rPr>
          <w:iCs/>
          <w:sz w:val="24"/>
          <w:szCs w:val="24"/>
        </w:rPr>
        <w:t xml:space="preserve">Anesthesia Patient Safety Foundation – Grants – Recipients. Available at: http://www.apsf.org/grants_receipients.php . </w:t>
      </w:r>
      <w:r w:rsidRPr="00BF1F76">
        <w:rPr>
          <w:iCs/>
          <w:sz w:val="24"/>
          <w:szCs w:val="24"/>
          <w:lang w:val="da-DK"/>
        </w:rPr>
        <w:t>Accessed October 7, 2016.</w:t>
      </w:r>
    </w:p>
  </w:endnote>
  <w:endnote w:id="6">
    <w:p w:rsidR="008B4A2A" w:rsidRPr="008912F5" w:rsidRDefault="008B4A2A" w:rsidP="008B4A2A">
      <w:pPr>
        <w:pStyle w:val="EndnoteText"/>
      </w:pPr>
      <w:r w:rsidRPr="008912F5">
        <w:rPr>
          <w:rStyle w:val="EndnoteReference"/>
        </w:rPr>
        <w:endnoteRef/>
      </w:r>
      <w:r w:rsidRPr="00BF1F76">
        <w:rPr>
          <w:lang w:val="da-DK"/>
        </w:rPr>
        <w:t xml:space="preserve"> </w:t>
      </w:r>
      <w:r w:rsidRPr="00BF1F76">
        <w:rPr>
          <w:iCs/>
          <w:sz w:val="24"/>
          <w:szCs w:val="24"/>
          <w:lang w:val="da-DK"/>
        </w:rPr>
        <w:t xml:space="preserve">Szabo A, August DA, Klainer S, Miller AD, Kaye AD, Raemer DB, Urman RD. </w:t>
      </w:r>
      <w:r w:rsidRPr="008912F5">
        <w:rPr>
          <w:iCs/>
          <w:sz w:val="24"/>
          <w:szCs w:val="24"/>
        </w:rPr>
        <w:t>The use of emergency manuals in perioperative crisis management: A cautious approach. J Med Pract Manage 2015; 30: 8-12.</w:t>
      </w:r>
    </w:p>
  </w:endnote>
  <w:endnote w:id="7">
    <w:p w:rsidR="00062DDF" w:rsidRDefault="00062DDF">
      <w:pPr>
        <w:pStyle w:val="EndnoteText"/>
        <w:rPr>
          <w:sz w:val="24"/>
          <w:szCs w:val="24"/>
        </w:rPr>
      </w:pPr>
      <w:r>
        <w:rPr>
          <w:rStyle w:val="EndnoteReference"/>
        </w:rPr>
        <w:endnoteRef/>
      </w:r>
      <w:r>
        <w:t xml:space="preserve"> </w:t>
      </w:r>
      <w:r w:rsidRPr="00A873D2">
        <w:rPr>
          <w:sz w:val="24"/>
          <w:szCs w:val="24"/>
        </w:rPr>
        <w:t>Aircraft accident report: loss of thrust in both engines after encountering a flock of birds and subsequent ditching on the Hudson River. Washington, DC: National Transportation Safety Board, 2010 (</w:t>
      </w:r>
      <w:hyperlink r:id="rId1" w:history="1">
        <w:r w:rsidR="00EF174B" w:rsidRPr="00130C2E">
          <w:rPr>
            <w:rStyle w:val="Hyperlink"/>
            <w:sz w:val="24"/>
            <w:szCs w:val="24"/>
          </w:rPr>
          <w:t>http://www.ntsb.gov/doclib/reports/2010/aar1003.pdf</w:t>
        </w:r>
      </w:hyperlink>
      <w:r w:rsidRPr="00A873D2">
        <w:rPr>
          <w:sz w:val="24"/>
          <w:szCs w:val="24"/>
        </w:rPr>
        <w:t>).</w:t>
      </w:r>
    </w:p>
    <w:p w:rsidR="00EF174B" w:rsidRDefault="00EF174B">
      <w:pPr>
        <w:pStyle w:val="EndnoteText"/>
      </w:pPr>
    </w:p>
    <w:p w:rsidR="00EF174B" w:rsidRDefault="00EF174B">
      <w:pPr>
        <w:pStyle w:val="EndnoteText"/>
      </w:pPr>
    </w:p>
    <w:p w:rsidR="00EF174B" w:rsidRDefault="00EF174B">
      <w:pPr>
        <w:pStyle w:val="EndnoteText"/>
      </w:pPr>
    </w:p>
    <w:p w:rsidR="00EF174B" w:rsidRDefault="00EF174B">
      <w:pPr>
        <w:pStyle w:val="EndnoteText"/>
      </w:pPr>
    </w:p>
    <w:p w:rsidR="00EF174B" w:rsidRDefault="00EF174B">
      <w:pPr>
        <w:pStyle w:val="EndnoteText"/>
      </w:pPr>
    </w:p>
    <w:p w:rsidR="00EF174B" w:rsidRDefault="00EF174B">
      <w:pPr>
        <w:pStyle w:val="EndnoteText"/>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r>
        <w:rPr>
          <w:sz w:val="24"/>
          <w:szCs w:val="24"/>
        </w:rPr>
        <w:t xml:space="preserve">Supplemental Figure 1: </w:t>
      </w:r>
      <w:r w:rsidRPr="00462601">
        <w:rPr>
          <w:sz w:val="24"/>
          <w:szCs w:val="24"/>
        </w:rPr>
        <w:t>report by the National Aeronautics and Space Administration (NASA) on the nature and frequency of information transfer problems from an analysis of 12,373 consecutive reports to their Aviation Safety Reporting System from May 1978 to July 1980</w:t>
      </w: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rsidP="00E524F8">
      <w:pPr>
        <w:pStyle w:val="PlainText"/>
        <w:rPr>
          <w:rFonts w:ascii="Times New Roman" w:hAnsi="Times New Roman"/>
          <w:iCs/>
          <w:sz w:val="24"/>
          <w:szCs w:val="24"/>
        </w:rPr>
      </w:pPr>
      <w:r w:rsidRPr="00EF174B">
        <w:rPr>
          <w:rFonts w:ascii="Times New Roman" w:hAnsi="Times New Roman"/>
          <w:sz w:val="24"/>
          <w:szCs w:val="24"/>
        </w:rPr>
        <w:t xml:space="preserve">Supplemental Figure </w:t>
      </w:r>
      <w:r w:rsidR="00E524F8">
        <w:rPr>
          <w:rFonts w:ascii="Times New Roman" w:hAnsi="Times New Roman"/>
          <w:sz w:val="24"/>
          <w:szCs w:val="24"/>
        </w:rPr>
        <w:t>2</w:t>
      </w:r>
      <w:r w:rsidRPr="00EF174B">
        <w:rPr>
          <w:rFonts w:ascii="Times New Roman" w:hAnsi="Times New Roman"/>
          <w:sz w:val="24"/>
          <w:szCs w:val="24"/>
        </w:rPr>
        <w:t>:</w:t>
      </w:r>
      <w:r>
        <w:rPr>
          <w:sz w:val="24"/>
          <w:szCs w:val="24"/>
        </w:rPr>
        <w:t xml:space="preserve"> </w:t>
      </w:r>
      <w:r>
        <w:rPr>
          <w:rFonts w:ascii="Times New Roman" w:hAnsi="Times New Roman"/>
          <w:sz w:val="24"/>
          <w:szCs w:val="24"/>
        </w:rPr>
        <w:t xml:space="preserve">Illustrative example of the design and recommended use of the </w:t>
      </w:r>
      <w:r w:rsidR="00E524F8">
        <w:rPr>
          <w:rFonts w:ascii="Times New Roman" w:hAnsi="Times New Roman"/>
          <w:sz w:val="24"/>
          <w:szCs w:val="24"/>
        </w:rPr>
        <w:t>cardiac arrest (ventricular tachycardia/ventricular fibrillation) checklist from Brigham and Women’s Hospital, Harvard Medical School and Ariadne Labs</w:t>
      </w:r>
      <w:r>
        <w:rPr>
          <w:rFonts w:ascii="Times New Roman" w:eastAsia="Times New Roman" w:hAnsi="Times New Roman"/>
          <w:sz w:val="24"/>
          <w:szCs w:val="24"/>
        </w:rPr>
        <w:t xml:space="preserve">  </w:t>
      </w:r>
      <w:r>
        <w:rPr>
          <w:rFonts w:ascii="Times New Roman" w:hAnsi="Times New Roman"/>
          <w:iCs/>
          <w:sz w:val="24"/>
          <w:szCs w:val="24"/>
        </w:rPr>
        <w:t xml:space="preserve"> </w:t>
      </w:r>
    </w:p>
    <w:p w:rsidR="00E524F8" w:rsidRDefault="00E524F8" w:rsidP="00E524F8">
      <w:pPr>
        <w:pStyle w:val="PlainText"/>
        <w:rPr>
          <w:rFonts w:ascii="Times New Roman" w:hAnsi="Times New Roman"/>
          <w:iCs/>
          <w:sz w:val="24"/>
          <w:szCs w:val="24"/>
        </w:rPr>
      </w:pPr>
    </w:p>
    <w:p w:rsidR="00E524F8" w:rsidRDefault="00E524F8" w:rsidP="00E524F8">
      <w:pPr>
        <w:pStyle w:val="PlainText"/>
        <w:rPr>
          <w:rFonts w:ascii="Times New Roman" w:hAnsi="Times New Roman"/>
          <w:iCs/>
          <w:sz w:val="24"/>
          <w:szCs w:val="24"/>
        </w:rPr>
      </w:pPr>
    </w:p>
    <w:p w:rsidR="00EF174B" w:rsidRDefault="00EF174B">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E524F8" w:rsidRDefault="00E524F8">
      <w:pPr>
        <w:pStyle w:val="EndnoteText"/>
        <w:rPr>
          <w:sz w:val="24"/>
          <w:szCs w:val="24"/>
        </w:rPr>
      </w:pPr>
    </w:p>
    <w:p w:rsidR="00DD1E37" w:rsidRDefault="00FA0F10" w:rsidP="00FA0F10">
      <w:pPr>
        <w:pStyle w:val="PlainText"/>
        <w:rPr>
          <w:rFonts w:ascii="Times New Roman" w:hAnsi="Times New Roman"/>
          <w:sz w:val="24"/>
          <w:szCs w:val="24"/>
        </w:rPr>
      </w:pPr>
      <w:r w:rsidRPr="00EF174B">
        <w:rPr>
          <w:rFonts w:ascii="Times New Roman" w:hAnsi="Times New Roman"/>
          <w:sz w:val="24"/>
          <w:szCs w:val="24"/>
        </w:rPr>
        <w:t xml:space="preserve">Supplemental Figure </w:t>
      </w:r>
      <w:r>
        <w:rPr>
          <w:rFonts w:ascii="Times New Roman" w:hAnsi="Times New Roman"/>
          <w:sz w:val="24"/>
          <w:szCs w:val="24"/>
        </w:rPr>
        <w:t>3</w:t>
      </w:r>
      <w:r w:rsidRPr="00EF174B">
        <w:rPr>
          <w:rFonts w:ascii="Times New Roman" w:hAnsi="Times New Roman"/>
          <w:sz w:val="24"/>
          <w:szCs w:val="24"/>
        </w:rPr>
        <w:t>:</w:t>
      </w:r>
      <w:r>
        <w:rPr>
          <w:sz w:val="24"/>
          <w:szCs w:val="24"/>
        </w:rPr>
        <w:t xml:space="preserve"> </w:t>
      </w:r>
      <w:r>
        <w:rPr>
          <w:rFonts w:ascii="Times New Roman" w:hAnsi="Times New Roman"/>
          <w:sz w:val="24"/>
          <w:szCs w:val="24"/>
        </w:rPr>
        <w:t>Illustrative example of the design of the Emergency Manual containing cognitive aids for perioperative critical events from the Stanford Anesthesia Cognitive Aid Group</w:t>
      </w: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DD1E37" w:rsidRDefault="00DD1E37" w:rsidP="00FA0F10">
      <w:pPr>
        <w:pStyle w:val="PlainText"/>
        <w:rPr>
          <w:rFonts w:ascii="Times New Roman" w:hAnsi="Times New Roman"/>
          <w:sz w:val="24"/>
          <w:szCs w:val="24"/>
        </w:rPr>
      </w:pPr>
    </w:p>
    <w:p w:rsidR="00FA0F10" w:rsidRDefault="00FA0F10" w:rsidP="00FA0F10">
      <w:pPr>
        <w:pStyle w:val="PlainText"/>
        <w:rPr>
          <w:rFonts w:ascii="Times New Roman" w:hAnsi="Times New Roman"/>
          <w:iCs/>
          <w:sz w:val="24"/>
          <w:szCs w:val="24"/>
        </w:rPr>
      </w:pPr>
      <w:r>
        <w:rPr>
          <w:rFonts w:ascii="Times New Roman" w:eastAsia="Times New Roman" w:hAnsi="Times New Roman"/>
          <w:sz w:val="24"/>
          <w:szCs w:val="24"/>
        </w:rPr>
        <w:t xml:space="preserve">  </w:t>
      </w:r>
      <w:r>
        <w:rPr>
          <w:rFonts w:ascii="Times New Roman" w:hAnsi="Times New Roman"/>
          <w:iCs/>
          <w:sz w:val="24"/>
          <w:szCs w:val="24"/>
        </w:rPr>
        <w:t xml:space="preserve"> </w:t>
      </w:r>
    </w:p>
    <w:p w:rsidR="00E524F8" w:rsidRDefault="00E524F8">
      <w:pPr>
        <w:pStyle w:val="EndnoteText"/>
        <w:rPr>
          <w:sz w:val="24"/>
          <w:szCs w:val="24"/>
        </w:rPr>
      </w:pPr>
    </w:p>
    <w:p w:rsidR="00E524F8" w:rsidRDefault="00E524F8">
      <w:pPr>
        <w:pStyle w:val="EndnoteText"/>
        <w:rPr>
          <w:sz w:val="24"/>
          <w:szCs w:val="24"/>
        </w:rPr>
      </w:pPr>
    </w:p>
    <w:p w:rsidR="00E524F8" w:rsidRDefault="005638FA">
      <w:pPr>
        <w:pStyle w:val="EndnoteText"/>
        <w:rPr>
          <w:sz w:val="24"/>
          <w:szCs w:val="24"/>
        </w:rPr>
      </w:pPr>
      <w:r>
        <w:rPr>
          <w:sz w:val="24"/>
          <w:szCs w:val="24"/>
        </w:rPr>
        <w:t>Supplemental Figure 1</w:t>
      </w:r>
    </w:p>
    <w:p w:rsidR="005638FA" w:rsidRDefault="005638FA">
      <w:pPr>
        <w:pStyle w:val="EndnoteText"/>
        <w:rPr>
          <w:sz w:val="24"/>
          <w:szCs w:val="24"/>
        </w:rPr>
      </w:pPr>
    </w:p>
    <w:p w:rsidR="005638FA" w:rsidRDefault="005638FA">
      <w:pPr>
        <w:pStyle w:val="EndnoteText"/>
        <w:rPr>
          <w:sz w:val="24"/>
          <w:szCs w:val="24"/>
        </w:rPr>
      </w:pPr>
      <w:r w:rsidRPr="005638FA">
        <w:rPr>
          <w:sz w:val="24"/>
          <w:szCs w:val="24"/>
        </w:rPr>
        <w:drawing>
          <wp:inline distT="0" distB="0" distL="0" distR="0">
            <wp:extent cx="4563110" cy="3310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3110" cy="3313430"/>
                    </a:xfrm>
                    <a:prstGeom prst="rect">
                      <a:avLst/>
                    </a:prstGeom>
                    <a:noFill/>
                  </pic:spPr>
                </pic:pic>
              </a:graphicData>
            </a:graphic>
          </wp:inline>
        </w:drawing>
      </w:r>
    </w:p>
    <w:p w:rsidR="00E524F8" w:rsidRDefault="00E524F8">
      <w:pPr>
        <w:pStyle w:val="EndnoteText"/>
        <w:rPr>
          <w:sz w:val="24"/>
          <w:szCs w:val="24"/>
        </w:rPr>
      </w:pPr>
    </w:p>
    <w:p w:rsidR="00E524F8" w:rsidRDefault="00E524F8">
      <w:pPr>
        <w:pStyle w:val="EndnoteText"/>
        <w:rPr>
          <w:sz w:val="24"/>
          <w:szCs w:val="24"/>
        </w:rPr>
      </w:pPr>
    </w:p>
    <w:p w:rsidR="00EF174B" w:rsidRDefault="00EF174B">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p>
    <w:p w:rsidR="005638FA" w:rsidRDefault="005638FA">
      <w:pPr>
        <w:pStyle w:val="EndnoteText"/>
        <w:rPr>
          <w:sz w:val="24"/>
          <w:szCs w:val="24"/>
        </w:rPr>
      </w:pPr>
      <w:r>
        <w:rPr>
          <w:sz w:val="24"/>
          <w:szCs w:val="24"/>
        </w:rPr>
        <w:t>Supplemental Figure 2</w:t>
      </w:r>
    </w:p>
    <w:p w:rsidR="005638FA" w:rsidRDefault="005638FA">
      <w:pPr>
        <w:pStyle w:val="EndnoteText"/>
        <w:rPr>
          <w:sz w:val="24"/>
          <w:szCs w:val="24"/>
        </w:rPr>
      </w:pPr>
    </w:p>
    <w:p w:rsidR="005638FA" w:rsidRDefault="005638FA">
      <w:pPr>
        <w:pStyle w:val="EndnoteText"/>
        <w:rPr>
          <w:sz w:val="24"/>
          <w:szCs w:val="24"/>
        </w:rPr>
      </w:pPr>
      <w:r w:rsidRPr="005638FA">
        <w:rPr>
          <w:sz w:val="24"/>
          <w:szCs w:val="24"/>
        </w:rPr>
        <w:object w:dxaOrig="7137" w:dyaOrig="5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43.9pt;height:408.15pt" o:ole="">
            <v:imagedata r:id="rId3" o:title=""/>
          </v:shape>
          <o:OLEObject Type="Embed" ProgID="PowerPoint.Slide.12" ShapeID="_x0000_i1044" DrawAspect="Content" ObjectID="_1552324011" r:id="rId4"/>
        </w:object>
      </w:r>
    </w:p>
    <w:p w:rsidR="005638FA" w:rsidRDefault="005638FA">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EF174B">
      <w:pPr>
        <w:pStyle w:val="EndnoteText"/>
        <w:rPr>
          <w:sz w:val="24"/>
          <w:szCs w:val="24"/>
        </w:rPr>
      </w:pPr>
    </w:p>
    <w:p w:rsidR="00EF174B" w:rsidRDefault="005638FA">
      <w:pPr>
        <w:pStyle w:val="EndnoteText"/>
        <w:rPr>
          <w:sz w:val="24"/>
          <w:szCs w:val="24"/>
        </w:rPr>
      </w:pPr>
      <w:r>
        <w:rPr>
          <w:sz w:val="24"/>
          <w:szCs w:val="24"/>
        </w:rPr>
        <w:t>Supplemental Figure 3</w:t>
      </w:r>
    </w:p>
    <w:p w:rsidR="005638FA" w:rsidRDefault="005638FA">
      <w:pPr>
        <w:pStyle w:val="EndnoteText"/>
        <w:rPr>
          <w:sz w:val="24"/>
          <w:szCs w:val="24"/>
        </w:rPr>
      </w:pPr>
    </w:p>
    <w:p w:rsidR="005638FA" w:rsidRDefault="005638FA">
      <w:pPr>
        <w:pStyle w:val="EndnoteText"/>
        <w:rPr>
          <w:sz w:val="24"/>
          <w:szCs w:val="24"/>
        </w:rPr>
      </w:pPr>
      <w:r w:rsidRPr="005638FA">
        <w:rPr>
          <w:sz w:val="24"/>
          <w:szCs w:val="24"/>
        </w:rPr>
        <w:object w:dxaOrig="7202" w:dyaOrig="5399">
          <v:shape id="_x0000_i1045" type="#_x0000_t75" style="width:529.7pt;height:397.6pt" o:ole="">
            <v:imagedata r:id="rId5" o:title=""/>
          </v:shape>
          <o:OLEObject Type="Embed" ProgID="PowerPoint.Slide.12" ShapeID="_x0000_i1045" DrawAspect="Content" ObjectID="_1552324012" r:id="rId6"/>
        </w:object>
      </w:r>
    </w:p>
    <w:p w:rsidR="00EF174B" w:rsidRDefault="00EF174B">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B07" w:rsidRDefault="00E37B07" w:rsidP="006C15D2">
      <w:r>
        <w:separator/>
      </w:r>
    </w:p>
  </w:footnote>
  <w:footnote w:type="continuationSeparator" w:id="0">
    <w:p w:rsidR="00E37B07" w:rsidRDefault="00E37B07" w:rsidP="006C15D2">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 Naomi Goldhaber-Fiebert">
    <w15:presenceInfo w15:providerId="None" w15:userId="Sara Naomi Goldhaber-Fieber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footnotePr>
    <w:footnote w:id="-1"/>
    <w:footnote w:id="0"/>
  </w:footnotePr>
  <w:endnotePr>
    <w:numFmt w:val="decimal"/>
    <w:endnote w:id="-1"/>
    <w:endnote w:id="0"/>
  </w:endnotePr>
  <w:compat/>
  <w:rsids>
    <w:rsidRoot w:val="006C15D2"/>
    <w:rsid w:val="00052FA3"/>
    <w:rsid w:val="00062DDF"/>
    <w:rsid w:val="000976E9"/>
    <w:rsid w:val="00286069"/>
    <w:rsid w:val="00342D75"/>
    <w:rsid w:val="003B125F"/>
    <w:rsid w:val="004D56E8"/>
    <w:rsid w:val="005638FA"/>
    <w:rsid w:val="0066595E"/>
    <w:rsid w:val="006C15D2"/>
    <w:rsid w:val="00714CB2"/>
    <w:rsid w:val="00827179"/>
    <w:rsid w:val="00845DA0"/>
    <w:rsid w:val="008B4A2A"/>
    <w:rsid w:val="008F01CA"/>
    <w:rsid w:val="0091104B"/>
    <w:rsid w:val="00984FAB"/>
    <w:rsid w:val="00A22B3F"/>
    <w:rsid w:val="00A60EEA"/>
    <w:rsid w:val="00B660C0"/>
    <w:rsid w:val="00BE4CB8"/>
    <w:rsid w:val="00BF1F76"/>
    <w:rsid w:val="00C2037D"/>
    <w:rsid w:val="00C65D76"/>
    <w:rsid w:val="00CB2C7D"/>
    <w:rsid w:val="00D05B5A"/>
    <w:rsid w:val="00D81ED1"/>
    <w:rsid w:val="00DD1E37"/>
    <w:rsid w:val="00E03380"/>
    <w:rsid w:val="00E122A2"/>
    <w:rsid w:val="00E37B07"/>
    <w:rsid w:val="00E506C8"/>
    <w:rsid w:val="00E524F8"/>
    <w:rsid w:val="00EC043B"/>
    <w:rsid w:val="00EF174B"/>
    <w:rsid w:val="00F3387F"/>
    <w:rsid w:val="00F61162"/>
    <w:rsid w:val="00F648DF"/>
    <w:rsid w:val="00FA0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C7D"/>
  </w:style>
  <w:style w:type="paragraph" w:styleId="Heading1">
    <w:name w:val="heading 1"/>
    <w:basedOn w:val="Normal"/>
    <w:link w:val="Heading1Char"/>
    <w:uiPriority w:val="9"/>
    <w:qFormat/>
    <w:rsid w:val="008B4A2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C15D2"/>
    <w:pPr>
      <w:ind w:left="720"/>
      <w:contextualSpacing/>
    </w:pPr>
    <w:rPr>
      <w:rFonts w:ascii="Calibri" w:eastAsia="Calibri" w:hAnsi="Calibri" w:cs="Times New Roman"/>
      <w:sz w:val="22"/>
    </w:rPr>
  </w:style>
  <w:style w:type="character" w:styleId="CommentReference">
    <w:name w:val="annotation reference"/>
    <w:basedOn w:val="DefaultParagraphFont"/>
    <w:uiPriority w:val="99"/>
    <w:semiHidden/>
    <w:unhideWhenUsed/>
    <w:rsid w:val="006C15D2"/>
    <w:rPr>
      <w:sz w:val="16"/>
      <w:szCs w:val="16"/>
    </w:rPr>
  </w:style>
  <w:style w:type="paragraph" w:styleId="CommentText">
    <w:name w:val="annotation text"/>
    <w:basedOn w:val="Normal"/>
    <w:link w:val="CommentTextChar"/>
    <w:uiPriority w:val="99"/>
    <w:semiHidden/>
    <w:unhideWhenUsed/>
    <w:rsid w:val="006C15D2"/>
    <w:rPr>
      <w:sz w:val="20"/>
      <w:szCs w:val="20"/>
    </w:rPr>
  </w:style>
  <w:style w:type="character" w:customStyle="1" w:styleId="CommentTextChar">
    <w:name w:val="Comment Text Char"/>
    <w:basedOn w:val="DefaultParagraphFont"/>
    <w:link w:val="CommentText"/>
    <w:uiPriority w:val="99"/>
    <w:semiHidden/>
    <w:rsid w:val="006C15D2"/>
    <w:rPr>
      <w:sz w:val="20"/>
      <w:szCs w:val="20"/>
    </w:rPr>
  </w:style>
  <w:style w:type="paragraph" w:styleId="CommentSubject">
    <w:name w:val="annotation subject"/>
    <w:basedOn w:val="CommentText"/>
    <w:next w:val="CommentText"/>
    <w:link w:val="CommentSubjectChar"/>
    <w:uiPriority w:val="99"/>
    <w:semiHidden/>
    <w:unhideWhenUsed/>
    <w:rsid w:val="006C15D2"/>
    <w:rPr>
      <w:b/>
      <w:bCs/>
    </w:rPr>
  </w:style>
  <w:style w:type="character" w:customStyle="1" w:styleId="CommentSubjectChar">
    <w:name w:val="Comment Subject Char"/>
    <w:basedOn w:val="CommentTextChar"/>
    <w:link w:val="CommentSubject"/>
    <w:uiPriority w:val="99"/>
    <w:semiHidden/>
    <w:rsid w:val="006C15D2"/>
    <w:rPr>
      <w:b/>
      <w:bCs/>
      <w:sz w:val="20"/>
      <w:szCs w:val="20"/>
    </w:rPr>
  </w:style>
  <w:style w:type="paragraph" w:styleId="BalloonText">
    <w:name w:val="Balloon Text"/>
    <w:basedOn w:val="Normal"/>
    <w:link w:val="BalloonTextChar"/>
    <w:uiPriority w:val="99"/>
    <w:semiHidden/>
    <w:unhideWhenUsed/>
    <w:rsid w:val="006C1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5D2"/>
    <w:rPr>
      <w:rFonts w:ascii="Segoe UI" w:hAnsi="Segoe UI" w:cs="Segoe UI"/>
      <w:sz w:val="18"/>
      <w:szCs w:val="18"/>
    </w:rPr>
  </w:style>
  <w:style w:type="paragraph" w:styleId="EndnoteText">
    <w:name w:val="endnote text"/>
    <w:basedOn w:val="Normal"/>
    <w:link w:val="EndnoteTextChar"/>
    <w:uiPriority w:val="99"/>
    <w:unhideWhenUsed/>
    <w:rsid w:val="006C15D2"/>
    <w:rPr>
      <w:sz w:val="20"/>
      <w:szCs w:val="20"/>
    </w:rPr>
  </w:style>
  <w:style w:type="character" w:customStyle="1" w:styleId="EndnoteTextChar">
    <w:name w:val="Endnote Text Char"/>
    <w:basedOn w:val="DefaultParagraphFont"/>
    <w:link w:val="EndnoteText"/>
    <w:uiPriority w:val="99"/>
    <w:rsid w:val="006C15D2"/>
    <w:rPr>
      <w:sz w:val="20"/>
      <w:szCs w:val="20"/>
    </w:rPr>
  </w:style>
  <w:style w:type="character" w:styleId="EndnoteReference">
    <w:name w:val="endnote reference"/>
    <w:basedOn w:val="DefaultParagraphFont"/>
    <w:uiPriority w:val="99"/>
    <w:semiHidden/>
    <w:unhideWhenUsed/>
    <w:rsid w:val="006C15D2"/>
    <w:rPr>
      <w:vertAlign w:val="superscript"/>
    </w:rPr>
  </w:style>
  <w:style w:type="paragraph" w:styleId="PlainText">
    <w:name w:val="Plain Text"/>
    <w:basedOn w:val="Normal"/>
    <w:link w:val="PlainTextChar"/>
    <w:uiPriority w:val="99"/>
    <w:unhideWhenUsed/>
    <w:rsid w:val="004D56E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D56E8"/>
    <w:rPr>
      <w:rFonts w:ascii="Consolas" w:eastAsia="Calibri" w:hAnsi="Consolas" w:cs="Times New Roman"/>
      <w:sz w:val="21"/>
      <w:szCs w:val="21"/>
    </w:rPr>
  </w:style>
  <w:style w:type="character" w:customStyle="1" w:styleId="Heading1Char">
    <w:name w:val="Heading 1 Char"/>
    <w:basedOn w:val="DefaultParagraphFont"/>
    <w:link w:val="Heading1"/>
    <w:uiPriority w:val="9"/>
    <w:rsid w:val="008B4A2A"/>
    <w:rPr>
      <w:rFonts w:eastAsia="Times New Roman" w:cs="Times New Roman"/>
      <w:b/>
      <w:bCs/>
      <w:kern w:val="36"/>
      <w:sz w:val="48"/>
      <w:szCs w:val="48"/>
    </w:rPr>
  </w:style>
  <w:style w:type="character" w:customStyle="1" w:styleId="highlight">
    <w:name w:val="highlight"/>
    <w:rsid w:val="008B4A2A"/>
  </w:style>
  <w:style w:type="character" w:styleId="Hyperlink">
    <w:name w:val="Hyperlink"/>
    <w:basedOn w:val="DefaultParagraphFont"/>
    <w:uiPriority w:val="99"/>
    <w:unhideWhenUsed/>
    <w:rsid w:val="00EF174B"/>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C7D"/>
  </w:style>
  <w:style w:type="paragraph" w:styleId="Heading1">
    <w:name w:val="heading 1"/>
    <w:basedOn w:val="Normal"/>
    <w:link w:val="Heading1Char"/>
    <w:uiPriority w:val="9"/>
    <w:qFormat/>
    <w:rsid w:val="008B4A2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C15D2"/>
    <w:pPr>
      <w:ind w:left="720"/>
      <w:contextualSpacing/>
    </w:pPr>
    <w:rPr>
      <w:rFonts w:ascii="Calibri" w:eastAsia="Calibri" w:hAnsi="Calibri" w:cs="Times New Roman"/>
      <w:sz w:val="22"/>
    </w:rPr>
  </w:style>
  <w:style w:type="character" w:styleId="CommentReference">
    <w:name w:val="annotation reference"/>
    <w:basedOn w:val="DefaultParagraphFont"/>
    <w:uiPriority w:val="99"/>
    <w:semiHidden/>
    <w:unhideWhenUsed/>
    <w:rsid w:val="006C15D2"/>
    <w:rPr>
      <w:sz w:val="16"/>
      <w:szCs w:val="16"/>
    </w:rPr>
  </w:style>
  <w:style w:type="paragraph" w:styleId="CommentText">
    <w:name w:val="annotation text"/>
    <w:basedOn w:val="Normal"/>
    <w:link w:val="CommentTextChar"/>
    <w:uiPriority w:val="99"/>
    <w:semiHidden/>
    <w:unhideWhenUsed/>
    <w:rsid w:val="006C15D2"/>
    <w:rPr>
      <w:sz w:val="20"/>
      <w:szCs w:val="20"/>
    </w:rPr>
  </w:style>
  <w:style w:type="character" w:customStyle="1" w:styleId="CommentTextChar">
    <w:name w:val="Comment Text Char"/>
    <w:basedOn w:val="DefaultParagraphFont"/>
    <w:link w:val="CommentText"/>
    <w:uiPriority w:val="99"/>
    <w:semiHidden/>
    <w:rsid w:val="006C15D2"/>
    <w:rPr>
      <w:sz w:val="20"/>
      <w:szCs w:val="20"/>
    </w:rPr>
  </w:style>
  <w:style w:type="paragraph" w:styleId="CommentSubject">
    <w:name w:val="annotation subject"/>
    <w:basedOn w:val="CommentText"/>
    <w:next w:val="CommentText"/>
    <w:link w:val="CommentSubjectChar"/>
    <w:uiPriority w:val="99"/>
    <w:semiHidden/>
    <w:unhideWhenUsed/>
    <w:rsid w:val="006C15D2"/>
    <w:rPr>
      <w:b/>
      <w:bCs/>
    </w:rPr>
  </w:style>
  <w:style w:type="character" w:customStyle="1" w:styleId="CommentSubjectChar">
    <w:name w:val="Comment Subject Char"/>
    <w:basedOn w:val="CommentTextChar"/>
    <w:link w:val="CommentSubject"/>
    <w:uiPriority w:val="99"/>
    <w:semiHidden/>
    <w:rsid w:val="006C15D2"/>
    <w:rPr>
      <w:b/>
      <w:bCs/>
      <w:sz w:val="20"/>
      <w:szCs w:val="20"/>
    </w:rPr>
  </w:style>
  <w:style w:type="paragraph" w:styleId="BalloonText">
    <w:name w:val="Balloon Text"/>
    <w:basedOn w:val="Normal"/>
    <w:link w:val="BalloonTextChar"/>
    <w:uiPriority w:val="99"/>
    <w:semiHidden/>
    <w:unhideWhenUsed/>
    <w:rsid w:val="006C1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5D2"/>
    <w:rPr>
      <w:rFonts w:ascii="Segoe UI" w:hAnsi="Segoe UI" w:cs="Segoe UI"/>
      <w:sz w:val="18"/>
      <w:szCs w:val="18"/>
    </w:rPr>
  </w:style>
  <w:style w:type="paragraph" w:styleId="EndnoteText">
    <w:name w:val="endnote text"/>
    <w:basedOn w:val="Normal"/>
    <w:link w:val="EndnoteTextChar"/>
    <w:uiPriority w:val="99"/>
    <w:unhideWhenUsed/>
    <w:rsid w:val="006C15D2"/>
    <w:rPr>
      <w:sz w:val="20"/>
      <w:szCs w:val="20"/>
    </w:rPr>
  </w:style>
  <w:style w:type="character" w:customStyle="1" w:styleId="EndnoteTextChar">
    <w:name w:val="Endnote Text Char"/>
    <w:basedOn w:val="DefaultParagraphFont"/>
    <w:link w:val="EndnoteText"/>
    <w:uiPriority w:val="99"/>
    <w:rsid w:val="006C15D2"/>
    <w:rPr>
      <w:sz w:val="20"/>
      <w:szCs w:val="20"/>
    </w:rPr>
  </w:style>
  <w:style w:type="character" w:styleId="EndnoteReference">
    <w:name w:val="endnote reference"/>
    <w:basedOn w:val="DefaultParagraphFont"/>
    <w:uiPriority w:val="99"/>
    <w:semiHidden/>
    <w:unhideWhenUsed/>
    <w:rsid w:val="006C15D2"/>
    <w:rPr>
      <w:vertAlign w:val="superscript"/>
    </w:rPr>
  </w:style>
  <w:style w:type="paragraph" w:styleId="PlainText">
    <w:name w:val="Plain Text"/>
    <w:basedOn w:val="Normal"/>
    <w:link w:val="PlainTextChar"/>
    <w:uiPriority w:val="99"/>
    <w:unhideWhenUsed/>
    <w:rsid w:val="004D56E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D56E8"/>
    <w:rPr>
      <w:rFonts w:ascii="Consolas" w:eastAsia="Calibri" w:hAnsi="Consolas" w:cs="Times New Roman"/>
      <w:sz w:val="21"/>
      <w:szCs w:val="21"/>
    </w:rPr>
  </w:style>
  <w:style w:type="character" w:customStyle="1" w:styleId="Heading1Char">
    <w:name w:val="Heading 1 Char"/>
    <w:basedOn w:val="DefaultParagraphFont"/>
    <w:link w:val="Heading1"/>
    <w:uiPriority w:val="9"/>
    <w:rsid w:val="008B4A2A"/>
    <w:rPr>
      <w:rFonts w:eastAsia="Times New Roman" w:cs="Times New Roman"/>
      <w:b/>
      <w:bCs/>
      <w:kern w:val="36"/>
      <w:sz w:val="48"/>
      <w:szCs w:val="48"/>
    </w:rPr>
  </w:style>
  <w:style w:type="character" w:customStyle="1" w:styleId="highlight">
    <w:name w:val="highlight"/>
    <w:rsid w:val="008B4A2A"/>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microsoft.com/office/2007/relationships/stylesWithEffects" Target="stylesWithEffects.xml"/></Relationships>
</file>

<file path=word/_rels/endnotes.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http://www.ntsb.gov/doclib/reports/2010/aar1003.pdf" TargetMode="External"/><Relationship Id="rId6" Type="http://schemas.openxmlformats.org/officeDocument/2006/relationships/package" Target="embeddings/Microsoft_Office_PowerPoint_Slide2.sldx"/><Relationship Id="rId5" Type="http://schemas.openxmlformats.org/officeDocument/2006/relationships/image" Target="media/image3.emf"/><Relationship Id="rId4"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3EA87-66AA-416B-885B-27AC2F23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Arriaga</dc:creator>
  <cp:lastModifiedBy>Partners Information Systems</cp:lastModifiedBy>
  <cp:revision>2</cp:revision>
  <dcterms:created xsi:type="dcterms:W3CDTF">2017-03-30T00:20:00Z</dcterms:created>
  <dcterms:modified xsi:type="dcterms:W3CDTF">2017-03-30T00:20:00Z</dcterms:modified>
</cp:coreProperties>
</file>