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3CF80" w14:textId="77777777" w:rsidR="008E4878" w:rsidRPr="00B625C2" w:rsidRDefault="008E4878" w:rsidP="008E4878">
      <w:pPr>
        <w:autoSpaceDE/>
        <w:autoSpaceDN/>
        <w:rPr>
          <w:rFonts w:ascii="Arial" w:hAnsi="Arial" w:cs="Arial"/>
          <w:sz w:val="40"/>
          <w:szCs w:val="40"/>
          <w:lang w:val="en-US" w:eastAsia="en-US"/>
        </w:rPr>
      </w:pPr>
      <w:bookmarkStart w:id="0" w:name="_Toc358283781"/>
      <w:bookmarkStart w:id="1" w:name="_GoBack"/>
      <w:bookmarkEnd w:id="1"/>
      <w:r w:rsidRPr="00B625C2">
        <w:rPr>
          <w:sz w:val="40"/>
          <w:szCs w:val="40"/>
          <w:lang w:val="en-US"/>
        </w:rPr>
        <w:t>Supplemental Digital Content</w:t>
      </w:r>
    </w:p>
    <w:p w14:paraId="1DFC1B32" w14:textId="77777777" w:rsidR="008E4878" w:rsidRDefault="008E4878" w:rsidP="008E4878">
      <w:pPr>
        <w:autoSpaceDE/>
        <w:autoSpaceDN/>
        <w:rPr>
          <w:rFonts w:ascii="Arial" w:hAnsi="Arial" w:cs="Arial"/>
          <w:sz w:val="65"/>
          <w:szCs w:val="65"/>
          <w:lang w:val="en-US" w:eastAsia="en-US"/>
        </w:rPr>
      </w:pPr>
    </w:p>
    <w:bookmarkEnd w:id="0" w:displacedByCustomXml="next"/>
    <w:sdt>
      <w:sdtPr>
        <w:rPr>
          <w:rFonts w:ascii="Times New Roman" w:eastAsia="Times New Roman" w:hAnsi="Times New Roman" w:cs="Times New Roman"/>
          <w:b w:val="0"/>
          <w:bCs w:val="0"/>
          <w:color w:val="auto"/>
          <w:sz w:val="20"/>
          <w:szCs w:val="20"/>
          <w:lang w:val="fr-FR" w:eastAsia="fr-FR"/>
        </w:rPr>
        <w:id w:val="-1072728120"/>
        <w:docPartObj>
          <w:docPartGallery w:val="Table of Contents"/>
          <w:docPartUnique/>
        </w:docPartObj>
      </w:sdtPr>
      <w:sdtEndPr/>
      <w:sdtContent>
        <w:p w14:paraId="336FDB34" w14:textId="612CD5AB" w:rsidR="00570855" w:rsidRDefault="00570855" w:rsidP="00570855">
          <w:pPr>
            <w:pStyle w:val="TOCHeading"/>
            <w:spacing w:line="480" w:lineRule="auto"/>
            <w:rPr>
              <w:lang w:val="fr-FR"/>
            </w:rPr>
          </w:pPr>
          <w:r>
            <w:rPr>
              <w:lang w:val="fr-FR"/>
            </w:rPr>
            <w:t>Table of Contents</w:t>
          </w:r>
        </w:p>
        <w:p w14:paraId="1C2FF243" w14:textId="77777777" w:rsidR="00570855" w:rsidRPr="00570855" w:rsidRDefault="00570855" w:rsidP="00570855">
          <w:pPr>
            <w:spacing w:line="480" w:lineRule="auto"/>
            <w:rPr>
              <w:lang w:eastAsia="en-US"/>
            </w:rPr>
          </w:pPr>
        </w:p>
        <w:p w14:paraId="7784DDB7" w14:textId="77777777" w:rsidR="00570855" w:rsidRDefault="00570855" w:rsidP="00570855">
          <w:pPr>
            <w:pStyle w:val="TOC1"/>
            <w:tabs>
              <w:tab w:val="right" w:leader="dot" w:pos="9394"/>
            </w:tabs>
            <w:spacing w:line="480" w:lineRule="auto"/>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482278809" w:history="1">
            <w:r w:rsidRPr="00537732">
              <w:rPr>
                <w:rStyle w:val="Hyperlink"/>
                <w:noProof/>
                <w:lang w:val="en-US"/>
              </w:rPr>
              <w:t>Formula used to assess the primary outcome, calculated perioperative blood loss</w:t>
            </w:r>
            <w:r>
              <w:rPr>
                <w:noProof/>
                <w:webHidden/>
              </w:rPr>
              <w:tab/>
            </w:r>
            <w:r>
              <w:rPr>
                <w:noProof/>
                <w:webHidden/>
              </w:rPr>
              <w:fldChar w:fldCharType="begin"/>
            </w:r>
            <w:r>
              <w:rPr>
                <w:noProof/>
                <w:webHidden/>
              </w:rPr>
              <w:instrText xml:space="preserve"> PAGEREF _Toc482278809 \h </w:instrText>
            </w:r>
            <w:r>
              <w:rPr>
                <w:noProof/>
                <w:webHidden/>
              </w:rPr>
            </w:r>
            <w:r>
              <w:rPr>
                <w:noProof/>
                <w:webHidden/>
              </w:rPr>
              <w:fldChar w:fldCharType="separate"/>
            </w:r>
            <w:r>
              <w:rPr>
                <w:noProof/>
                <w:webHidden/>
              </w:rPr>
              <w:t>2</w:t>
            </w:r>
            <w:r>
              <w:rPr>
                <w:noProof/>
                <w:webHidden/>
              </w:rPr>
              <w:fldChar w:fldCharType="end"/>
            </w:r>
          </w:hyperlink>
        </w:p>
        <w:p w14:paraId="3F3ABB3A" w14:textId="77777777" w:rsidR="00570855" w:rsidRDefault="00D80C23" w:rsidP="00570855">
          <w:pPr>
            <w:pStyle w:val="TOC1"/>
            <w:tabs>
              <w:tab w:val="right" w:leader="dot" w:pos="9394"/>
            </w:tabs>
            <w:spacing w:line="480" w:lineRule="auto"/>
            <w:rPr>
              <w:rFonts w:asciiTheme="minorHAnsi" w:eastAsiaTheme="minorEastAsia" w:hAnsiTheme="minorHAnsi" w:cstheme="minorBidi"/>
              <w:noProof/>
              <w:sz w:val="22"/>
              <w:szCs w:val="22"/>
              <w:lang w:val="en-US" w:eastAsia="en-US"/>
            </w:rPr>
          </w:pPr>
          <w:hyperlink w:anchor="_Toc482278810" w:history="1">
            <w:r w:rsidR="00570855" w:rsidRPr="00537732">
              <w:rPr>
                <w:rStyle w:val="Hyperlink"/>
                <w:noProof/>
              </w:rPr>
              <w:t>Assumptions for sample size calculation</w:t>
            </w:r>
            <w:r w:rsidR="00570855">
              <w:rPr>
                <w:noProof/>
                <w:webHidden/>
              </w:rPr>
              <w:tab/>
            </w:r>
            <w:r w:rsidR="00570855">
              <w:rPr>
                <w:noProof/>
                <w:webHidden/>
              </w:rPr>
              <w:fldChar w:fldCharType="begin"/>
            </w:r>
            <w:r w:rsidR="00570855">
              <w:rPr>
                <w:noProof/>
                <w:webHidden/>
              </w:rPr>
              <w:instrText xml:space="preserve"> PAGEREF _Toc482278810 \h </w:instrText>
            </w:r>
            <w:r w:rsidR="00570855">
              <w:rPr>
                <w:noProof/>
                <w:webHidden/>
              </w:rPr>
            </w:r>
            <w:r w:rsidR="00570855">
              <w:rPr>
                <w:noProof/>
                <w:webHidden/>
              </w:rPr>
              <w:fldChar w:fldCharType="separate"/>
            </w:r>
            <w:r w:rsidR="00570855">
              <w:rPr>
                <w:noProof/>
                <w:webHidden/>
              </w:rPr>
              <w:t>3</w:t>
            </w:r>
            <w:r w:rsidR="00570855">
              <w:rPr>
                <w:noProof/>
                <w:webHidden/>
              </w:rPr>
              <w:fldChar w:fldCharType="end"/>
            </w:r>
          </w:hyperlink>
        </w:p>
        <w:p w14:paraId="4B2D82C0" w14:textId="77777777" w:rsidR="00570855" w:rsidRDefault="00D80C23" w:rsidP="00570855">
          <w:pPr>
            <w:pStyle w:val="TOC2"/>
            <w:tabs>
              <w:tab w:val="right" w:leader="dot" w:pos="9394"/>
            </w:tabs>
            <w:spacing w:line="480" w:lineRule="auto"/>
            <w:rPr>
              <w:rFonts w:asciiTheme="minorHAnsi" w:eastAsiaTheme="minorEastAsia" w:hAnsiTheme="minorHAnsi" w:cstheme="minorBidi"/>
              <w:noProof/>
              <w:sz w:val="22"/>
              <w:szCs w:val="22"/>
              <w:lang w:val="en-US" w:eastAsia="en-US"/>
            </w:rPr>
          </w:pPr>
          <w:hyperlink w:anchor="_Toc482278811" w:history="1">
            <w:r w:rsidR="00570855" w:rsidRPr="00537732">
              <w:rPr>
                <w:rStyle w:val="Hyperlink"/>
                <w:noProof/>
                <w:lang w:val="en-US"/>
              </w:rPr>
              <w:t>Studies selected as a basis for blood loss assumptions</w:t>
            </w:r>
            <w:r w:rsidR="00570855">
              <w:rPr>
                <w:noProof/>
                <w:webHidden/>
              </w:rPr>
              <w:tab/>
            </w:r>
            <w:r w:rsidR="00570855">
              <w:rPr>
                <w:noProof/>
                <w:webHidden/>
              </w:rPr>
              <w:fldChar w:fldCharType="begin"/>
            </w:r>
            <w:r w:rsidR="00570855">
              <w:rPr>
                <w:noProof/>
                <w:webHidden/>
              </w:rPr>
              <w:instrText xml:space="preserve"> PAGEREF _Toc482278811 \h </w:instrText>
            </w:r>
            <w:r w:rsidR="00570855">
              <w:rPr>
                <w:noProof/>
                <w:webHidden/>
              </w:rPr>
            </w:r>
            <w:r w:rsidR="00570855">
              <w:rPr>
                <w:noProof/>
                <w:webHidden/>
              </w:rPr>
              <w:fldChar w:fldCharType="separate"/>
            </w:r>
            <w:r w:rsidR="00570855">
              <w:rPr>
                <w:noProof/>
                <w:webHidden/>
              </w:rPr>
              <w:t>3</w:t>
            </w:r>
            <w:r w:rsidR="00570855">
              <w:rPr>
                <w:noProof/>
                <w:webHidden/>
              </w:rPr>
              <w:fldChar w:fldCharType="end"/>
            </w:r>
          </w:hyperlink>
        </w:p>
        <w:p w14:paraId="2BFDE20F" w14:textId="77777777" w:rsidR="00570855" w:rsidRDefault="00D80C23" w:rsidP="00570855">
          <w:pPr>
            <w:pStyle w:val="TOC2"/>
            <w:tabs>
              <w:tab w:val="right" w:leader="dot" w:pos="9394"/>
            </w:tabs>
            <w:spacing w:line="480" w:lineRule="auto"/>
            <w:rPr>
              <w:rFonts w:asciiTheme="minorHAnsi" w:eastAsiaTheme="minorEastAsia" w:hAnsiTheme="minorHAnsi" w:cstheme="minorBidi"/>
              <w:noProof/>
              <w:sz w:val="22"/>
              <w:szCs w:val="22"/>
              <w:lang w:val="en-US" w:eastAsia="en-US"/>
            </w:rPr>
          </w:pPr>
          <w:hyperlink w:anchor="_Toc482278812" w:history="1">
            <w:r w:rsidR="00570855" w:rsidRPr="00537732">
              <w:rPr>
                <w:rStyle w:val="Hyperlink"/>
                <w:noProof/>
                <w:lang w:val="en-US"/>
              </w:rPr>
              <w:t>Estimated blood loss reduction with tranexamic acid</w:t>
            </w:r>
            <w:r w:rsidR="00570855">
              <w:rPr>
                <w:noProof/>
                <w:webHidden/>
              </w:rPr>
              <w:tab/>
            </w:r>
            <w:r w:rsidR="00570855">
              <w:rPr>
                <w:noProof/>
                <w:webHidden/>
              </w:rPr>
              <w:fldChar w:fldCharType="begin"/>
            </w:r>
            <w:r w:rsidR="00570855">
              <w:rPr>
                <w:noProof/>
                <w:webHidden/>
              </w:rPr>
              <w:instrText xml:space="preserve"> PAGEREF _Toc482278812 \h </w:instrText>
            </w:r>
            <w:r w:rsidR="00570855">
              <w:rPr>
                <w:noProof/>
                <w:webHidden/>
              </w:rPr>
            </w:r>
            <w:r w:rsidR="00570855">
              <w:rPr>
                <w:noProof/>
                <w:webHidden/>
              </w:rPr>
              <w:fldChar w:fldCharType="separate"/>
            </w:r>
            <w:r w:rsidR="00570855">
              <w:rPr>
                <w:noProof/>
                <w:webHidden/>
              </w:rPr>
              <w:t>4</w:t>
            </w:r>
            <w:r w:rsidR="00570855">
              <w:rPr>
                <w:noProof/>
                <w:webHidden/>
              </w:rPr>
              <w:fldChar w:fldCharType="end"/>
            </w:r>
          </w:hyperlink>
        </w:p>
        <w:p w14:paraId="45D618EA" w14:textId="77777777" w:rsidR="00570855" w:rsidRDefault="00D80C23" w:rsidP="00570855">
          <w:pPr>
            <w:pStyle w:val="TOC2"/>
            <w:tabs>
              <w:tab w:val="right" w:leader="dot" w:pos="9394"/>
            </w:tabs>
            <w:spacing w:line="480" w:lineRule="auto"/>
            <w:rPr>
              <w:rFonts w:asciiTheme="minorHAnsi" w:eastAsiaTheme="minorEastAsia" w:hAnsiTheme="minorHAnsi" w:cstheme="minorBidi"/>
              <w:noProof/>
              <w:sz w:val="22"/>
              <w:szCs w:val="22"/>
              <w:lang w:val="en-US" w:eastAsia="en-US"/>
            </w:rPr>
          </w:pPr>
          <w:hyperlink w:anchor="_Toc482278813" w:history="1">
            <w:r w:rsidR="00570855" w:rsidRPr="00537732">
              <w:rPr>
                <w:rStyle w:val="Hyperlink"/>
                <w:noProof/>
                <w:lang w:val="en-US"/>
              </w:rPr>
              <w:t>Sample size calculation</w:t>
            </w:r>
            <w:r w:rsidR="00570855">
              <w:rPr>
                <w:noProof/>
                <w:webHidden/>
              </w:rPr>
              <w:tab/>
            </w:r>
            <w:r w:rsidR="00570855">
              <w:rPr>
                <w:noProof/>
                <w:webHidden/>
              </w:rPr>
              <w:fldChar w:fldCharType="begin"/>
            </w:r>
            <w:r w:rsidR="00570855">
              <w:rPr>
                <w:noProof/>
                <w:webHidden/>
              </w:rPr>
              <w:instrText xml:space="preserve"> PAGEREF _Toc482278813 \h </w:instrText>
            </w:r>
            <w:r w:rsidR="00570855">
              <w:rPr>
                <w:noProof/>
                <w:webHidden/>
              </w:rPr>
            </w:r>
            <w:r w:rsidR="00570855">
              <w:rPr>
                <w:noProof/>
                <w:webHidden/>
              </w:rPr>
              <w:fldChar w:fldCharType="separate"/>
            </w:r>
            <w:r w:rsidR="00570855">
              <w:rPr>
                <w:noProof/>
                <w:webHidden/>
              </w:rPr>
              <w:t>4</w:t>
            </w:r>
            <w:r w:rsidR="00570855">
              <w:rPr>
                <w:noProof/>
                <w:webHidden/>
              </w:rPr>
              <w:fldChar w:fldCharType="end"/>
            </w:r>
          </w:hyperlink>
        </w:p>
        <w:p w14:paraId="41869D14" w14:textId="77777777" w:rsidR="00570855" w:rsidRDefault="00D80C23" w:rsidP="00570855">
          <w:pPr>
            <w:pStyle w:val="TOC1"/>
            <w:tabs>
              <w:tab w:val="right" w:leader="dot" w:pos="9394"/>
            </w:tabs>
            <w:spacing w:line="480" w:lineRule="auto"/>
            <w:rPr>
              <w:rFonts w:asciiTheme="minorHAnsi" w:eastAsiaTheme="minorEastAsia" w:hAnsiTheme="minorHAnsi" w:cstheme="minorBidi"/>
              <w:noProof/>
              <w:sz w:val="22"/>
              <w:szCs w:val="22"/>
              <w:lang w:val="en-US" w:eastAsia="en-US"/>
            </w:rPr>
          </w:pPr>
          <w:hyperlink w:anchor="_Toc482278814" w:history="1">
            <w:r w:rsidR="00570855" w:rsidRPr="00537732">
              <w:rPr>
                <w:rStyle w:val="Hyperlink"/>
                <w:noProof/>
                <w:lang w:val="en-US"/>
              </w:rPr>
              <w:t>Report of the methods used for the meta-analysis following the PRISMA guideline</w:t>
            </w:r>
            <w:r w:rsidR="00570855">
              <w:rPr>
                <w:noProof/>
                <w:webHidden/>
              </w:rPr>
              <w:tab/>
            </w:r>
            <w:r w:rsidR="00570855">
              <w:rPr>
                <w:noProof/>
                <w:webHidden/>
              </w:rPr>
              <w:fldChar w:fldCharType="begin"/>
            </w:r>
            <w:r w:rsidR="00570855">
              <w:rPr>
                <w:noProof/>
                <w:webHidden/>
              </w:rPr>
              <w:instrText xml:space="preserve"> PAGEREF _Toc482278814 \h </w:instrText>
            </w:r>
            <w:r w:rsidR="00570855">
              <w:rPr>
                <w:noProof/>
                <w:webHidden/>
              </w:rPr>
            </w:r>
            <w:r w:rsidR="00570855">
              <w:rPr>
                <w:noProof/>
                <w:webHidden/>
              </w:rPr>
              <w:fldChar w:fldCharType="separate"/>
            </w:r>
            <w:r w:rsidR="00570855">
              <w:rPr>
                <w:noProof/>
                <w:webHidden/>
              </w:rPr>
              <w:t>5</w:t>
            </w:r>
            <w:r w:rsidR="00570855">
              <w:rPr>
                <w:noProof/>
                <w:webHidden/>
              </w:rPr>
              <w:fldChar w:fldCharType="end"/>
            </w:r>
          </w:hyperlink>
        </w:p>
        <w:p w14:paraId="6444DA76" w14:textId="77777777" w:rsidR="00570855" w:rsidRDefault="00D80C23" w:rsidP="00570855">
          <w:pPr>
            <w:pStyle w:val="TOC1"/>
            <w:tabs>
              <w:tab w:val="right" w:leader="dot" w:pos="9394"/>
            </w:tabs>
            <w:spacing w:line="480" w:lineRule="auto"/>
            <w:rPr>
              <w:rFonts w:asciiTheme="minorHAnsi" w:eastAsiaTheme="minorEastAsia" w:hAnsiTheme="minorHAnsi" w:cstheme="minorBidi"/>
              <w:noProof/>
              <w:sz w:val="22"/>
              <w:szCs w:val="22"/>
              <w:lang w:val="en-US" w:eastAsia="en-US"/>
            </w:rPr>
          </w:pPr>
          <w:hyperlink w:anchor="_Toc482278815" w:history="1">
            <w:r w:rsidR="00570855" w:rsidRPr="00537732">
              <w:rPr>
                <w:rStyle w:val="Hyperlink"/>
                <w:noProof/>
                <w:lang w:val="en-US"/>
              </w:rPr>
              <w:t>Flow chart of the study selection process</w:t>
            </w:r>
            <w:r w:rsidR="00570855">
              <w:rPr>
                <w:noProof/>
                <w:webHidden/>
              </w:rPr>
              <w:tab/>
            </w:r>
            <w:r w:rsidR="00570855">
              <w:rPr>
                <w:noProof/>
                <w:webHidden/>
              </w:rPr>
              <w:fldChar w:fldCharType="begin"/>
            </w:r>
            <w:r w:rsidR="00570855">
              <w:rPr>
                <w:noProof/>
                <w:webHidden/>
              </w:rPr>
              <w:instrText xml:space="preserve"> PAGEREF _Toc482278815 \h </w:instrText>
            </w:r>
            <w:r w:rsidR="00570855">
              <w:rPr>
                <w:noProof/>
                <w:webHidden/>
              </w:rPr>
            </w:r>
            <w:r w:rsidR="00570855">
              <w:rPr>
                <w:noProof/>
                <w:webHidden/>
              </w:rPr>
              <w:fldChar w:fldCharType="separate"/>
            </w:r>
            <w:r w:rsidR="00570855">
              <w:rPr>
                <w:noProof/>
                <w:webHidden/>
              </w:rPr>
              <w:t>10</w:t>
            </w:r>
            <w:r w:rsidR="00570855">
              <w:rPr>
                <w:noProof/>
                <w:webHidden/>
              </w:rPr>
              <w:fldChar w:fldCharType="end"/>
            </w:r>
          </w:hyperlink>
        </w:p>
        <w:p w14:paraId="407DC4AC" w14:textId="77777777" w:rsidR="00570855" w:rsidRDefault="00D80C23" w:rsidP="00570855">
          <w:pPr>
            <w:pStyle w:val="TOC1"/>
            <w:tabs>
              <w:tab w:val="right" w:leader="dot" w:pos="9394"/>
            </w:tabs>
            <w:spacing w:line="480" w:lineRule="auto"/>
            <w:rPr>
              <w:rFonts w:asciiTheme="minorHAnsi" w:eastAsiaTheme="minorEastAsia" w:hAnsiTheme="minorHAnsi" w:cstheme="minorBidi"/>
              <w:noProof/>
              <w:sz w:val="22"/>
              <w:szCs w:val="22"/>
              <w:lang w:val="en-US" w:eastAsia="en-US"/>
            </w:rPr>
          </w:pPr>
          <w:hyperlink w:anchor="_Toc482278816" w:history="1">
            <w:r w:rsidR="00570855" w:rsidRPr="00537732">
              <w:rPr>
                <w:rStyle w:val="Hyperlink"/>
                <w:noProof/>
                <w:lang w:val="en-US"/>
              </w:rPr>
              <w:t>Summarized results of individual studies included in the meta-analysis</w:t>
            </w:r>
            <w:r w:rsidR="00570855">
              <w:rPr>
                <w:noProof/>
                <w:webHidden/>
              </w:rPr>
              <w:tab/>
            </w:r>
            <w:r w:rsidR="00570855">
              <w:rPr>
                <w:noProof/>
                <w:webHidden/>
              </w:rPr>
              <w:fldChar w:fldCharType="begin"/>
            </w:r>
            <w:r w:rsidR="00570855">
              <w:rPr>
                <w:noProof/>
                <w:webHidden/>
              </w:rPr>
              <w:instrText xml:space="preserve"> PAGEREF _Toc482278816 \h </w:instrText>
            </w:r>
            <w:r w:rsidR="00570855">
              <w:rPr>
                <w:noProof/>
                <w:webHidden/>
              </w:rPr>
            </w:r>
            <w:r w:rsidR="00570855">
              <w:rPr>
                <w:noProof/>
                <w:webHidden/>
              </w:rPr>
              <w:fldChar w:fldCharType="separate"/>
            </w:r>
            <w:r w:rsidR="00570855">
              <w:rPr>
                <w:noProof/>
                <w:webHidden/>
              </w:rPr>
              <w:t>11</w:t>
            </w:r>
            <w:r w:rsidR="00570855">
              <w:rPr>
                <w:noProof/>
                <w:webHidden/>
              </w:rPr>
              <w:fldChar w:fldCharType="end"/>
            </w:r>
          </w:hyperlink>
        </w:p>
        <w:p w14:paraId="33EED23A" w14:textId="77777777" w:rsidR="00570855" w:rsidRDefault="00D80C23" w:rsidP="00570855">
          <w:pPr>
            <w:pStyle w:val="TOC1"/>
            <w:tabs>
              <w:tab w:val="right" w:leader="dot" w:pos="9394"/>
            </w:tabs>
            <w:spacing w:line="480" w:lineRule="auto"/>
            <w:rPr>
              <w:rFonts w:asciiTheme="minorHAnsi" w:eastAsiaTheme="minorEastAsia" w:hAnsiTheme="minorHAnsi" w:cstheme="minorBidi"/>
              <w:noProof/>
              <w:sz w:val="22"/>
              <w:szCs w:val="22"/>
              <w:lang w:val="en-US" w:eastAsia="en-US"/>
            </w:rPr>
          </w:pPr>
          <w:hyperlink w:anchor="_Toc482278817" w:history="1">
            <w:r w:rsidR="00570855" w:rsidRPr="00537732">
              <w:rPr>
                <w:rStyle w:val="Hyperlink"/>
                <w:noProof/>
                <w:lang w:val="en-US"/>
              </w:rPr>
              <w:t>Meta-analysis forest plot for red blood cell transfusion</w:t>
            </w:r>
            <w:r w:rsidR="00570855">
              <w:rPr>
                <w:noProof/>
                <w:webHidden/>
              </w:rPr>
              <w:tab/>
            </w:r>
            <w:r w:rsidR="00570855">
              <w:rPr>
                <w:noProof/>
                <w:webHidden/>
              </w:rPr>
              <w:fldChar w:fldCharType="begin"/>
            </w:r>
            <w:r w:rsidR="00570855">
              <w:rPr>
                <w:noProof/>
                <w:webHidden/>
              </w:rPr>
              <w:instrText xml:space="preserve"> PAGEREF _Toc482278817 \h </w:instrText>
            </w:r>
            <w:r w:rsidR="00570855">
              <w:rPr>
                <w:noProof/>
                <w:webHidden/>
              </w:rPr>
            </w:r>
            <w:r w:rsidR="00570855">
              <w:rPr>
                <w:noProof/>
                <w:webHidden/>
              </w:rPr>
              <w:fldChar w:fldCharType="separate"/>
            </w:r>
            <w:r w:rsidR="00570855">
              <w:rPr>
                <w:noProof/>
                <w:webHidden/>
              </w:rPr>
              <w:t>12</w:t>
            </w:r>
            <w:r w:rsidR="00570855">
              <w:rPr>
                <w:noProof/>
                <w:webHidden/>
              </w:rPr>
              <w:fldChar w:fldCharType="end"/>
            </w:r>
          </w:hyperlink>
        </w:p>
        <w:p w14:paraId="6C03C971" w14:textId="77777777" w:rsidR="00570855" w:rsidRDefault="00D80C23" w:rsidP="00570855">
          <w:pPr>
            <w:pStyle w:val="TOC1"/>
            <w:tabs>
              <w:tab w:val="right" w:leader="dot" w:pos="9394"/>
            </w:tabs>
            <w:spacing w:line="480" w:lineRule="auto"/>
            <w:rPr>
              <w:rFonts w:asciiTheme="minorHAnsi" w:eastAsiaTheme="minorEastAsia" w:hAnsiTheme="minorHAnsi" w:cstheme="minorBidi"/>
              <w:noProof/>
              <w:sz w:val="22"/>
              <w:szCs w:val="22"/>
              <w:lang w:val="en-US" w:eastAsia="en-US"/>
            </w:rPr>
          </w:pPr>
          <w:hyperlink w:anchor="_Toc482278818" w:history="1">
            <w:r w:rsidR="00570855" w:rsidRPr="00537732">
              <w:rPr>
                <w:rStyle w:val="Hyperlink"/>
                <w:noProof/>
              </w:rPr>
              <w:t>References</w:t>
            </w:r>
            <w:r w:rsidR="00570855">
              <w:rPr>
                <w:noProof/>
                <w:webHidden/>
              </w:rPr>
              <w:tab/>
            </w:r>
            <w:r w:rsidR="00570855">
              <w:rPr>
                <w:noProof/>
                <w:webHidden/>
              </w:rPr>
              <w:fldChar w:fldCharType="begin"/>
            </w:r>
            <w:r w:rsidR="00570855">
              <w:rPr>
                <w:noProof/>
                <w:webHidden/>
              </w:rPr>
              <w:instrText xml:space="preserve"> PAGEREF _Toc482278818 \h </w:instrText>
            </w:r>
            <w:r w:rsidR="00570855">
              <w:rPr>
                <w:noProof/>
                <w:webHidden/>
              </w:rPr>
            </w:r>
            <w:r w:rsidR="00570855">
              <w:rPr>
                <w:noProof/>
                <w:webHidden/>
              </w:rPr>
              <w:fldChar w:fldCharType="separate"/>
            </w:r>
            <w:r w:rsidR="00570855">
              <w:rPr>
                <w:noProof/>
                <w:webHidden/>
              </w:rPr>
              <w:t>13</w:t>
            </w:r>
            <w:r w:rsidR="00570855">
              <w:rPr>
                <w:noProof/>
                <w:webHidden/>
              </w:rPr>
              <w:fldChar w:fldCharType="end"/>
            </w:r>
          </w:hyperlink>
        </w:p>
        <w:p w14:paraId="65393BE5" w14:textId="6853F41A" w:rsidR="00570855" w:rsidRDefault="00570855" w:rsidP="00570855">
          <w:pPr>
            <w:spacing w:line="480" w:lineRule="auto"/>
          </w:pPr>
          <w:r>
            <w:rPr>
              <w:b/>
              <w:bCs/>
            </w:rPr>
            <w:fldChar w:fldCharType="end"/>
          </w:r>
        </w:p>
      </w:sdtContent>
    </w:sdt>
    <w:p w14:paraId="5B18DC8A" w14:textId="77777777" w:rsidR="00B625C2" w:rsidRDefault="00B625C2">
      <w:pPr>
        <w:autoSpaceDE/>
        <w:autoSpaceDN/>
        <w:spacing w:after="200" w:line="276" w:lineRule="auto"/>
        <w:rPr>
          <w:rFonts w:ascii="Arial" w:hAnsi="Arial" w:cs="Arial"/>
          <w:b/>
          <w:bCs/>
          <w:sz w:val="28"/>
          <w:szCs w:val="28"/>
          <w:lang w:val="en-US"/>
        </w:rPr>
      </w:pPr>
      <w:r>
        <w:rPr>
          <w:lang w:val="en-US"/>
        </w:rPr>
        <w:br w:type="page"/>
      </w:r>
    </w:p>
    <w:p w14:paraId="3BAF572B" w14:textId="547301CC" w:rsidR="00CB2C03" w:rsidRPr="00B625C2" w:rsidRDefault="00603035" w:rsidP="00B625C2">
      <w:pPr>
        <w:pStyle w:val="Heading1"/>
        <w:rPr>
          <w:lang w:val="en-US"/>
        </w:rPr>
      </w:pPr>
      <w:bookmarkStart w:id="2" w:name="_Toc482278809"/>
      <w:r w:rsidRPr="00B625C2">
        <w:rPr>
          <w:lang w:val="en-US"/>
        </w:rPr>
        <w:lastRenderedPageBreak/>
        <w:t>Formula</w:t>
      </w:r>
      <w:r w:rsidR="009812EB" w:rsidRPr="00B625C2">
        <w:rPr>
          <w:lang w:val="en-US"/>
        </w:rPr>
        <w:t xml:space="preserve"> used to assess the primary outcome</w:t>
      </w:r>
      <w:r w:rsidR="001B2F3D" w:rsidRPr="00B625C2">
        <w:rPr>
          <w:lang w:val="en-US"/>
        </w:rPr>
        <w:t xml:space="preserve">, </w:t>
      </w:r>
      <w:r w:rsidR="009812EB" w:rsidRPr="00B625C2">
        <w:rPr>
          <w:lang w:val="en-US"/>
        </w:rPr>
        <w:t>calculated perioperative blood loss</w:t>
      </w:r>
      <w:bookmarkEnd w:id="2"/>
    </w:p>
    <w:p w14:paraId="50AFCEA2" w14:textId="77777777" w:rsidR="009812EB" w:rsidRDefault="009812EB" w:rsidP="00603035">
      <w:pPr>
        <w:spacing w:line="480" w:lineRule="auto"/>
        <w:rPr>
          <w:lang w:val="en-US"/>
        </w:rPr>
      </w:pPr>
    </w:p>
    <w:p w14:paraId="0396F7AB" w14:textId="09C9307C" w:rsidR="00F30B49" w:rsidRPr="00B625C2" w:rsidRDefault="007034A7" w:rsidP="00B625C2">
      <w:pPr>
        <w:spacing w:line="480" w:lineRule="auto"/>
        <w:rPr>
          <w:b/>
          <w:sz w:val="24"/>
          <w:szCs w:val="24"/>
          <w:lang w:val="en-US"/>
        </w:rPr>
      </w:pPr>
      <w:r w:rsidRPr="00B625C2">
        <w:rPr>
          <w:sz w:val="24"/>
          <w:szCs w:val="24"/>
          <w:lang w:val="en-US"/>
        </w:rPr>
        <w:t>The method used to calculate perioperative blood loss was based on Hb balance as described previously by</w:t>
      </w:r>
      <w:r w:rsidRPr="00B625C2">
        <w:rPr>
          <w:sz w:val="24"/>
          <w:szCs w:val="24"/>
          <w:lang w:val="en-US"/>
        </w:rPr>
        <w:tab/>
        <w:t>Johansson and colleagues</w:t>
      </w:r>
      <w:r w:rsidR="00F30B49" w:rsidRPr="00B625C2">
        <w:rPr>
          <w:sz w:val="24"/>
          <w:szCs w:val="24"/>
          <w:lang w:val="en-US"/>
        </w:rPr>
        <w:t>.</w:t>
      </w:r>
      <w:r w:rsidR="0004310F" w:rsidRPr="00B625C2">
        <w:rPr>
          <w:b/>
          <w:sz w:val="24"/>
          <w:szCs w:val="24"/>
          <w:lang w:val="en-US"/>
        </w:rPr>
        <w:fldChar w:fldCharType="begin"/>
      </w:r>
      <w:r w:rsidR="0004310F" w:rsidRPr="00B625C2">
        <w:rPr>
          <w:sz w:val="24"/>
          <w:szCs w:val="24"/>
          <w:lang w:val="en-US"/>
        </w:rPr>
        <w:instrText xml:space="preserve"> ADDIN ZOTERO_ITEM CSL_CITATION {"citationID":"DUco9ez2","properties":{"formattedCitation":"{\\rtf \\super 1\\nosupersub{}}","plainCitation":"1"},"citationItems":[{"id":629,"uris":["http://zotero.org/users/325870/items/WJU5C5SX"],"uri":["http://zotero.org/users/325870/items/WJU5C5SX"],"itemData":{"id":629,"type":"article-journal","title":"Tranexamic acid in total hip arthroplasty saves blood and money: a randomized, double-blind study in 100 patients","container-title":"Acta Orthopaedica","page":"314-319","volume":"76","issue":"3","source":"PubMed","abstract":"BACKGROUND: A blood transfusion is a costly transplantation of tissue that may endanger the health for the recipient. Blood transfusions are common after total hip arthroplasty. The total saving potential is substantial if the blood loss could be reduced. Studies on the use of tranexamic acid have shown interesting results, but its benefits in total hip arthroplasty have not yet been resolved.\nPATIENTS AND METHODS: 100 patients receiving a total hip arthroplasty (THA) got a single injection of tranexamic acid (15 mg/kg) or placebo intravenously before the start of the operation. The study was double-blind and randomized. Total blood loss was calculated from the hemoglobin (Hb) balance. Volume and Hb concentration of the drainage was measured 24 h after the operation. Intraoperative blood loss was estimated volumetrically and visually.\nRESULTS: The patients who received tranexamic acid (TA) bled less. The total blood loss was on average 0.97 L in the TA group and 1.3 L in the placebo group (p &lt; 0.001). 8/47 (0.2) in the TA group were given blood transfusion versus 23/53 (0.4) in the placebo group (p = 0.009). Drainage volume and drainage Hb concentration were less in the TA group (p &lt; 0.001 and p = 0.001). No thromboembolic complications occurred.\nINTERPRETATION: Considering the cost of blood and tranexamic acid only, use of the drug would save EUR 47 Euro per patient. We recommend a preoperative single dose of tranexamic acid for standard use in THA.","ISSN":"1745-3674","note":"PMID: 16156456","shortTitle":"Tranexamic acid in total hip arthroplasty saves blood and money","journalAbbreviation":"Acta Orthop","language":"eng","author":[{"family":"Johansson","given":"Torsten"},{"family":"Pettersson","given":"Lars-Göran"},{"family":"Lisander","given":"Björn"}],"issued":{"date-parts":[["2005",6]]}}}],"schema":"https://github.com/citation-style-language/schema/raw/master/csl-citation.json"} </w:instrText>
      </w:r>
      <w:r w:rsidR="0004310F" w:rsidRPr="00B625C2">
        <w:rPr>
          <w:b/>
          <w:sz w:val="24"/>
          <w:szCs w:val="24"/>
          <w:lang w:val="en-US"/>
        </w:rPr>
        <w:fldChar w:fldCharType="separate"/>
      </w:r>
      <w:r w:rsidR="0004310F" w:rsidRPr="00B625C2">
        <w:rPr>
          <w:sz w:val="24"/>
          <w:szCs w:val="24"/>
          <w:vertAlign w:val="superscript"/>
          <w:lang w:val="en-US"/>
        </w:rPr>
        <w:t>1</w:t>
      </w:r>
      <w:r w:rsidR="0004310F" w:rsidRPr="00B625C2">
        <w:rPr>
          <w:b/>
          <w:sz w:val="24"/>
          <w:szCs w:val="24"/>
          <w:lang w:val="en-US"/>
        </w:rPr>
        <w:fldChar w:fldCharType="end"/>
      </w:r>
      <w:r w:rsidR="00F30B49" w:rsidRPr="00B625C2">
        <w:rPr>
          <w:sz w:val="24"/>
          <w:szCs w:val="24"/>
          <w:lang w:val="en-US"/>
        </w:rPr>
        <w:t xml:space="preserve"> </w:t>
      </w:r>
    </w:p>
    <w:p w14:paraId="51A8144A" w14:textId="77777777" w:rsidR="007034A7" w:rsidRPr="00B625C2" w:rsidRDefault="00F30B49" w:rsidP="00B625C2">
      <w:pPr>
        <w:spacing w:line="480" w:lineRule="auto"/>
        <w:rPr>
          <w:b/>
          <w:sz w:val="24"/>
          <w:szCs w:val="24"/>
          <w:lang w:val="en-US"/>
        </w:rPr>
      </w:pPr>
      <w:r w:rsidRPr="00B625C2">
        <w:rPr>
          <w:sz w:val="24"/>
          <w:szCs w:val="24"/>
          <w:lang w:val="en-US"/>
        </w:rPr>
        <w:t>The following formulas were used:</w:t>
      </w:r>
    </w:p>
    <w:p w14:paraId="381F4B6D" w14:textId="77777777" w:rsidR="00F30B49" w:rsidRPr="00B625C2" w:rsidRDefault="00F30B49" w:rsidP="00B625C2">
      <w:pPr>
        <w:spacing w:line="480" w:lineRule="auto"/>
        <w:rPr>
          <w:b/>
          <w:sz w:val="24"/>
          <w:szCs w:val="24"/>
          <w:lang w:val="en-US"/>
        </w:rPr>
      </w:pPr>
      <w:r w:rsidRPr="00B625C2">
        <w:rPr>
          <w:sz w:val="24"/>
          <w:szCs w:val="24"/>
          <w:lang w:val="en-US"/>
        </w:rPr>
        <w:t>Hb loss = (Hbpre – Hbe ) × BV + Hbt</w:t>
      </w:r>
    </w:p>
    <w:p w14:paraId="239D67B2" w14:textId="073A26FF" w:rsidR="00F30B49" w:rsidRPr="00B625C2" w:rsidRDefault="00F30B49" w:rsidP="00B625C2">
      <w:pPr>
        <w:spacing w:line="480" w:lineRule="auto"/>
        <w:rPr>
          <w:b/>
          <w:sz w:val="24"/>
          <w:szCs w:val="24"/>
          <w:lang w:val="en-US"/>
        </w:rPr>
      </w:pPr>
      <w:r w:rsidRPr="00B625C2">
        <w:rPr>
          <w:sz w:val="24"/>
          <w:szCs w:val="24"/>
          <w:lang w:val="en-US"/>
        </w:rPr>
        <w:t>Where Hbpre is the initial preoperative Hb concentration (g/</w:t>
      </w:r>
      <w:r w:rsidR="003F06D7" w:rsidRPr="00B625C2">
        <w:rPr>
          <w:sz w:val="24"/>
          <w:szCs w:val="24"/>
          <w:lang w:val="en-US"/>
        </w:rPr>
        <w:t>l</w:t>
      </w:r>
      <w:r w:rsidRPr="00B625C2">
        <w:rPr>
          <w:sz w:val="24"/>
          <w:szCs w:val="24"/>
          <w:lang w:val="en-US"/>
        </w:rPr>
        <w:t>), Hbe is the Hb concentration (g/</w:t>
      </w:r>
      <w:r w:rsidR="003F06D7" w:rsidRPr="00B625C2">
        <w:rPr>
          <w:sz w:val="24"/>
          <w:szCs w:val="24"/>
          <w:lang w:val="en-US"/>
        </w:rPr>
        <w:t>l</w:t>
      </w:r>
      <w:r w:rsidRPr="00B625C2">
        <w:rPr>
          <w:sz w:val="24"/>
          <w:szCs w:val="24"/>
          <w:lang w:val="en-US"/>
        </w:rPr>
        <w:t xml:space="preserve">) </w:t>
      </w:r>
    </w:p>
    <w:p w14:paraId="689FDBFF" w14:textId="77777777" w:rsidR="00F30B49" w:rsidRPr="00B625C2" w:rsidRDefault="00F30B49" w:rsidP="00B625C2">
      <w:pPr>
        <w:spacing w:line="480" w:lineRule="auto"/>
        <w:rPr>
          <w:b/>
          <w:sz w:val="24"/>
          <w:szCs w:val="24"/>
          <w:lang w:val="en-US"/>
        </w:rPr>
      </w:pPr>
      <w:r w:rsidRPr="00B625C2">
        <w:rPr>
          <w:sz w:val="24"/>
          <w:szCs w:val="24"/>
          <w:lang w:val="en-US"/>
        </w:rPr>
        <w:t xml:space="preserve">on the fifth postoperative day, and Hbt is the total amount of allogeneic transfused Hb (g). </w:t>
      </w:r>
    </w:p>
    <w:p w14:paraId="57C7B8A7" w14:textId="0364106E" w:rsidR="00F30B49" w:rsidRPr="00B625C2" w:rsidRDefault="00F30B49" w:rsidP="00B625C2">
      <w:pPr>
        <w:spacing w:line="480" w:lineRule="auto"/>
        <w:rPr>
          <w:sz w:val="24"/>
          <w:szCs w:val="24"/>
          <w:lang w:val="en-US" w:eastAsia="en-US"/>
        </w:rPr>
      </w:pPr>
      <w:r w:rsidRPr="00B625C2">
        <w:rPr>
          <w:sz w:val="24"/>
          <w:szCs w:val="24"/>
          <w:lang w:val="en-US" w:eastAsia="en-US"/>
        </w:rPr>
        <w:t xml:space="preserve">1 unit of </w:t>
      </w:r>
      <w:r w:rsidR="00EC0064" w:rsidRPr="00B625C2">
        <w:rPr>
          <w:sz w:val="24"/>
          <w:szCs w:val="24"/>
          <w:lang w:val="en-US" w:eastAsia="en-US"/>
        </w:rPr>
        <w:t xml:space="preserve">red blood cells </w:t>
      </w:r>
      <w:r w:rsidRPr="00B625C2">
        <w:rPr>
          <w:sz w:val="24"/>
          <w:szCs w:val="24"/>
          <w:lang w:val="en-US" w:eastAsia="en-US"/>
        </w:rPr>
        <w:t>was considered to contain 52 g of Hb (personal communication from Etablissement Français du Sang, Saint Priest en Jarez, France)</w:t>
      </w:r>
      <w:r w:rsidR="00931EA0" w:rsidRPr="00B625C2">
        <w:rPr>
          <w:sz w:val="24"/>
          <w:szCs w:val="24"/>
          <w:lang w:val="en-US" w:eastAsia="en-US"/>
        </w:rPr>
        <w:t>.</w:t>
      </w:r>
    </w:p>
    <w:p w14:paraId="2403B18A" w14:textId="42FADB75" w:rsidR="0004310F" w:rsidRPr="00B625C2" w:rsidRDefault="00931EA0" w:rsidP="00B625C2">
      <w:pPr>
        <w:spacing w:line="480" w:lineRule="auto"/>
        <w:rPr>
          <w:sz w:val="24"/>
          <w:szCs w:val="24"/>
          <w:lang w:val="en-US" w:eastAsia="en-US"/>
        </w:rPr>
      </w:pPr>
      <w:r w:rsidRPr="00B625C2">
        <w:rPr>
          <w:sz w:val="24"/>
          <w:szCs w:val="24"/>
          <w:lang w:val="en-US" w:eastAsia="en-US"/>
        </w:rPr>
        <w:t>We assumed that the blood volume (BV, m</w:t>
      </w:r>
      <w:r w:rsidR="003F06D7" w:rsidRPr="00B625C2">
        <w:rPr>
          <w:sz w:val="24"/>
          <w:szCs w:val="24"/>
          <w:lang w:val="en-US" w:eastAsia="en-US"/>
        </w:rPr>
        <w:t>l</w:t>
      </w:r>
      <w:r w:rsidRPr="00B625C2">
        <w:rPr>
          <w:sz w:val="24"/>
          <w:szCs w:val="24"/>
          <w:lang w:val="en-US" w:eastAsia="en-US"/>
        </w:rPr>
        <w:t>) was normalized on the fifth postoperative day.</w:t>
      </w:r>
    </w:p>
    <w:p w14:paraId="3CBED0ED" w14:textId="2768DF58" w:rsidR="00931EA0" w:rsidRPr="00B625C2" w:rsidRDefault="00931EA0" w:rsidP="00B625C2">
      <w:pPr>
        <w:spacing w:line="480" w:lineRule="auto"/>
        <w:rPr>
          <w:sz w:val="24"/>
          <w:szCs w:val="24"/>
          <w:lang w:val="en-US" w:eastAsia="en-US"/>
        </w:rPr>
      </w:pPr>
      <w:r w:rsidRPr="00B625C2">
        <w:rPr>
          <w:sz w:val="24"/>
          <w:szCs w:val="24"/>
          <w:lang w:val="en-US" w:eastAsia="en-US"/>
        </w:rPr>
        <w:t xml:space="preserve">BV was estimated </w:t>
      </w:r>
      <w:r w:rsidR="0004310F" w:rsidRPr="00B625C2">
        <w:rPr>
          <w:sz w:val="24"/>
          <w:szCs w:val="24"/>
          <w:lang w:val="en-US" w:eastAsia="en-US"/>
        </w:rPr>
        <w:t xml:space="preserve">as described previously by Rosencher and </w:t>
      </w:r>
      <w:r w:rsidR="0004310F" w:rsidRPr="00B625C2">
        <w:rPr>
          <w:sz w:val="24"/>
          <w:szCs w:val="24"/>
          <w:lang w:val="en-US"/>
        </w:rPr>
        <w:t>colleagues</w:t>
      </w:r>
      <w:r w:rsidR="0004310F" w:rsidRPr="00B625C2">
        <w:rPr>
          <w:sz w:val="24"/>
          <w:szCs w:val="24"/>
          <w:lang w:val="en-US"/>
        </w:rPr>
        <w:fldChar w:fldCharType="begin"/>
      </w:r>
      <w:r w:rsidR="00941BCC" w:rsidRPr="00B625C2">
        <w:rPr>
          <w:sz w:val="24"/>
          <w:szCs w:val="24"/>
          <w:lang w:val="en-US"/>
        </w:rPr>
        <w:instrText xml:space="preserve"> ADDIN ZOTERO_ITEM CSL_CITATION {"citationID":"2Ku0Lclq","properties":{"formattedCitation":"{\\rtf \\super 2\\nosupersub{}}","plainCitation":"2"},"citationItems":[{"id":1627,"uris":["http://zotero.org/users/325870/items/94BNFZW8"],"uri":["http://zotero.org/users/325870/items/94BNFZW8"],"itemData":{"id":1627,"type":"article-journal","title":"Orthopedic Surgery Transfusion Hemoglobin European Overview (OSTHEO) study: blood management in elective knee and hip arthroplasty in Europe","container-title":"Transfusion","page":"459-469","volume":"43","issue":"4","source":"PubMed","abstract":"BACKGROUND: The purpose of this study was to assess current practices in blood management in elective orthopedic surgery in Europe.\nSTUDY DESIGN AND METHODS: For this 225-center prospective survey, data were collected on 3996 patients. Actual perioperative blood loss was compared to preoperative estimates. Differences in Hb levels and other outcome variables for patients receiving allogeneic versus autologous transfusions were evaluated. The probability of allogeneic transfusion based on selected predictor variables was estimated.\nRESULTS: A total of 2640 (67%) hip and 1305 (33%) knee arthroplasty patients were evaluated. Estimated blood loss (median, 750 mL) was significantly lower than computed blood loss (median, 1944 mL). A total of 2762 (69%) patients received transfusions, including 1393 (35%) autologous-only and 1024 (25%) allogeneic-only. The probability of allogeneic transfusion decreased with increasing baseline Hb, but differentially so for men and women. Transfusion triggers were Hb levels of 8.93 +/- 1.83 g per dL for allogeneic transfusions, and 21 percent of these occurred when the Hb level was greater than 10 g per dL. Autologous blood transfusion was associated with a significantly lower rate (1%) of wound infections than allogeneic blood transfusion (4.2%).\nCONCLUSION: Accurate assessment of preoperative Hb levels, better estimation of perioperative blood loss, efficient use of autologous blood, adherence to transfusion guidelines, and pharmacologic alternatives contribute to effective and comprehensive blood and anemia management.","ISSN":"0041-1132","note":"PMID: 12662278","shortTitle":"Orthopedic Surgery Transfusion Hemoglobin European Overview (OSTHEO) study","journalAbbreviation":"Transfusion","language":"eng","author":[{"family":"Rosencher","given":"Nadia"},{"family":"Kerkkamp","given":"Hans E. M."},{"family":"Macheras","given":"G."},{"literal":"L. M. Munuera"},{"family":"Menichella","given":"G."},{"family":"Barton","given":"David M."},{"family":"Cremers","given":"Saskia"},{"family":"Abraham","given":"Ivo L."},{"literal":"OSTHEO Investigation"}],"issued":{"date-parts":[["2003",4]]}}}],"schema":"https://github.com/citation-style-language/schema/raw/master/csl-citation.json"} </w:instrText>
      </w:r>
      <w:r w:rsidR="0004310F" w:rsidRPr="00B625C2">
        <w:rPr>
          <w:sz w:val="24"/>
          <w:szCs w:val="24"/>
          <w:lang w:val="en-US"/>
        </w:rPr>
        <w:fldChar w:fldCharType="separate"/>
      </w:r>
      <w:r w:rsidR="0004310F" w:rsidRPr="00B625C2">
        <w:rPr>
          <w:sz w:val="24"/>
          <w:szCs w:val="24"/>
          <w:vertAlign w:val="superscript"/>
          <w:lang w:val="en-US"/>
        </w:rPr>
        <w:t>2</w:t>
      </w:r>
      <w:r w:rsidR="0004310F" w:rsidRPr="00B625C2">
        <w:rPr>
          <w:sz w:val="24"/>
          <w:szCs w:val="24"/>
          <w:lang w:val="en-US"/>
        </w:rPr>
        <w:fldChar w:fldCharType="end"/>
      </w:r>
      <w:r w:rsidR="0004310F" w:rsidRPr="00B625C2">
        <w:rPr>
          <w:sz w:val="24"/>
          <w:szCs w:val="24"/>
          <w:lang w:val="en-US" w:eastAsia="en-US"/>
        </w:rPr>
        <w:t>:</w:t>
      </w:r>
    </w:p>
    <w:p w14:paraId="7F61ED1C" w14:textId="77777777" w:rsidR="002F2E3A" w:rsidRPr="00B625C2" w:rsidRDefault="009636E0" w:rsidP="00B625C2">
      <w:pPr>
        <w:spacing w:line="480" w:lineRule="auto"/>
        <w:rPr>
          <w:sz w:val="24"/>
          <w:szCs w:val="24"/>
          <w:lang w:val="en-US" w:eastAsia="en-US"/>
        </w:rPr>
      </w:pPr>
      <w:r w:rsidRPr="00B625C2">
        <w:rPr>
          <w:sz w:val="24"/>
          <w:szCs w:val="24"/>
          <w:lang w:val="en-US" w:eastAsia="en-US"/>
        </w:rPr>
        <w:t>BV</w:t>
      </w:r>
      <w:r w:rsidR="002F2E3A" w:rsidRPr="00B625C2">
        <w:rPr>
          <w:sz w:val="24"/>
          <w:szCs w:val="24"/>
          <w:lang w:val="en-US" w:eastAsia="en-US"/>
        </w:rPr>
        <w:t xml:space="preserve"> (ml) = </w:t>
      </w:r>
      <w:r w:rsidR="002F2E3A" w:rsidRPr="00B625C2">
        <w:rPr>
          <w:sz w:val="24"/>
          <w:szCs w:val="24"/>
          <w:lang w:val="en-US" w:eastAsia="en-US"/>
        </w:rPr>
        <w:sym w:font="Symbol" w:char="F05B"/>
      </w:r>
      <w:r w:rsidR="002F2E3A" w:rsidRPr="00B625C2">
        <w:rPr>
          <w:sz w:val="24"/>
          <w:szCs w:val="24"/>
          <w:lang w:val="en-US" w:eastAsia="en-US"/>
        </w:rPr>
        <w:t>body surface area (m</w:t>
      </w:r>
      <w:r w:rsidR="002F2E3A" w:rsidRPr="00B625C2">
        <w:rPr>
          <w:sz w:val="24"/>
          <w:szCs w:val="24"/>
          <w:vertAlign w:val="superscript"/>
          <w:lang w:val="en-US" w:eastAsia="en-US"/>
        </w:rPr>
        <w:t>2</w:t>
      </w:r>
      <w:r w:rsidR="002F2E3A" w:rsidRPr="00B625C2">
        <w:rPr>
          <w:sz w:val="24"/>
          <w:szCs w:val="24"/>
          <w:lang w:val="en-US" w:eastAsia="en-US"/>
        </w:rPr>
        <w:t xml:space="preserve">) </w:t>
      </w:r>
      <w:r w:rsidR="002F2E3A" w:rsidRPr="00B625C2">
        <w:rPr>
          <w:sz w:val="24"/>
          <w:szCs w:val="24"/>
          <w:lang w:val="en-US" w:eastAsia="en-US"/>
        </w:rPr>
        <w:sym w:font="Symbol" w:char="F05D"/>
      </w:r>
      <w:r w:rsidR="002F2E3A" w:rsidRPr="00B625C2">
        <w:rPr>
          <w:sz w:val="24"/>
          <w:szCs w:val="24"/>
          <w:lang w:val="en-US" w:eastAsia="en-US"/>
        </w:rPr>
        <w:t xml:space="preserve"> x 2530 (in men) </w:t>
      </w:r>
    </w:p>
    <w:p w14:paraId="6AD24348" w14:textId="77777777" w:rsidR="002F2E3A" w:rsidRPr="00B625C2" w:rsidRDefault="009636E0" w:rsidP="00B625C2">
      <w:pPr>
        <w:spacing w:line="480" w:lineRule="auto"/>
        <w:rPr>
          <w:sz w:val="24"/>
          <w:szCs w:val="24"/>
          <w:lang w:val="en-US" w:eastAsia="en-US"/>
        </w:rPr>
      </w:pPr>
      <w:r w:rsidRPr="00B625C2">
        <w:rPr>
          <w:sz w:val="24"/>
          <w:szCs w:val="24"/>
          <w:lang w:val="en-US" w:eastAsia="en-US"/>
        </w:rPr>
        <w:t xml:space="preserve"> </w:t>
      </w:r>
      <w:r w:rsidRPr="00B625C2">
        <w:rPr>
          <w:sz w:val="24"/>
          <w:szCs w:val="24"/>
          <w:lang w:val="en-US" w:eastAsia="en-US"/>
        </w:rPr>
        <w:tab/>
      </w:r>
      <w:r w:rsidR="002F2E3A" w:rsidRPr="00B625C2">
        <w:rPr>
          <w:sz w:val="24"/>
          <w:szCs w:val="24"/>
          <w:lang w:val="en-US" w:eastAsia="en-US"/>
        </w:rPr>
        <w:t>O</w:t>
      </w:r>
      <w:r w:rsidR="0004310F" w:rsidRPr="00B625C2">
        <w:rPr>
          <w:sz w:val="24"/>
          <w:szCs w:val="24"/>
          <w:lang w:val="en-US" w:eastAsia="en-US"/>
        </w:rPr>
        <w:t>r</w:t>
      </w:r>
      <w:r w:rsidR="002F2E3A" w:rsidRPr="00B625C2">
        <w:rPr>
          <w:sz w:val="24"/>
          <w:szCs w:val="24"/>
          <w:lang w:val="en-US" w:eastAsia="en-US"/>
        </w:rPr>
        <w:t xml:space="preserve"> </w:t>
      </w:r>
      <w:r w:rsidR="002F2E3A" w:rsidRPr="00B625C2">
        <w:rPr>
          <w:sz w:val="24"/>
          <w:szCs w:val="24"/>
          <w:lang w:val="en-US" w:eastAsia="en-US"/>
        </w:rPr>
        <w:sym w:font="Symbol" w:char="F05B"/>
      </w:r>
      <w:r w:rsidR="002F2E3A" w:rsidRPr="00B625C2">
        <w:rPr>
          <w:sz w:val="24"/>
          <w:szCs w:val="24"/>
          <w:lang w:val="en-US" w:eastAsia="en-US"/>
        </w:rPr>
        <w:t xml:space="preserve"> body surface area (m</w:t>
      </w:r>
      <w:r w:rsidR="002F2E3A" w:rsidRPr="00B625C2">
        <w:rPr>
          <w:sz w:val="24"/>
          <w:szCs w:val="24"/>
          <w:vertAlign w:val="superscript"/>
          <w:lang w:val="en-US" w:eastAsia="en-US"/>
        </w:rPr>
        <w:t>2</w:t>
      </w:r>
      <w:r w:rsidR="002F2E3A" w:rsidRPr="00B625C2">
        <w:rPr>
          <w:sz w:val="24"/>
          <w:szCs w:val="24"/>
          <w:lang w:val="en-US" w:eastAsia="en-US"/>
        </w:rPr>
        <w:t xml:space="preserve">)  </w:t>
      </w:r>
      <w:r w:rsidR="002F2E3A" w:rsidRPr="00B625C2">
        <w:rPr>
          <w:sz w:val="24"/>
          <w:szCs w:val="24"/>
          <w:lang w:val="en-US" w:eastAsia="en-US"/>
        </w:rPr>
        <w:sym w:font="Symbol" w:char="F05D"/>
      </w:r>
      <w:r w:rsidR="002F2E3A" w:rsidRPr="00B625C2">
        <w:rPr>
          <w:sz w:val="24"/>
          <w:szCs w:val="24"/>
          <w:lang w:val="en-US" w:eastAsia="en-US"/>
        </w:rPr>
        <w:t xml:space="preserve"> x 2430 (in women)</w:t>
      </w:r>
    </w:p>
    <w:p w14:paraId="1F6C0197" w14:textId="5ABE4795" w:rsidR="002F2E3A" w:rsidRPr="00B625C2" w:rsidRDefault="002F2E3A" w:rsidP="00B625C2">
      <w:pPr>
        <w:spacing w:line="480" w:lineRule="auto"/>
        <w:rPr>
          <w:rFonts w:eastAsia="Times"/>
          <w:sz w:val="24"/>
          <w:szCs w:val="24"/>
          <w:lang w:val="en-US"/>
        </w:rPr>
      </w:pPr>
      <w:r w:rsidRPr="00B625C2">
        <w:rPr>
          <w:sz w:val="24"/>
          <w:szCs w:val="24"/>
          <w:lang w:val="en-US" w:eastAsia="en-US"/>
        </w:rPr>
        <w:t>body surface area (m</w:t>
      </w:r>
      <w:r w:rsidRPr="00B625C2">
        <w:rPr>
          <w:sz w:val="24"/>
          <w:szCs w:val="24"/>
          <w:vertAlign w:val="superscript"/>
          <w:lang w:val="en-US" w:eastAsia="en-US"/>
        </w:rPr>
        <w:t>2</w:t>
      </w:r>
      <w:r w:rsidRPr="00B625C2">
        <w:rPr>
          <w:sz w:val="24"/>
          <w:szCs w:val="24"/>
          <w:lang w:val="en-US" w:eastAsia="en-US"/>
        </w:rPr>
        <w:t xml:space="preserve">) </w:t>
      </w:r>
      <w:r w:rsidRPr="00B625C2">
        <w:rPr>
          <w:rFonts w:eastAsia="Times"/>
          <w:sz w:val="24"/>
          <w:szCs w:val="24"/>
          <w:lang w:val="en-US"/>
        </w:rPr>
        <w:t xml:space="preserve">= 0.0235 x </w:t>
      </w:r>
      <w:r w:rsidRPr="00B625C2">
        <w:rPr>
          <w:sz w:val="24"/>
          <w:szCs w:val="24"/>
        </w:rPr>
        <w:sym w:font="Symbol" w:char="F05B"/>
      </w:r>
      <w:r w:rsidRPr="00B625C2">
        <w:rPr>
          <w:rFonts w:eastAsia="Times"/>
          <w:sz w:val="24"/>
          <w:szCs w:val="24"/>
          <w:lang w:val="en-US"/>
        </w:rPr>
        <w:t>height (cm)</w:t>
      </w:r>
      <w:r w:rsidRPr="00B625C2">
        <w:rPr>
          <w:sz w:val="24"/>
          <w:szCs w:val="24"/>
          <w:lang w:val="en-US"/>
        </w:rPr>
        <w:t xml:space="preserve"> </w:t>
      </w:r>
      <w:r w:rsidRPr="00B625C2">
        <w:rPr>
          <w:sz w:val="24"/>
          <w:szCs w:val="24"/>
        </w:rPr>
        <w:sym w:font="Symbol" w:char="F05D"/>
      </w:r>
      <w:r w:rsidRPr="00B625C2">
        <w:rPr>
          <w:sz w:val="24"/>
          <w:szCs w:val="24"/>
          <w:lang w:val="en-US"/>
        </w:rPr>
        <w:t xml:space="preserve"> </w:t>
      </w:r>
      <w:r w:rsidRPr="00B625C2">
        <w:rPr>
          <w:rFonts w:eastAsia="Times"/>
          <w:sz w:val="24"/>
          <w:szCs w:val="24"/>
          <w:vertAlign w:val="superscript"/>
          <w:lang w:val="en-US"/>
        </w:rPr>
        <w:t>0.42246</w:t>
      </w:r>
      <w:r w:rsidRPr="00B625C2">
        <w:rPr>
          <w:rFonts w:eastAsia="Times"/>
          <w:sz w:val="24"/>
          <w:szCs w:val="24"/>
          <w:lang w:val="en-US"/>
        </w:rPr>
        <w:t xml:space="preserve">  x  </w:t>
      </w:r>
      <w:r w:rsidRPr="00B625C2">
        <w:rPr>
          <w:sz w:val="24"/>
          <w:szCs w:val="24"/>
        </w:rPr>
        <w:sym w:font="Symbol" w:char="F05B"/>
      </w:r>
      <w:r w:rsidRPr="00B625C2">
        <w:rPr>
          <w:sz w:val="24"/>
          <w:szCs w:val="24"/>
          <w:lang w:val="en-US"/>
        </w:rPr>
        <w:t>weight</w:t>
      </w:r>
      <w:r w:rsidRPr="00B625C2">
        <w:rPr>
          <w:rFonts w:eastAsia="Times"/>
          <w:sz w:val="24"/>
          <w:szCs w:val="24"/>
          <w:lang w:val="en-US"/>
        </w:rPr>
        <w:t xml:space="preserve"> (kg)</w:t>
      </w:r>
      <w:r w:rsidRPr="00B625C2">
        <w:rPr>
          <w:sz w:val="24"/>
          <w:szCs w:val="24"/>
          <w:lang w:val="en-US"/>
        </w:rPr>
        <w:t xml:space="preserve"> </w:t>
      </w:r>
      <w:r w:rsidRPr="00B625C2">
        <w:rPr>
          <w:sz w:val="24"/>
          <w:szCs w:val="24"/>
        </w:rPr>
        <w:sym w:font="Symbol" w:char="F05D"/>
      </w:r>
      <w:r w:rsidRPr="00B625C2">
        <w:rPr>
          <w:sz w:val="24"/>
          <w:szCs w:val="24"/>
          <w:lang w:val="en-US"/>
        </w:rPr>
        <w:t xml:space="preserve"> </w:t>
      </w:r>
      <w:r w:rsidRPr="00B625C2">
        <w:rPr>
          <w:rFonts w:eastAsia="Times"/>
          <w:sz w:val="24"/>
          <w:szCs w:val="24"/>
          <w:vertAlign w:val="superscript"/>
          <w:lang w:val="en-US"/>
        </w:rPr>
        <w:t>0.51456</w:t>
      </w:r>
    </w:p>
    <w:p w14:paraId="0D85CF02" w14:textId="77777777" w:rsidR="002F2E3A" w:rsidRPr="00B625C2" w:rsidRDefault="002F2E3A" w:rsidP="00B625C2">
      <w:pPr>
        <w:spacing w:line="480" w:lineRule="auto"/>
        <w:rPr>
          <w:sz w:val="24"/>
          <w:szCs w:val="24"/>
          <w:lang w:val="en-US" w:eastAsia="en-US"/>
        </w:rPr>
      </w:pPr>
    </w:p>
    <w:p w14:paraId="61632856" w14:textId="2CC20068" w:rsidR="00F30B49" w:rsidRPr="00B625C2" w:rsidRDefault="00C82E09" w:rsidP="00B625C2">
      <w:pPr>
        <w:spacing w:line="480" w:lineRule="auto"/>
        <w:rPr>
          <w:b/>
          <w:sz w:val="24"/>
          <w:szCs w:val="24"/>
          <w:lang w:val="en-US"/>
        </w:rPr>
      </w:pPr>
      <w:r w:rsidRPr="00B625C2">
        <w:rPr>
          <w:sz w:val="24"/>
          <w:szCs w:val="24"/>
          <w:lang w:val="en-US"/>
        </w:rPr>
        <w:t>B</w:t>
      </w:r>
      <w:r w:rsidR="00F30B49" w:rsidRPr="00B625C2">
        <w:rPr>
          <w:sz w:val="24"/>
          <w:szCs w:val="24"/>
          <w:lang w:val="en-US"/>
        </w:rPr>
        <w:t>lood loss (m</w:t>
      </w:r>
      <w:r w:rsidR="003F06D7" w:rsidRPr="00B625C2">
        <w:rPr>
          <w:sz w:val="24"/>
          <w:szCs w:val="24"/>
          <w:lang w:val="en-US"/>
        </w:rPr>
        <w:t>l</w:t>
      </w:r>
      <w:r w:rsidR="00F30B49" w:rsidRPr="00B625C2">
        <w:rPr>
          <w:sz w:val="24"/>
          <w:szCs w:val="24"/>
          <w:lang w:val="en-US"/>
        </w:rPr>
        <w:t xml:space="preserve">) was </w:t>
      </w:r>
      <w:r w:rsidRPr="00B625C2">
        <w:rPr>
          <w:sz w:val="24"/>
          <w:szCs w:val="24"/>
          <w:lang w:val="en-US"/>
        </w:rPr>
        <w:t xml:space="preserve">calculated in relation </w:t>
      </w:r>
      <w:r w:rsidR="00F30B49" w:rsidRPr="00B625C2">
        <w:rPr>
          <w:sz w:val="24"/>
          <w:szCs w:val="24"/>
          <w:lang w:val="en-US"/>
        </w:rPr>
        <w:t>to the patient’s preoperative Hb value:</w:t>
      </w:r>
    </w:p>
    <w:p w14:paraId="340F5651" w14:textId="299654A6" w:rsidR="00F30B49" w:rsidRPr="00B625C2" w:rsidRDefault="00F30B49" w:rsidP="00B625C2">
      <w:pPr>
        <w:spacing w:line="480" w:lineRule="auto"/>
        <w:rPr>
          <w:b/>
          <w:sz w:val="24"/>
          <w:szCs w:val="24"/>
          <w:lang w:val="en-US"/>
        </w:rPr>
      </w:pPr>
      <w:r w:rsidRPr="00B625C2">
        <w:rPr>
          <w:sz w:val="24"/>
          <w:szCs w:val="24"/>
          <w:lang w:val="en-US"/>
        </w:rPr>
        <w:t>blood loss (m) = 1000 × Hb loss / Hbpre</w:t>
      </w:r>
    </w:p>
    <w:p w14:paraId="4B6F2A8E" w14:textId="77777777" w:rsidR="0004310F" w:rsidRPr="00B625C2" w:rsidRDefault="0004310F" w:rsidP="00B625C2">
      <w:pPr>
        <w:spacing w:line="480" w:lineRule="auto"/>
        <w:rPr>
          <w:sz w:val="24"/>
          <w:szCs w:val="24"/>
          <w:lang w:val="en-GB"/>
        </w:rPr>
      </w:pPr>
    </w:p>
    <w:p w14:paraId="02C06E38" w14:textId="77777777" w:rsidR="00A957AE" w:rsidRDefault="0093048D" w:rsidP="00B625C2">
      <w:pPr>
        <w:spacing w:line="480" w:lineRule="auto"/>
        <w:rPr>
          <w:rFonts w:cs="Arial"/>
          <w:b/>
          <w:bCs/>
          <w:szCs w:val="28"/>
          <w:lang w:val="en-US"/>
        </w:rPr>
      </w:pPr>
      <w:r w:rsidRPr="00B625C2">
        <w:rPr>
          <w:sz w:val="24"/>
          <w:szCs w:val="24"/>
          <w:lang w:val="en-US" w:eastAsia="en-US"/>
        </w:rPr>
        <w:t>Hemoglobin measurements were obtained as part of a complete blood count by a Coulter counter analyzer.</w:t>
      </w:r>
      <w:r w:rsidR="00A957AE">
        <w:rPr>
          <w:lang w:val="en-US"/>
        </w:rPr>
        <w:br w:type="page"/>
      </w:r>
    </w:p>
    <w:p w14:paraId="2B510BA6" w14:textId="77777777" w:rsidR="006E3C20" w:rsidRPr="000A6D40" w:rsidRDefault="00186BFB" w:rsidP="00570855">
      <w:pPr>
        <w:pStyle w:val="Heading1"/>
        <w:rPr>
          <w:lang w:val="en-US"/>
        </w:rPr>
      </w:pPr>
      <w:bookmarkStart w:id="3" w:name="_Toc482278810"/>
      <w:r w:rsidRPr="000A6D40">
        <w:rPr>
          <w:lang w:val="en-US"/>
        </w:rPr>
        <w:lastRenderedPageBreak/>
        <w:t>Assumptions for s</w:t>
      </w:r>
      <w:r w:rsidR="008D2F40" w:rsidRPr="000A6D40">
        <w:rPr>
          <w:lang w:val="en-US"/>
        </w:rPr>
        <w:t>ample size calculation</w:t>
      </w:r>
      <w:bookmarkEnd w:id="3"/>
    </w:p>
    <w:p w14:paraId="1B6088EF" w14:textId="77777777" w:rsidR="006A79B2" w:rsidRPr="006A79B2" w:rsidRDefault="00B35A7A" w:rsidP="00570855">
      <w:pPr>
        <w:pStyle w:val="Heading2"/>
        <w:rPr>
          <w:lang w:val="en-US"/>
        </w:rPr>
      </w:pPr>
      <w:bookmarkStart w:id="4" w:name="_Toc482278811"/>
      <w:r>
        <w:rPr>
          <w:lang w:val="en-US"/>
        </w:rPr>
        <w:t>Studies</w:t>
      </w:r>
      <w:r w:rsidR="006A79B2" w:rsidRPr="006A79B2">
        <w:rPr>
          <w:lang w:val="en-US"/>
        </w:rPr>
        <w:t xml:space="preserve"> </w:t>
      </w:r>
      <w:r w:rsidR="00ED1FD2">
        <w:rPr>
          <w:lang w:val="en-US"/>
        </w:rPr>
        <w:t>selected</w:t>
      </w:r>
      <w:r w:rsidR="006A79B2" w:rsidRPr="006A79B2">
        <w:rPr>
          <w:lang w:val="en-US"/>
        </w:rPr>
        <w:t xml:space="preserve"> </w:t>
      </w:r>
      <w:r w:rsidR="008E176F">
        <w:rPr>
          <w:lang w:val="en-US"/>
        </w:rPr>
        <w:t xml:space="preserve">as a basis </w:t>
      </w:r>
      <w:r w:rsidR="006A79B2" w:rsidRPr="006A79B2">
        <w:rPr>
          <w:lang w:val="en-US"/>
        </w:rPr>
        <w:t>for blood loss assumptions</w:t>
      </w:r>
      <w:bookmarkEnd w:id="4"/>
      <w:r w:rsidR="004636DE">
        <w:rPr>
          <w:lang w:val="en-US"/>
        </w:rPr>
        <w:t xml:space="preserve"> </w:t>
      </w:r>
    </w:p>
    <w:p w14:paraId="6171F31E" w14:textId="77777777" w:rsidR="006E3C20" w:rsidRPr="006A79B2" w:rsidRDefault="006E3C20" w:rsidP="006E3C20">
      <w:pPr>
        <w:autoSpaceDE/>
        <w:autoSpaceDN/>
        <w:rPr>
          <w:sz w:val="24"/>
          <w:szCs w:val="24"/>
          <w:lang w:val="en-US"/>
        </w:rPr>
      </w:pPr>
    </w:p>
    <w:tbl>
      <w:tblPr>
        <w:tblW w:w="8520" w:type="dxa"/>
        <w:tblInd w:w="55" w:type="dxa"/>
        <w:tblLayout w:type="fixed"/>
        <w:tblCellMar>
          <w:left w:w="70" w:type="dxa"/>
          <w:right w:w="70" w:type="dxa"/>
        </w:tblCellMar>
        <w:tblLook w:val="0000" w:firstRow="0" w:lastRow="0" w:firstColumn="0" w:lastColumn="0" w:noHBand="0" w:noVBand="0"/>
      </w:tblPr>
      <w:tblGrid>
        <w:gridCol w:w="1291"/>
        <w:gridCol w:w="567"/>
        <w:gridCol w:w="1701"/>
        <w:gridCol w:w="851"/>
        <w:gridCol w:w="753"/>
        <w:gridCol w:w="239"/>
        <w:gridCol w:w="381"/>
        <w:gridCol w:w="328"/>
        <w:gridCol w:w="1134"/>
        <w:gridCol w:w="1275"/>
      </w:tblGrid>
      <w:tr w:rsidR="006E3C20" w:rsidRPr="000A6D40" w14:paraId="74A36070" w14:textId="77777777" w:rsidTr="00536649">
        <w:trPr>
          <w:trHeight w:val="675"/>
        </w:trPr>
        <w:tc>
          <w:tcPr>
            <w:tcW w:w="1291" w:type="dxa"/>
            <w:tcBorders>
              <w:top w:val="single" w:sz="4" w:space="0" w:color="auto"/>
              <w:left w:val="single" w:sz="4" w:space="0" w:color="auto"/>
              <w:bottom w:val="single" w:sz="4" w:space="0" w:color="auto"/>
              <w:right w:val="nil"/>
            </w:tcBorders>
            <w:shd w:val="clear" w:color="auto" w:fill="auto"/>
            <w:noWrap/>
          </w:tcPr>
          <w:p w14:paraId="6B88ABE0" w14:textId="77777777" w:rsidR="006E3C20" w:rsidRPr="003603A2" w:rsidRDefault="006E3C20" w:rsidP="00AF256F">
            <w:pPr>
              <w:autoSpaceDE/>
              <w:autoSpaceDN/>
              <w:jc w:val="both"/>
              <w:rPr>
                <w:rFonts w:ascii="Arial" w:hAnsi="Arial" w:cs="Arial"/>
                <w:sz w:val="16"/>
                <w:szCs w:val="16"/>
                <w:lang w:val="en-US"/>
              </w:rPr>
            </w:pPr>
            <w:r>
              <w:rPr>
                <w:rFonts w:ascii="Arial" w:hAnsi="Arial" w:cs="Arial"/>
                <w:sz w:val="16"/>
                <w:szCs w:val="16"/>
                <w:lang w:val="en-US"/>
              </w:rPr>
              <w:t>Reference</w:t>
            </w:r>
          </w:p>
        </w:tc>
        <w:tc>
          <w:tcPr>
            <w:tcW w:w="567" w:type="dxa"/>
            <w:tcBorders>
              <w:top w:val="single" w:sz="4" w:space="0" w:color="auto"/>
              <w:left w:val="nil"/>
              <w:bottom w:val="single" w:sz="4" w:space="0" w:color="auto"/>
              <w:right w:val="nil"/>
            </w:tcBorders>
            <w:shd w:val="clear" w:color="auto" w:fill="auto"/>
            <w:noWrap/>
          </w:tcPr>
          <w:p w14:paraId="75369261" w14:textId="77777777" w:rsidR="006E3C20" w:rsidRPr="003603A2" w:rsidRDefault="008D2F40" w:rsidP="00AF256F">
            <w:pPr>
              <w:autoSpaceDE/>
              <w:autoSpaceDN/>
              <w:jc w:val="center"/>
              <w:rPr>
                <w:rFonts w:ascii="Arial" w:hAnsi="Arial" w:cs="Arial"/>
                <w:sz w:val="16"/>
                <w:szCs w:val="16"/>
                <w:lang w:val="en-US"/>
              </w:rPr>
            </w:pPr>
            <w:r>
              <w:rPr>
                <w:rFonts w:ascii="Arial" w:hAnsi="Arial" w:cs="Arial"/>
                <w:sz w:val="16"/>
                <w:szCs w:val="16"/>
                <w:lang w:val="en-US"/>
              </w:rPr>
              <w:t>Year</w:t>
            </w:r>
          </w:p>
        </w:tc>
        <w:tc>
          <w:tcPr>
            <w:tcW w:w="1701" w:type="dxa"/>
            <w:tcBorders>
              <w:top w:val="single" w:sz="4" w:space="0" w:color="auto"/>
              <w:left w:val="nil"/>
              <w:bottom w:val="single" w:sz="4" w:space="0" w:color="auto"/>
              <w:right w:val="nil"/>
            </w:tcBorders>
            <w:shd w:val="clear" w:color="auto" w:fill="auto"/>
          </w:tcPr>
          <w:p w14:paraId="499A838E" w14:textId="77777777" w:rsidR="008D2F40" w:rsidRDefault="008D2F40" w:rsidP="00AF256F">
            <w:pPr>
              <w:autoSpaceDE/>
              <w:autoSpaceDN/>
              <w:jc w:val="center"/>
              <w:rPr>
                <w:rFonts w:ascii="Arial" w:hAnsi="Arial" w:cs="Arial"/>
                <w:sz w:val="16"/>
                <w:szCs w:val="16"/>
                <w:lang w:val="en-US"/>
              </w:rPr>
            </w:pPr>
            <w:r>
              <w:rPr>
                <w:rFonts w:ascii="Arial" w:hAnsi="Arial" w:cs="Arial"/>
                <w:sz w:val="16"/>
                <w:szCs w:val="16"/>
                <w:lang w:val="en-US"/>
              </w:rPr>
              <w:t>Tranexamic acid</w:t>
            </w:r>
          </w:p>
          <w:p w14:paraId="47B5C337" w14:textId="77777777" w:rsidR="006E3C20" w:rsidRPr="003603A2" w:rsidRDefault="008D2F40" w:rsidP="00AF256F">
            <w:pPr>
              <w:autoSpaceDE/>
              <w:autoSpaceDN/>
              <w:jc w:val="center"/>
              <w:rPr>
                <w:rFonts w:ascii="Arial" w:hAnsi="Arial" w:cs="Arial"/>
                <w:sz w:val="16"/>
                <w:szCs w:val="16"/>
                <w:lang w:val="en-US"/>
              </w:rPr>
            </w:pPr>
            <w:r>
              <w:rPr>
                <w:rFonts w:ascii="Arial" w:hAnsi="Arial" w:cs="Arial"/>
                <w:sz w:val="16"/>
                <w:szCs w:val="16"/>
                <w:lang w:val="en-US"/>
              </w:rPr>
              <w:t>regimen</w:t>
            </w:r>
          </w:p>
        </w:tc>
        <w:tc>
          <w:tcPr>
            <w:tcW w:w="851" w:type="dxa"/>
            <w:tcBorders>
              <w:top w:val="single" w:sz="4" w:space="0" w:color="auto"/>
              <w:left w:val="nil"/>
              <w:bottom w:val="single" w:sz="4" w:space="0" w:color="auto"/>
              <w:right w:val="nil"/>
            </w:tcBorders>
          </w:tcPr>
          <w:p w14:paraId="230EECA6" w14:textId="77777777" w:rsidR="006E3C20" w:rsidRPr="003603A2" w:rsidRDefault="006E3C20" w:rsidP="00AF256F">
            <w:pPr>
              <w:autoSpaceDE/>
              <w:autoSpaceDN/>
              <w:jc w:val="center"/>
              <w:rPr>
                <w:rFonts w:ascii="Arial" w:hAnsi="Arial" w:cs="Arial"/>
                <w:sz w:val="16"/>
                <w:szCs w:val="16"/>
                <w:lang w:val="en-US"/>
              </w:rPr>
            </w:pPr>
            <w:r w:rsidRPr="003603A2">
              <w:rPr>
                <w:rFonts w:ascii="Arial" w:hAnsi="Arial" w:cs="Arial"/>
                <w:sz w:val="16"/>
                <w:szCs w:val="16"/>
                <w:lang w:val="en-US"/>
              </w:rPr>
              <w:t>Design</w:t>
            </w:r>
          </w:p>
        </w:tc>
        <w:tc>
          <w:tcPr>
            <w:tcW w:w="1701" w:type="dxa"/>
            <w:gridSpan w:val="4"/>
            <w:tcBorders>
              <w:top w:val="single" w:sz="4" w:space="0" w:color="auto"/>
              <w:left w:val="nil"/>
              <w:bottom w:val="single" w:sz="4" w:space="0" w:color="auto"/>
              <w:right w:val="nil"/>
            </w:tcBorders>
            <w:shd w:val="clear" w:color="auto" w:fill="auto"/>
          </w:tcPr>
          <w:p w14:paraId="0E9963B7" w14:textId="77777777" w:rsidR="006E3C20" w:rsidRPr="003603A2" w:rsidRDefault="008D2F40" w:rsidP="008D2F40">
            <w:pPr>
              <w:autoSpaceDE/>
              <w:autoSpaceDN/>
              <w:rPr>
                <w:rFonts w:ascii="Arial" w:hAnsi="Arial" w:cs="Arial"/>
                <w:sz w:val="16"/>
                <w:szCs w:val="16"/>
                <w:lang w:val="en-US"/>
              </w:rPr>
            </w:pPr>
            <w:r>
              <w:rPr>
                <w:rFonts w:ascii="Arial" w:hAnsi="Arial" w:cs="Arial"/>
                <w:sz w:val="16"/>
                <w:szCs w:val="16"/>
                <w:lang w:val="en-US"/>
              </w:rPr>
              <w:t xml:space="preserve"> Patients randomized</w:t>
            </w:r>
          </w:p>
        </w:tc>
        <w:tc>
          <w:tcPr>
            <w:tcW w:w="2409" w:type="dxa"/>
            <w:gridSpan w:val="2"/>
            <w:tcBorders>
              <w:top w:val="single" w:sz="4" w:space="0" w:color="auto"/>
              <w:left w:val="nil"/>
              <w:bottom w:val="single" w:sz="4" w:space="0" w:color="auto"/>
              <w:right w:val="single" w:sz="4" w:space="0" w:color="auto"/>
            </w:tcBorders>
            <w:shd w:val="clear" w:color="auto" w:fill="auto"/>
          </w:tcPr>
          <w:p w14:paraId="2D931AEE" w14:textId="77777777" w:rsidR="006E3C20" w:rsidRPr="009A23A1" w:rsidRDefault="008D2F40" w:rsidP="000502C3">
            <w:pPr>
              <w:autoSpaceDE/>
              <w:autoSpaceDN/>
              <w:jc w:val="center"/>
              <w:rPr>
                <w:rFonts w:ascii="Arial" w:hAnsi="Arial" w:cs="Arial"/>
                <w:sz w:val="16"/>
                <w:szCs w:val="16"/>
                <w:lang w:val="en-US"/>
              </w:rPr>
            </w:pPr>
            <w:r w:rsidRPr="009A23A1">
              <w:rPr>
                <w:rFonts w:ascii="Arial" w:hAnsi="Arial" w:cs="Arial"/>
                <w:sz w:val="16"/>
                <w:szCs w:val="16"/>
                <w:lang w:val="en-US"/>
              </w:rPr>
              <w:t>P</w:t>
            </w:r>
            <w:r w:rsidR="000502C3" w:rsidRPr="009A23A1">
              <w:rPr>
                <w:rFonts w:ascii="Arial" w:hAnsi="Arial" w:cs="Arial"/>
                <w:sz w:val="16"/>
                <w:szCs w:val="16"/>
                <w:lang w:val="en-US"/>
              </w:rPr>
              <w:t>e</w:t>
            </w:r>
            <w:r w:rsidRPr="009A23A1">
              <w:rPr>
                <w:rFonts w:ascii="Arial" w:hAnsi="Arial" w:cs="Arial"/>
                <w:sz w:val="16"/>
                <w:szCs w:val="16"/>
                <w:lang w:val="en-US"/>
              </w:rPr>
              <w:t xml:space="preserve">rioperative blood </w:t>
            </w:r>
            <w:r w:rsidRPr="00EC0064">
              <w:rPr>
                <w:rFonts w:ascii="Arial" w:hAnsi="Arial" w:cs="Arial"/>
                <w:sz w:val="16"/>
                <w:szCs w:val="16"/>
                <w:lang w:val="en-US"/>
              </w:rPr>
              <w:t>loss</w:t>
            </w:r>
            <w:r w:rsidR="00C82E09" w:rsidRPr="00EC0064">
              <w:rPr>
                <w:rFonts w:ascii="Arial" w:hAnsi="Arial" w:cs="Arial"/>
                <w:sz w:val="16"/>
                <w:szCs w:val="16"/>
                <w:lang w:val="en-US"/>
              </w:rPr>
              <w:t>,</w:t>
            </w:r>
            <w:r w:rsidR="009E6B9D" w:rsidRPr="00EC0064">
              <w:rPr>
                <w:rFonts w:ascii="Arial" w:hAnsi="Arial" w:cs="Arial"/>
                <w:sz w:val="16"/>
                <w:szCs w:val="16"/>
                <w:lang w:val="en-US"/>
              </w:rPr>
              <w:t xml:space="preserve"> ml</w:t>
            </w:r>
          </w:p>
          <w:p w14:paraId="7F7CDFD1" w14:textId="77777777" w:rsidR="009E6B9D" w:rsidRPr="009A23A1" w:rsidRDefault="009E6B9D" w:rsidP="000502C3">
            <w:pPr>
              <w:autoSpaceDE/>
              <w:autoSpaceDN/>
              <w:jc w:val="center"/>
              <w:rPr>
                <w:rFonts w:ascii="Arial" w:hAnsi="Arial" w:cs="Arial"/>
                <w:sz w:val="16"/>
                <w:szCs w:val="16"/>
                <w:lang w:val="en-US"/>
              </w:rPr>
            </w:pPr>
            <w:r w:rsidRPr="009A23A1">
              <w:rPr>
                <w:rFonts w:ascii="Arial" w:hAnsi="Arial" w:cs="Arial"/>
                <w:sz w:val="16"/>
                <w:szCs w:val="16"/>
                <w:lang w:val="en-US"/>
              </w:rPr>
              <w:t>Mean +/- SD</w:t>
            </w:r>
          </w:p>
        </w:tc>
      </w:tr>
      <w:tr w:rsidR="006E3C20" w:rsidRPr="00DC71D8" w14:paraId="190A51D7" w14:textId="77777777" w:rsidTr="00536649">
        <w:trPr>
          <w:trHeight w:val="387"/>
        </w:trPr>
        <w:tc>
          <w:tcPr>
            <w:tcW w:w="1291" w:type="dxa"/>
            <w:tcBorders>
              <w:top w:val="single" w:sz="4" w:space="0" w:color="auto"/>
              <w:left w:val="single" w:sz="4" w:space="0" w:color="auto"/>
              <w:bottom w:val="single" w:sz="4" w:space="0" w:color="auto"/>
              <w:right w:val="nil"/>
            </w:tcBorders>
            <w:shd w:val="clear" w:color="auto" w:fill="auto"/>
            <w:noWrap/>
          </w:tcPr>
          <w:p w14:paraId="3AB7B148" w14:textId="77777777" w:rsidR="006E3C20" w:rsidRPr="003603A2" w:rsidRDefault="006E3C20" w:rsidP="00AF256F">
            <w:pPr>
              <w:autoSpaceDE/>
              <w:autoSpaceDN/>
              <w:jc w:val="both"/>
              <w:rPr>
                <w:rFonts w:ascii="Arial" w:hAnsi="Arial" w:cs="Arial"/>
                <w:sz w:val="16"/>
                <w:szCs w:val="16"/>
                <w:lang w:val="en-US"/>
              </w:rPr>
            </w:pPr>
          </w:p>
        </w:tc>
        <w:tc>
          <w:tcPr>
            <w:tcW w:w="567" w:type="dxa"/>
            <w:tcBorders>
              <w:top w:val="single" w:sz="4" w:space="0" w:color="auto"/>
              <w:left w:val="nil"/>
              <w:bottom w:val="single" w:sz="4" w:space="0" w:color="auto"/>
              <w:right w:val="nil"/>
            </w:tcBorders>
            <w:shd w:val="clear" w:color="auto" w:fill="auto"/>
            <w:noWrap/>
          </w:tcPr>
          <w:p w14:paraId="3418F617" w14:textId="77777777" w:rsidR="006E3C20" w:rsidRPr="003603A2" w:rsidRDefault="006E3C20" w:rsidP="00AF256F">
            <w:pPr>
              <w:autoSpaceDE/>
              <w:autoSpaceDN/>
              <w:jc w:val="center"/>
              <w:rPr>
                <w:rFonts w:ascii="Arial" w:hAnsi="Arial" w:cs="Arial"/>
                <w:sz w:val="16"/>
                <w:szCs w:val="16"/>
                <w:lang w:val="en-US"/>
              </w:rPr>
            </w:pPr>
          </w:p>
        </w:tc>
        <w:tc>
          <w:tcPr>
            <w:tcW w:w="1701" w:type="dxa"/>
            <w:tcBorders>
              <w:top w:val="single" w:sz="4" w:space="0" w:color="auto"/>
              <w:left w:val="nil"/>
              <w:bottom w:val="single" w:sz="4" w:space="0" w:color="auto"/>
              <w:right w:val="nil"/>
            </w:tcBorders>
            <w:shd w:val="clear" w:color="auto" w:fill="auto"/>
            <w:noWrap/>
          </w:tcPr>
          <w:p w14:paraId="3CA5AF84" w14:textId="77777777" w:rsidR="006E3C20" w:rsidRPr="003603A2" w:rsidRDefault="006E3C20" w:rsidP="00AF256F">
            <w:pPr>
              <w:autoSpaceDE/>
              <w:autoSpaceDN/>
              <w:jc w:val="center"/>
              <w:rPr>
                <w:rFonts w:ascii="Arial" w:hAnsi="Arial" w:cs="Arial"/>
                <w:sz w:val="16"/>
                <w:szCs w:val="16"/>
                <w:lang w:val="en-US"/>
              </w:rPr>
            </w:pPr>
          </w:p>
        </w:tc>
        <w:tc>
          <w:tcPr>
            <w:tcW w:w="851" w:type="dxa"/>
            <w:tcBorders>
              <w:top w:val="single" w:sz="4" w:space="0" w:color="auto"/>
              <w:left w:val="nil"/>
              <w:bottom w:val="single" w:sz="4" w:space="0" w:color="auto"/>
              <w:right w:val="nil"/>
            </w:tcBorders>
          </w:tcPr>
          <w:p w14:paraId="3B4B28A8" w14:textId="77777777" w:rsidR="006E3C20" w:rsidRPr="003603A2" w:rsidRDefault="006E3C20" w:rsidP="00EC0064">
            <w:pPr>
              <w:autoSpaceDE/>
              <w:autoSpaceDN/>
              <w:jc w:val="center"/>
              <w:rPr>
                <w:rFonts w:ascii="Arial" w:hAnsi="Arial" w:cs="Arial"/>
                <w:sz w:val="16"/>
                <w:szCs w:val="16"/>
                <w:lang w:val="en-US"/>
              </w:rPr>
            </w:pPr>
          </w:p>
        </w:tc>
        <w:tc>
          <w:tcPr>
            <w:tcW w:w="992" w:type="dxa"/>
            <w:gridSpan w:val="2"/>
            <w:tcBorders>
              <w:top w:val="single" w:sz="4" w:space="0" w:color="auto"/>
              <w:left w:val="nil"/>
              <w:bottom w:val="single" w:sz="4" w:space="0" w:color="auto"/>
              <w:right w:val="nil"/>
            </w:tcBorders>
            <w:shd w:val="clear" w:color="auto" w:fill="auto"/>
            <w:noWrap/>
          </w:tcPr>
          <w:p w14:paraId="4D63765E" w14:textId="20F51C11" w:rsidR="006E3C20" w:rsidRPr="003603A2" w:rsidRDefault="008E176F" w:rsidP="00536649">
            <w:pPr>
              <w:autoSpaceDE/>
              <w:autoSpaceDN/>
              <w:jc w:val="center"/>
              <w:rPr>
                <w:rFonts w:ascii="Arial" w:hAnsi="Arial" w:cs="Arial"/>
                <w:sz w:val="16"/>
                <w:szCs w:val="16"/>
                <w:lang w:val="en-US"/>
              </w:rPr>
            </w:pPr>
            <w:r>
              <w:rPr>
                <w:rFonts w:ascii="Arial" w:hAnsi="Arial" w:cs="Arial"/>
                <w:sz w:val="16"/>
                <w:szCs w:val="16"/>
                <w:lang w:val="en-US"/>
              </w:rPr>
              <w:t>Tranexamic acid</w:t>
            </w:r>
          </w:p>
        </w:tc>
        <w:tc>
          <w:tcPr>
            <w:tcW w:w="709" w:type="dxa"/>
            <w:gridSpan w:val="2"/>
            <w:tcBorders>
              <w:top w:val="single" w:sz="4" w:space="0" w:color="auto"/>
              <w:left w:val="nil"/>
              <w:bottom w:val="single" w:sz="4" w:space="0" w:color="auto"/>
              <w:right w:val="nil"/>
            </w:tcBorders>
            <w:shd w:val="clear" w:color="auto" w:fill="auto"/>
            <w:noWrap/>
          </w:tcPr>
          <w:p w14:paraId="7BC0DCF8" w14:textId="494974BB" w:rsidR="006E3C20" w:rsidRPr="003603A2" w:rsidRDefault="008E176F" w:rsidP="00536649">
            <w:pPr>
              <w:autoSpaceDE/>
              <w:autoSpaceDN/>
              <w:jc w:val="center"/>
              <w:rPr>
                <w:rFonts w:ascii="Arial" w:hAnsi="Arial" w:cs="Arial"/>
                <w:sz w:val="16"/>
                <w:szCs w:val="16"/>
                <w:lang w:val="en-US"/>
              </w:rPr>
            </w:pPr>
            <w:r>
              <w:rPr>
                <w:rFonts w:ascii="Arial" w:hAnsi="Arial" w:cs="Arial"/>
                <w:sz w:val="16"/>
                <w:szCs w:val="16"/>
                <w:lang w:val="en-US"/>
              </w:rPr>
              <w:t>Control</w:t>
            </w:r>
          </w:p>
        </w:tc>
        <w:tc>
          <w:tcPr>
            <w:tcW w:w="1134" w:type="dxa"/>
            <w:tcBorders>
              <w:top w:val="single" w:sz="4" w:space="0" w:color="auto"/>
              <w:left w:val="nil"/>
              <w:bottom w:val="single" w:sz="4" w:space="0" w:color="auto"/>
              <w:right w:val="nil"/>
            </w:tcBorders>
            <w:shd w:val="clear" w:color="auto" w:fill="auto"/>
            <w:noWrap/>
          </w:tcPr>
          <w:p w14:paraId="30EA1AB8" w14:textId="221015C2" w:rsidR="006E3C20" w:rsidRPr="003603A2" w:rsidRDefault="008E176F" w:rsidP="00536649">
            <w:pPr>
              <w:autoSpaceDE/>
              <w:autoSpaceDN/>
              <w:jc w:val="center"/>
              <w:rPr>
                <w:rFonts w:ascii="Arial" w:hAnsi="Arial" w:cs="Arial"/>
                <w:sz w:val="16"/>
                <w:szCs w:val="16"/>
                <w:lang w:val="en-US"/>
              </w:rPr>
            </w:pPr>
            <w:r>
              <w:rPr>
                <w:rFonts w:ascii="Arial" w:hAnsi="Arial" w:cs="Arial"/>
                <w:sz w:val="16"/>
                <w:szCs w:val="16"/>
                <w:lang w:val="en-US"/>
              </w:rPr>
              <w:t>Tranexamic acid</w:t>
            </w:r>
          </w:p>
        </w:tc>
        <w:tc>
          <w:tcPr>
            <w:tcW w:w="1275" w:type="dxa"/>
            <w:tcBorders>
              <w:top w:val="single" w:sz="4" w:space="0" w:color="auto"/>
              <w:left w:val="nil"/>
              <w:bottom w:val="single" w:sz="4" w:space="0" w:color="auto"/>
              <w:right w:val="single" w:sz="4" w:space="0" w:color="auto"/>
            </w:tcBorders>
            <w:shd w:val="clear" w:color="auto" w:fill="auto"/>
            <w:noWrap/>
          </w:tcPr>
          <w:p w14:paraId="200FCBCE" w14:textId="5E1F7590" w:rsidR="006E3C20" w:rsidRPr="003603A2" w:rsidRDefault="008E176F" w:rsidP="00536649">
            <w:pPr>
              <w:autoSpaceDE/>
              <w:autoSpaceDN/>
              <w:jc w:val="center"/>
              <w:rPr>
                <w:rFonts w:ascii="Arial" w:hAnsi="Arial" w:cs="Arial"/>
                <w:sz w:val="16"/>
                <w:szCs w:val="16"/>
                <w:lang w:val="en-US"/>
              </w:rPr>
            </w:pPr>
            <w:r>
              <w:rPr>
                <w:rFonts w:ascii="Arial" w:hAnsi="Arial" w:cs="Arial"/>
                <w:sz w:val="16"/>
                <w:szCs w:val="16"/>
                <w:lang w:val="en-US"/>
              </w:rPr>
              <w:t>Control</w:t>
            </w:r>
          </w:p>
        </w:tc>
      </w:tr>
      <w:tr w:rsidR="009E67D6" w:rsidRPr="000A6D40" w14:paraId="5B9359EB" w14:textId="77777777" w:rsidTr="00536649">
        <w:trPr>
          <w:trHeight w:val="225"/>
        </w:trPr>
        <w:tc>
          <w:tcPr>
            <w:tcW w:w="8520" w:type="dxa"/>
            <w:gridSpan w:val="10"/>
            <w:tcBorders>
              <w:top w:val="single" w:sz="4" w:space="0" w:color="auto"/>
              <w:left w:val="single" w:sz="4" w:space="0" w:color="auto"/>
              <w:bottom w:val="nil"/>
              <w:right w:val="single" w:sz="4" w:space="0" w:color="auto"/>
            </w:tcBorders>
            <w:shd w:val="clear" w:color="auto" w:fill="auto"/>
            <w:noWrap/>
            <w:vAlign w:val="center"/>
          </w:tcPr>
          <w:p w14:paraId="3BF25AD4" w14:textId="77EDF717" w:rsidR="009E67D6" w:rsidRPr="003603A2" w:rsidRDefault="009E67D6" w:rsidP="009E67D6">
            <w:pPr>
              <w:autoSpaceDE/>
              <w:autoSpaceDN/>
              <w:jc w:val="both"/>
              <w:rPr>
                <w:rFonts w:ascii="Arial" w:hAnsi="Arial" w:cs="Arial"/>
                <w:sz w:val="16"/>
                <w:szCs w:val="16"/>
                <w:lang w:val="en-US"/>
              </w:rPr>
            </w:pPr>
            <w:r>
              <w:rPr>
                <w:rFonts w:ascii="Arial" w:hAnsi="Arial" w:cs="Arial"/>
                <w:sz w:val="16"/>
                <w:szCs w:val="16"/>
                <w:lang w:val="en-US"/>
              </w:rPr>
              <w:t xml:space="preserve">Randomized </w:t>
            </w:r>
            <w:r w:rsidR="00C82E09">
              <w:rPr>
                <w:rFonts w:ascii="Arial" w:hAnsi="Arial" w:cs="Arial"/>
                <w:sz w:val="16"/>
                <w:szCs w:val="16"/>
                <w:lang w:val="en-US"/>
              </w:rPr>
              <w:t xml:space="preserve">trials </w:t>
            </w:r>
            <w:r w:rsidR="0077700B" w:rsidRPr="0077700B">
              <w:rPr>
                <w:rFonts w:ascii="Arial" w:hAnsi="Arial" w:cs="Arial"/>
                <w:sz w:val="16"/>
                <w:szCs w:val="16"/>
                <w:lang w:val="en-US"/>
              </w:rPr>
              <w:t xml:space="preserve">assessing </w:t>
            </w:r>
            <w:r>
              <w:rPr>
                <w:rFonts w:ascii="Arial" w:hAnsi="Arial" w:cs="Arial"/>
                <w:sz w:val="16"/>
                <w:szCs w:val="16"/>
                <w:lang w:val="en-US"/>
              </w:rPr>
              <w:t>a single preoperative bolus of tranexamic acid versus placebo or no treatment</w:t>
            </w:r>
          </w:p>
        </w:tc>
      </w:tr>
      <w:tr w:rsidR="006E3C20" w:rsidRPr="003603A2" w14:paraId="309B8899" w14:textId="77777777" w:rsidTr="00536649">
        <w:trPr>
          <w:trHeight w:val="225"/>
        </w:trPr>
        <w:tc>
          <w:tcPr>
            <w:tcW w:w="1291" w:type="dxa"/>
            <w:tcBorders>
              <w:top w:val="single" w:sz="4" w:space="0" w:color="auto"/>
              <w:left w:val="single" w:sz="4" w:space="0" w:color="auto"/>
              <w:bottom w:val="nil"/>
              <w:right w:val="nil"/>
            </w:tcBorders>
            <w:shd w:val="clear" w:color="auto" w:fill="auto"/>
            <w:noWrap/>
            <w:vAlign w:val="center"/>
          </w:tcPr>
          <w:p w14:paraId="3EED8395" w14:textId="77777777" w:rsidR="006E3C20" w:rsidRPr="003603A2" w:rsidRDefault="006E3C20" w:rsidP="00AF256F">
            <w:pPr>
              <w:autoSpaceDE/>
              <w:autoSpaceDN/>
              <w:jc w:val="both"/>
              <w:rPr>
                <w:rFonts w:ascii="Arial" w:hAnsi="Arial" w:cs="Arial"/>
                <w:sz w:val="16"/>
                <w:szCs w:val="16"/>
                <w:lang w:val="en-US"/>
              </w:rPr>
            </w:pPr>
            <w:r w:rsidRPr="003603A2">
              <w:rPr>
                <w:rFonts w:ascii="Arial" w:hAnsi="Arial" w:cs="Arial"/>
                <w:sz w:val="16"/>
                <w:szCs w:val="16"/>
                <w:lang w:val="en-US"/>
              </w:rPr>
              <w:t>Duquenne P</w:t>
            </w:r>
            <w:r w:rsidR="001B2F3D">
              <w:rPr>
                <w:rFonts w:ascii="Arial" w:hAnsi="Arial" w:cs="Arial"/>
                <w:sz w:val="16"/>
                <w:szCs w:val="16"/>
                <w:lang w:val="en-US"/>
              </w:rPr>
              <w:fldChar w:fldCharType="begin"/>
            </w:r>
            <w:r w:rsidR="001B2F3D">
              <w:rPr>
                <w:rFonts w:ascii="Arial" w:hAnsi="Arial" w:cs="Arial"/>
                <w:sz w:val="16"/>
                <w:szCs w:val="16"/>
                <w:lang w:val="en-US"/>
              </w:rPr>
              <w:instrText xml:space="preserve"> ADDIN ZOTERO_ITEM CSL_CITATION {"citationID":"ji8k9ondv","properties":{"formattedCitation":"{\\rtf \\super 3\\nosupersub{}}","plainCitation":"3"},"citationItems":[{"id":1630,"uris":["http://zotero.org/users/325870/items/B3JVUVN5"],"uri":["http://zotero.org/users/325870/items/B3JVUVN5"],"itemData":{"id":1630,"type":"article-journal","title":"Tranexamic acid reduces postoperative blood losses associated with elective total hip replacement","collection-title":"J Bone Joint Surg Br","page":"233","volume":"81(suppl 2)","journalAbbreviation":"J Bone Joint Surg Br","author":[{"family":"Duquenne","given":"P"},{"family":"Lhoehst","given":"L"},{"family":"Henkes","given":"W"},{"family":"De Sart","given":"F"}],"issued":{"date-parts":[["1999"]]}}}],"schema":"https://github.com/citation-style-language/schema/raw/master/csl-citation.json"} </w:instrText>
            </w:r>
            <w:r w:rsidR="001B2F3D">
              <w:rPr>
                <w:rFonts w:ascii="Arial" w:hAnsi="Arial" w:cs="Arial"/>
                <w:sz w:val="16"/>
                <w:szCs w:val="16"/>
                <w:lang w:val="en-US"/>
              </w:rPr>
              <w:fldChar w:fldCharType="separate"/>
            </w:r>
            <w:r w:rsidR="001B2F3D" w:rsidRPr="001B2F3D">
              <w:rPr>
                <w:rFonts w:ascii="Arial" w:hAnsi="Arial" w:cs="Arial"/>
                <w:sz w:val="16"/>
                <w:szCs w:val="24"/>
                <w:vertAlign w:val="superscript"/>
              </w:rPr>
              <w:t>3</w:t>
            </w:r>
            <w:r w:rsidR="001B2F3D">
              <w:rPr>
                <w:rFonts w:ascii="Arial" w:hAnsi="Arial" w:cs="Arial"/>
                <w:sz w:val="16"/>
                <w:szCs w:val="16"/>
                <w:lang w:val="en-US"/>
              </w:rPr>
              <w:fldChar w:fldCharType="end"/>
            </w:r>
          </w:p>
        </w:tc>
        <w:tc>
          <w:tcPr>
            <w:tcW w:w="567" w:type="dxa"/>
            <w:tcBorders>
              <w:top w:val="single" w:sz="4" w:space="0" w:color="auto"/>
              <w:left w:val="nil"/>
              <w:bottom w:val="nil"/>
              <w:right w:val="nil"/>
            </w:tcBorders>
            <w:shd w:val="clear" w:color="auto" w:fill="auto"/>
            <w:noWrap/>
            <w:vAlign w:val="center"/>
          </w:tcPr>
          <w:p w14:paraId="38DDC498" w14:textId="77777777" w:rsidR="006E3C20" w:rsidRPr="003603A2" w:rsidRDefault="006E3C20" w:rsidP="00AF256F">
            <w:pPr>
              <w:autoSpaceDE/>
              <w:autoSpaceDN/>
              <w:jc w:val="center"/>
              <w:rPr>
                <w:rFonts w:ascii="Arial" w:hAnsi="Arial" w:cs="Arial"/>
                <w:sz w:val="16"/>
                <w:szCs w:val="16"/>
                <w:lang w:val="en-US"/>
              </w:rPr>
            </w:pPr>
            <w:r w:rsidRPr="003603A2">
              <w:rPr>
                <w:rFonts w:ascii="Arial" w:hAnsi="Arial" w:cs="Arial"/>
                <w:sz w:val="16"/>
                <w:szCs w:val="16"/>
                <w:lang w:val="en-US"/>
              </w:rPr>
              <w:t>1999</w:t>
            </w:r>
          </w:p>
        </w:tc>
        <w:tc>
          <w:tcPr>
            <w:tcW w:w="1701" w:type="dxa"/>
            <w:tcBorders>
              <w:top w:val="single" w:sz="4" w:space="0" w:color="auto"/>
              <w:left w:val="nil"/>
              <w:bottom w:val="nil"/>
              <w:right w:val="nil"/>
            </w:tcBorders>
            <w:shd w:val="clear" w:color="auto" w:fill="auto"/>
            <w:vAlign w:val="center"/>
          </w:tcPr>
          <w:p w14:paraId="2ECBD06A" w14:textId="77777777" w:rsidR="006E3C20" w:rsidRPr="003603A2" w:rsidRDefault="006E3C20" w:rsidP="00AF256F">
            <w:pPr>
              <w:autoSpaceDE/>
              <w:autoSpaceDN/>
              <w:jc w:val="center"/>
              <w:rPr>
                <w:rFonts w:ascii="Arial" w:hAnsi="Arial" w:cs="Arial"/>
                <w:sz w:val="16"/>
                <w:szCs w:val="16"/>
                <w:lang w:val="en-US"/>
              </w:rPr>
            </w:pPr>
            <w:r w:rsidRPr="003603A2">
              <w:rPr>
                <w:rFonts w:ascii="Arial" w:hAnsi="Arial" w:cs="Arial"/>
                <w:sz w:val="16"/>
                <w:szCs w:val="16"/>
                <w:lang w:val="en-US"/>
              </w:rPr>
              <w:t xml:space="preserve">15 mg/kg </w:t>
            </w:r>
            <w:r w:rsidR="008D2F40">
              <w:rPr>
                <w:rFonts w:ascii="Arial" w:hAnsi="Arial" w:cs="Arial"/>
                <w:sz w:val="16"/>
                <w:szCs w:val="16"/>
                <w:lang w:val="en-US"/>
              </w:rPr>
              <w:t>before surgery</w:t>
            </w:r>
          </w:p>
        </w:tc>
        <w:tc>
          <w:tcPr>
            <w:tcW w:w="851" w:type="dxa"/>
            <w:tcBorders>
              <w:top w:val="single" w:sz="4" w:space="0" w:color="auto"/>
              <w:left w:val="nil"/>
              <w:bottom w:val="nil"/>
              <w:right w:val="nil"/>
            </w:tcBorders>
            <w:vAlign w:val="center"/>
          </w:tcPr>
          <w:p w14:paraId="5C073A23" w14:textId="77777777" w:rsidR="006E3C20" w:rsidRPr="003603A2" w:rsidRDefault="00C82E09" w:rsidP="00AF256F">
            <w:pPr>
              <w:autoSpaceDE/>
              <w:autoSpaceDN/>
              <w:jc w:val="center"/>
              <w:rPr>
                <w:rFonts w:ascii="Arial" w:hAnsi="Arial" w:cs="Arial"/>
                <w:sz w:val="16"/>
                <w:szCs w:val="16"/>
                <w:lang w:val="en-US"/>
              </w:rPr>
            </w:pPr>
            <w:r>
              <w:rPr>
                <w:rFonts w:ascii="Arial" w:hAnsi="Arial" w:cs="Arial"/>
                <w:sz w:val="16"/>
                <w:szCs w:val="16"/>
                <w:lang w:val="en-US"/>
              </w:rPr>
              <w:t>d</w:t>
            </w:r>
            <w:r w:rsidR="008D2F40">
              <w:rPr>
                <w:rFonts w:ascii="Arial" w:hAnsi="Arial" w:cs="Arial"/>
                <w:sz w:val="16"/>
                <w:szCs w:val="16"/>
                <w:lang w:val="en-US"/>
              </w:rPr>
              <w:t>ouble</w:t>
            </w:r>
            <w:r>
              <w:rPr>
                <w:rFonts w:ascii="Arial" w:hAnsi="Arial" w:cs="Arial"/>
                <w:sz w:val="16"/>
                <w:szCs w:val="16"/>
                <w:lang w:val="en-US"/>
              </w:rPr>
              <w:t>-</w:t>
            </w:r>
            <w:r w:rsidR="008D2F40">
              <w:rPr>
                <w:rFonts w:ascii="Arial" w:hAnsi="Arial" w:cs="Arial"/>
                <w:sz w:val="16"/>
                <w:szCs w:val="16"/>
                <w:lang w:val="en-US"/>
              </w:rPr>
              <w:t xml:space="preserve"> blind</w:t>
            </w:r>
          </w:p>
        </w:tc>
        <w:tc>
          <w:tcPr>
            <w:tcW w:w="992" w:type="dxa"/>
            <w:gridSpan w:val="2"/>
            <w:tcBorders>
              <w:top w:val="single" w:sz="4" w:space="0" w:color="auto"/>
              <w:left w:val="nil"/>
              <w:bottom w:val="nil"/>
              <w:right w:val="nil"/>
            </w:tcBorders>
            <w:shd w:val="clear" w:color="auto" w:fill="auto"/>
            <w:noWrap/>
            <w:vAlign w:val="center"/>
          </w:tcPr>
          <w:p w14:paraId="1C4E436F" w14:textId="77777777" w:rsidR="006E3C20" w:rsidRPr="003603A2" w:rsidRDefault="006E3C20" w:rsidP="00AF256F">
            <w:pPr>
              <w:autoSpaceDE/>
              <w:autoSpaceDN/>
              <w:jc w:val="center"/>
              <w:rPr>
                <w:rFonts w:ascii="Arial" w:hAnsi="Arial" w:cs="Arial"/>
                <w:sz w:val="16"/>
                <w:szCs w:val="16"/>
                <w:lang w:val="en-US"/>
              </w:rPr>
            </w:pPr>
            <w:r w:rsidRPr="003603A2">
              <w:rPr>
                <w:rFonts w:ascii="Arial" w:hAnsi="Arial" w:cs="Arial"/>
                <w:sz w:val="16"/>
                <w:szCs w:val="16"/>
                <w:lang w:val="en-US"/>
              </w:rPr>
              <w:t>35</w:t>
            </w:r>
          </w:p>
        </w:tc>
        <w:tc>
          <w:tcPr>
            <w:tcW w:w="709" w:type="dxa"/>
            <w:gridSpan w:val="2"/>
            <w:tcBorders>
              <w:top w:val="single" w:sz="4" w:space="0" w:color="auto"/>
              <w:left w:val="nil"/>
              <w:bottom w:val="nil"/>
              <w:right w:val="nil"/>
            </w:tcBorders>
            <w:shd w:val="clear" w:color="auto" w:fill="auto"/>
            <w:noWrap/>
            <w:vAlign w:val="center"/>
          </w:tcPr>
          <w:p w14:paraId="017DB053" w14:textId="77777777" w:rsidR="006E3C20" w:rsidRPr="003603A2" w:rsidRDefault="006E3C20" w:rsidP="00AF256F">
            <w:pPr>
              <w:autoSpaceDE/>
              <w:autoSpaceDN/>
              <w:jc w:val="center"/>
              <w:rPr>
                <w:rFonts w:ascii="Arial" w:hAnsi="Arial" w:cs="Arial"/>
                <w:sz w:val="16"/>
                <w:szCs w:val="16"/>
                <w:lang w:val="en-US"/>
              </w:rPr>
            </w:pPr>
            <w:r w:rsidRPr="003603A2">
              <w:rPr>
                <w:rFonts w:ascii="Arial" w:hAnsi="Arial" w:cs="Arial"/>
                <w:sz w:val="16"/>
                <w:szCs w:val="16"/>
                <w:lang w:val="en-US"/>
              </w:rPr>
              <w:t>35</w:t>
            </w:r>
          </w:p>
        </w:tc>
        <w:tc>
          <w:tcPr>
            <w:tcW w:w="1134" w:type="dxa"/>
            <w:tcBorders>
              <w:top w:val="single" w:sz="4" w:space="0" w:color="auto"/>
              <w:left w:val="nil"/>
              <w:bottom w:val="nil"/>
              <w:right w:val="nil"/>
            </w:tcBorders>
            <w:shd w:val="clear" w:color="auto" w:fill="auto"/>
            <w:noWrap/>
            <w:vAlign w:val="center"/>
          </w:tcPr>
          <w:p w14:paraId="4DE22011" w14:textId="77777777" w:rsidR="006E3C20" w:rsidRPr="003603A2" w:rsidRDefault="006E3C20" w:rsidP="00AF256F">
            <w:pPr>
              <w:autoSpaceDE/>
              <w:autoSpaceDN/>
              <w:jc w:val="center"/>
              <w:rPr>
                <w:rFonts w:ascii="Arial" w:hAnsi="Arial" w:cs="Arial"/>
                <w:sz w:val="16"/>
                <w:szCs w:val="16"/>
                <w:lang w:val="en-US"/>
              </w:rPr>
            </w:pPr>
            <w:r w:rsidRPr="003603A2">
              <w:rPr>
                <w:rFonts w:ascii="Arial" w:hAnsi="Arial" w:cs="Arial"/>
                <w:sz w:val="16"/>
                <w:szCs w:val="16"/>
                <w:lang w:val="en-US"/>
              </w:rPr>
              <w:t>803 +/- 312</w:t>
            </w:r>
          </w:p>
        </w:tc>
        <w:tc>
          <w:tcPr>
            <w:tcW w:w="1275" w:type="dxa"/>
            <w:tcBorders>
              <w:top w:val="single" w:sz="4" w:space="0" w:color="auto"/>
              <w:left w:val="nil"/>
              <w:bottom w:val="nil"/>
              <w:right w:val="single" w:sz="4" w:space="0" w:color="auto"/>
            </w:tcBorders>
            <w:shd w:val="clear" w:color="auto" w:fill="auto"/>
            <w:noWrap/>
            <w:vAlign w:val="center"/>
          </w:tcPr>
          <w:p w14:paraId="76F503B1" w14:textId="77777777" w:rsidR="006E3C20" w:rsidRPr="003603A2" w:rsidRDefault="006E3C20" w:rsidP="00AF256F">
            <w:pPr>
              <w:autoSpaceDE/>
              <w:autoSpaceDN/>
              <w:jc w:val="center"/>
              <w:rPr>
                <w:rFonts w:ascii="Arial" w:hAnsi="Arial" w:cs="Arial"/>
                <w:sz w:val="16"/>
                <w:szCs w:val="16"/>
                <w:lang w:val="en-US"/>
              </w:rPr>
            </w:pPr>
            <w:r w:rsidRPr="003603A2">
              <w:rPr>
                <w:rFonts w:ascii="Arial" w:hAnsi="Arial" w:cs="Arial"/>
                <w:sz w:val="16"/>
                <w:szCs w:val="16"/>
                <w:lang w:val="en-US"/>
              </w:rPr>
              <w:t>907 +/- 438</w:t>
            </w:r>
          </w:p>
        </w:tc>
      </w:tr>
      <w:tr w:rsidR="005A4803" w:rsidRPr="003603A2" w14:paraId="595DFC06" w14:textId="77777777" w:rsidTr="00536649">
        <w:trPr>
          <w:trHeight w:val="675"/>
        </w:trPr>
        <w:tc>
          <w:tcPr>
            <w:tcW w:w="1291" w:type="dxa"/>
            <w:tcBorders>
              <w:top w:val="nil"/>
              <w:left w:val="single" w:sz="4" w:space="0" w:color="auto"/>
              <w:bottom w:val="nil"/>
              <w:right w:val="nil"/>
            </w:tcBorders>
            <w:shd w:val="clear" w:color="auto" w:fill="auto"/>
            <w:noWrap/>
            <w:vAlign w:val="center"/>
          </w:tcPr>
          <w:p w14:paraId="59D4339E" w14:textId="77777777" w:rsidR="005A4803" w:rsidRPr="003603A2" w:rsidRDefault="005A4803" w:rsidP="00AF256F">
            <w:pPr>
              <w:autoSpaceDE/>
              <w:autoSpaceDN/>
              <w:jc w:val="both"/>
              <w:rPr>
                <w:rFonts w:ascii="Arial" w:hAnsi="Arial" w:cs="Arial"/>
                <w:sz w:val="16"/>
                <w:szCs w:val="16"/>
                <w:lang w:val="en-US"/>
              </w:rPr>
            </w:pPr>
            <w:r w:rsidRPr="003603A2">
              <w:rPr>
                <w:rFonts w:ascii="Arial" w:hAnsi="Arial" w:cs="Arial"/>
                <w:sz w:val="16"/>
                <w:szCs w:val="16"/>
                <w:lang w:val="en-US"/>
              </w:rPr>
              <w:t>Benoni G</w:t>
            </w:r>
            <w:r w:rsidR="003110C1">
              <w:rPr>
                <w:rFonts w:ascii="Arial" w:hAnsi="Arial" w:cs="Arial"/>
                <w:sz w:val="16"/>
                <w:szCs w:val="16"/>
                <w:lang w:val="en-US"/>
              </w:rPr>
              <w:fldChar w:fldCharType="begin"/>
            </w:r>
            <w:r w:rsidR="003110C1">
              <w:rPr>
                <w:rFonts w:ascii="Arial" w:hAnsi="Arial" w:cs="Arial"/>
                <w:sz w:val="16"/>
                <w:szCs w:val="16"/>
                <w:lang w:val="en-US"/>
              </w:rPr>
              <w:instrText xml:space="preserve"> ADDIN ZOTERO_ITEM CSL_CITATION {"citationID":"Pa326dws","properties":{"formattedCitation":"{\\rtf \\super 4\\nosupersub{}}","plainCitation":"4"},"citationItems":[{"id":365,"uris":["http://zotero.org/users/325870/items/IU66VS6K"],"uri":["http://zotero.org/users/325870/items/IU66VS6K"],"itemData":{"id":365,"type":"article-journal","title":"Blood conservation with tranexamic acid in total hip arthroplasty: a randomized, double-blind study in 40 primary operations","container-title":"Acta Orthopaedica Scandinavica","page":"442-448","volume":"72","issue":"5","source":"PubMed","abstract":"We performed a randomized, double-blind study on the effect of tranexamic acid on blood loss and blood transfusions in 40 primary total hip arthroplasties. Tranexamic acid, 10 mg/kg body weight, or placebo, was given intravenously just before the operation. Blood loss during the operation and postoperatively into the drains was recorded, as also were blood hemoglobin concentrations. Ultrasound examination 1 week postoperatively was done to estimate the blood loss due to remaining hematomas. Total (operation + drain) blood loss was 0.76 (95 CI 0.63-0.89) L in the tranexamic acid group as compared to 1.0 (CI 0.81-1.2) L in the placebo group (p = 0.03). The number of blood transfusions during the day of operation was 2 vs. 10 (p = 0.07) and the total number during the hospital stay was 5 vs. 13 (p = 0.2). 1 patient in each group had a pulmonary embolism.","DOI":"10.1080/000164701753532754","ISSN":"0001-6470","note":"PMID: 11728069","shortTitle":"Blood conservation with tranexamic acid in total hip arthroplasty","journalAbbreviation":"Acta Orthop Scand","language":"eng","author":[{"family":"Benoni","given":"G."},{"family":"Fredin","given":"H."},{"family":"Knebel","given":"R."},{"family":"Nilsson","given":"P."}],"issued":{"date-parts":[["2001",10]]}}}],"schema":"https://github.com/citation-style-language/schema/raw/master/csl-citation.json"} </w:instrText>
            </w:r>
            <w:r w:rsidR="003110C1">
              <w:rPr>
                <w:rFonts w:ascii="Arial" w:hAnsi="Arial" w:cs="Arial"/>
                <w:sz w:val="16"/>
                <w:szCs w:val="16"/>
                <w:lang w:val="en-US"/>
              </w:rPr>
              <w:fldChar w:fldCharType="separate"/>
            </w:r>
            <w:r w:rsidR="003110C1" w:rsidRPr="003110C1">
              <w:rPr>
                <w:rFonts w:ascii="Arial" w:hAnsi="Arial" w:cs="Arial"/>
                <w:sz w:val="16"/>
                <w:szCs w:val="24"/>
                <w:vertAlign w:val="superscript"/>
              </w:rPr>
              <w:t>4</w:t>
            </w:r>
            <w:r w:rsidR="003110C1">
              <w:rPr>
                <w:rFonts w:ascii="Arial" w:hAnsi="Arial" w:cs="Arial"/>
                <w:sz w:val="16"/>
                <w:szCs w:val="16"/>
                <w:lang w:val="en-US"/>
              </w:rPr>
              <w:fldChar w:fldCharType="end"/>
            </w:r>
          </w:p>
        </w:tc>
        <w:tc>
          <w:tcPr>
            <w:tcW w:w="567" w:type="dxa"/>
            <w:tcBorders>
              <w:top w:val="nil"/>
              <w:left w:val="nil"/>
              <w:bottom w:val="nil"/>
              <w:right w:val="nil"/>
            </w:tcBorders>
            <w:shd w:val="clear" w:color="auto" w:fill="auto"/>
            <w:noWrap/>
            <w:vAlign w:val="center"/>
          </w:tcPr>
          <w:p w14:paraId="3CCD0CAA"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2001</w:t>
            </w:r>
          </w:p>
        </w:tc>
        <w:tc>
          <w:tcPr>
            <w:tcW w:w="1701" w:type="dxa"/>
            <w:tcBorders>
              <w:top w:val="nil"/>
              <w:left w:val="nil"/>
              <w:bottom w:val="nil"/>
              <w:right w:val="nil"/>
            </w:tcBorders>
            <w:shd w:val="clear" w:color="auto" w:fill="auto"/>
            <w:vAlign w:val="center"/>
          </w:tcPr>
          <w:p w14:paraId="216BAE8D" w14:textId="77777777" w:rsidR="005A4803" w:rsidRPr="008D2F40" w:rsidRDefault="005A4803" w:rsidP="008D2F40">
            <w:pPr>
              <w:autoSpaceDE/>
              <w:autoSpaceDN/>
              <w:jc w:val="center"/>
              <w:rPr>
                <w:rFonts w:ascii="Arial" w:hAnsi="Arial" w:cs="Arial"/>
                <w:sz w:val="16"/>
                <w:szCs w:val="16"/>
                <w:lang w:val="en-US"/>
              </w:rPr>
            </w:pPr>
            <w:r w:rsidRPr="003603A2">
              <w:rPr>
                <w:rFonts w:ascii="Arial" w:hAnsi="Arial" w:cs="Arial"/>
                <w:sz w:val="16"/>
                <w:szCs w:val="16"/>
                <w:lang w:val="en-US"/>
              </w:rPr>
              <w:t xml:space="preserve">10 mg/kg </w:t>
            </w:r>
            <w:r>
              <w:rPr>
                <w:rFonts w:ascii="Arial" w:hAnsi="Arial" w:cs="Arial"/>
                <w:sz w:val="16"/>
                <w:szCs w:val="16"/>
                <w:lang w:val="en-US"/>
              </w:rPr>
              <w:t>before surgery</w:t>
            </w:r>
          </w:p>
        </w:tc>
        <w:tc>
          <w:tcPr>
            <w:tcW w:w="851" w:type="dxa"/>
            <w:tcBorders>
              <w:top w:val="nil"/>
              <w:left w:val="nil"/>
              <w:bottom w:val="nil"/>
              <w:right w:val="nil"/>
            </w:tcBorders>
            <w:vAlign w:val="center"/>
          </w:tcPr>
          <w:p w14:paraId="3B141411" w14:textId="77777777" w:rsidR="005A4803" w:rsidRPr="003603A2" w:rsidRDefault="00C82E09" w:rsidP="00AF256F">
            <w:pPr>
              <w:autoSpaceDE/>
              <w:autoSpaceDN/>
              <w:jc w:val="center"/>
              <w:rPr>
                <w:rFonts w:ascii="Arial" w:hAnsi="Arial" w:cs="Arial"/>
                <w:sz w:val="16"/>
                <w:szCs w:val="16"/>
                <w:lang w:val="en-US"/>
              </w:rPr>
            </w:pPr>
            <w:r>
              <w:rPr>
                <w:rFonts w:ascii="Arial" w:hAnsi="Arial" w:cs="Arial"/>
                <w:sz w:val="16"/>
                <w:szCs w:val="16"/>
                <w:lang w:val="en-US"/>
              </w:rPr>
              <w:t>double-</w:t>
            </w:r>
            <w:r w:rsidR="005A4803">
              <w:rPr>
                <w:rFonts w:ascii="Arial" w:hAnsi="Arial" w:cs="Arial"/>
                <w:sz w:val="16"/>
                <w:szCs w:val="16"/>
                <w:lang w:val="en-US"/>
              </w:rPr>
              <w:t xml:space="preserve"> blind</w:t>
            </w:r>
          </w:p>
        </w:tc>
        <w:tc>
          <w:tcPr>
            <w:tcW w:w="992" w:type="dxa"/>
            <w:gridSpan w:val="2"/>
            <w:tcBorders>
              <w:top w:val="nil"/>
              <w:left w:val="nil"/>
              <w:bottom w:val="nil"/>
              <w:right w:val="nil"/>
            </w:tcBorders>
            <w:shd w:val="clear" w:color="auto" w:fill="auto"/>
            <w:noWrap/>
            <w:vAlign w:val="center"/>
          </w:tcPr>
          <w:p w14:paraId="0C529689"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18</w:t>
            </w:r>
          </w:p>
        </w:tc>
        <w:tc>
          <w:tcPr>
            <w:tcW w:w="709" w:type="dxa"/>
            <w:gridSpan w:val="2"/>
            <w:tcBorders>
              <w:top w:val="nil"/>
              <w:left w:val="nil"/>
              <w:bottom w:val="nil"/>
              <w:right w:val="nil"/>
            </w:tcBorders>
            <w:shd w:val="clear" w:color="auto" w:fill="auto"/>
            <w:noWrap/>
            <w:vAlign w:val="center"/>
          </w:tcPr>
          <w:p w14:paraId="5765CEC0"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20</w:t>
            </w:r>
          </w:p>
        </w:tc>
        <w:tc>
          <w:tcPr>
            <w:tcW w:w="1134" w:type="dxa"/>
            <w:tcBorders>
              <w:top w:val="nil"/>
              <w:left w:val="nil"/>
              <w:bottom w:val="nil"/>
              <w:right w:val="nil"/>
            </w:tcBorders>
            <w:shd w:val="clear" w:color="auto" w:fill="auto"/>
            <w:noWrap/>
            <w:vAlign w:val="center"/>
          </w:tcPr>
          <w:p w14:paraId="77B97270"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1028 +/- 333</w:t>
            </w:r>
          </w:p>
        </w:tc>
        <w:tc>
          <w:tcPr>
            <w:tcW w:w="1275" w:type="dxa"/>
            <w:tcBorders>
              <w:top w:val="nil"/>
              <w:left w:val="nil"/>
              <w:bottom w:val="nil"/>
              <w:right w:val="single" w:sz="4" w:space="0" w:color="auto"/>
            </w:tcBorders>
            <w:shd w:val="clear" w:color="auto" w:fill="auto"/>
            <w:noWrap/>
            <w:vAlign w:val="center"/>
          </w:tcPr>
          <w:p w14:paraId="206838F6"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1382 +/- 455</w:t>
            </w:r>
          </w:p>
        </w:tc>
      </w:tr>
      <w:tr w:rsidR="005A4803" w:rsidRPr="003603A2" w14:paraId="2A4DBFDA" w14:textId="77777777" w:rsidTr="00536649">
        <w:trPr>
          <w:trHeight w:val="450"/>
        </w:trPr>
        <w:tc>
          <w:tcPr>
            <w:tcW w:w="1291" w:type="dxa"/>
            <w:tcBorders>
              <w:top w:val="nil"/>
              <w:left w:val="single" w:sz="4" w:space="0" w:color="auto"/>
              <w:bottom w:val="nil"/>
              <w:right w:val="nil"/>
            </w:tcBorders>
            <w:shd w:val="clear" w:color="auto" w:fill="auto"/>
            <w:noWrap/>
            <w:vAlign w:val="center"/>
          </w:tcPr>
          <w:p w14:paraId="059A5709" w14:textId="77777777" w:rsidR="005A4803" w:rsidRPr="003603A2" w:rsidRDefault="005A4803" w:rsidP="00AF256F">
            <w:pPr>
              <w:autoSpaceDE/>
              <w:autoSpaceDN/>
              <w:jc w:val="both"/>
              <w:rPr>
                <w:rFonts w:ascii="Arial" w:hAnsi="Arial" w:cs="Arial"/>
                <w:sz w:val="16"/>
                <w:szCs w:val="16"/>
                <w:lang w:val="en-US"/>
              </w:rPr>
            </w:pPr>
            <w:r w:rsidRPr="003603A2">
              <w:rPr>
                <w:rFonts w:ascii="Arial" w:hAnsi="Arial" w:cs="Arial"/>
                <w:sz w:val="16"/>
                <w:szCs w:val="16"/>
                <w:lang w:val="en-US"/>
              </w:rPr>
              <w:t>Yamasaki S</w:t>
            </w:r>
            <w:r w:rsidR="003110C1">
              <w:rPr>
                <w:rFonts w:ascii="Arial" w:hAnsi="Arial" w:cs="Arial"/>
                <w:sz w:val="16"/>
                <w:szCs w:val="16"/>
                <w:lang w:val="en-US"/>
              </w:rPr>
              <w:fldChar w:fldCharType="begin"/>
            </w:r>
            <w:r w:rsidR="003110C1">
              <w:rPr>
                <w:rFonts w:ascii="Arial" w:hAnsi="Arial" w:cs="Arial"/>
                <w:sz w:val="16"/>
                <w:szCs w:val="16"/>
                <w:lang w:val="en-US"/>
              </w:rPr>
              <w:instrText xml:space="preserve"> ADDIN ZOTERO_ITEM CSL_CITATION {"citationID":"0hs6am3E","properties":{"formattedCitation":"{\\rtf \\super 5\\nosupersub{}}","plainCitation":"5"},"citationItems":[{"id":139,"uris":["http://zotero.org/users/325870/items/8AKA7QSF"],"uri":["http://zotero.org/users/325870/items/8AKA7QSF"],"itemData":{"id":139,"type":"article-journal","title":"Tranexamic acid reduces blood loss after cementless total hip arthroplasty-prospective randomized study in 40 cases","container-title":"International Orthopaedics","page":"69-73","volume":"28","issue":"2","source":"PubMed","abstract":"We investigated the effects of tranexamic acid in 40 patients who had received cementless total hip arthroplasty (THA) in a prospective, randomized study. In 20 patients, 1000 mg of whole-body tranexamic acid was administered intravenously 5 min before the operation started. The other 20 patients served as a control group and were operated on without tranexamic acid. Perioperative blood loss was similar in the tranexamic acid group and in the control group. Postoperative blood loss of the tranexamic acid group was significantly less than that of the control group at 2, 4, 6, 8, 10, and 12 h. Regarding time-related changes of postoperative blood loss, significant reduction was observed during the first 2 h after surgery in the tranexamic acid group ( P&lt;0.001). After the first 2 h, there was no significant difference between the tranexamic acid group and the control group. Preoperative administration of tranexamic acid decreased postoperative blood loss until 12 h and total bleeding in cementless THA by reduction of blood loss during the first 2 h after surgery.","DOI":"10.1007/s00264-003-0511-4","ISSN":"0341-2695","note":"PMID: 15224162\nPMCID: PMC3474476","journalAbbreviation":"Int Orthop","language":"eng","author":[{"family":"Yamasaki","given":"Satoshi"},{"family":"Masuhara","given":"Kensaku"},{"family":"Fuji","given":"Takeshi"}],"issued":{"date-parts":[["2004",4]]}}}],"schema":"https://github.com/citation-style-language/schema/raw/master/csl-citation.json"} </w:instrText>
            </w:r>
            <w:r w:rsidR="003110C1">
              <w:rPr>
                <w:rFonts w:ascii="Arial" w:hAnsi="Arial" w:cs="Arial"/>
                <w:sz w:val="16"/>
                <w:szCs w:val="16"/>
                <w:lang w:val="en-US"/>
              </w:rPr>
              <w:fldChar w:fldCharType="separate"/>
            </w:r>
            <w:r w:rsidR="003110C1" w:rsidRPr="003110C1">
              <w:rPr>
                <w:rFonts w:ascii="Arial" w:hAnsi="Arial" w:cs="Arial"/>
                <w:sz w:val="16"/>
                <w:szCs w:val="24"/>
                <w:vertAlign w:val="superscript"/>
              </w:rPr>
              <w:t>5</w:t>
            </w:r>
            <w:r w:rsidR="003110C1">
              <w:rPr>
                <w:rFonts w:ascii="Arial" w:hAnsi="Arial" w:cs="Arial"/>
                <w:sz w:val="16"/>
                <w:szCs w:val="16"/>
                <w:lang w:val="en-US"/>
              </w:rPr>
              <w:fldChar w:fldCharType="end"/>
            </w:r>
          </w:p>
        </w:tc>
        <w:tc>
          <w:tcPr>
            <w:tcW w:w="567" w:type="dxa"/>
            <w:tcBorders>
              <w:top w:val="nil"/>
              <w:left w:val="nil"/>
              <w:bottom w:val="nil"/>
              <w:right w:val="nil"/>
            </w:tcBorders>
            <w:shd w:val="clear" w:color="auto" w:fill="auto"/>
            <w:noWrap/>
            <w:vAlign w:val="center"/>
          </w:tcPr>
          <w:p w14:paraId="0D09BA7B"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2003</w:t>
            </w:r>
          </w:p>
        </w:tc>
        <w:tc>
          <w:tcPr>
            <w:tcW w:w="1701" w:type="dxa"/>
            <w:tcBorders>
              <w:top w:val="nil"/>
              <w:left w:val="nil"/>
              <w:bottom w:val="nil"/>
              <w:right w:val="nil"/>
            </w:tcBorders>
            <w:shd w:val="clear" w:color="auto" w:fill="auto"/>
            <w:vAlign w:val="center"/>
          </w:tcPr>
          <w:p w14:paraId="4943BBBA" w14:textId="77777777" w:rsidR="005A4803" w:rsidRPr="008D2F40" w:rsidRDefault="005A4803" w:rsidP="008D2F40">
            <w:pPr>
              <w:autoSpaceDE/>
              <w:autoSpaceDN/>
              <w:jc w:val="center"/>
              <w:rPr>
                <w:rFonts w:ascii="Arial" w:hAnsi="Arial" w:cs="Arial"/>
                <w:sz w:val="16"/>
                <w:szCs w:val="16"/>
                <w:lang w:val="en-US"/>
              </w:rPr>
            </w:pPr>
            <w:smartTag w:uri="urn:schemas-microsoft-com:office:smarttags" w:element="metricconverter">
              <w:smartTagPr>
                <w:attr w:name="ProductID" w:val="1 g"/>
              </w:smartTagPr>
              <w:r w:rsidRPr="003603A2">
                <w:rPr>
                  <w:rFonts w:ascii="Arial" w:hAnsi="Arial" w:cs="Arial"/>
                  <w:sz w:val="16"/>
                  <w:szCs w:val="16"/>
                  <w:lang w:val="en-US"/>
                </w:rPr>
                <w:t>1 g</w:t>
              </w:r>
            </w:smartTag>
            <w:r w:rsidRPr="003603A2">
              <w:rPr>
                <w:rFonts w:ascii="Arial" w:hAnsi="Arial" w:cs="Arial"/>
                <w:sz w:val="16"/>
                <w:szCs w:val="16"/>
                <w:lang w:val="en-US"/>
              </w:rPr>
              <w:t xml:space="preserve"> </w:t>
            </w:r>
            <w:r>
              <w:rPr>
                <w:rFonts w:ascii="Arial" w:hAnsi="Arial" w:cs="Arial"/>
                <w:sz w:val="16"/>
                <w:szCs w:val="16"/>
                <w:lang w:val="en-US"/>
              </w:rPr>
              <w:t>before surgery</w:t>
            </w:r>
          </w:p>
        </w:tc>
        <w:tc>
          <w:tcPr>
            <w:tcW w:w="851" w:type="dxa"/>
            <w:tcBorders>
              <w:top w:val="nil"/>
              <w:left w:val="nil"/>
              <w:bottom w:val="nil"/>
              <w:right w:val="nil"/>
            </w:tcBorders>
            <w:vAlign w:val="center"/>
          </w:tcPr>
          <w:p w14:paraId="4685AD81" w14:textId="77777777" w:rsidR="005A4803" w:rsidRPr="003603A2" w:rsidRDefault="005A4803" w:rsidP="00AF256F">
            <w:pPr>
              <w:autoSpaceDE/>
              <w:autoSpaceDN/>
              <w:jc w:val="center"/>
              <w:rPr>
                <w:rFonts w:ascii="Arial" w:hAnsi="Arial" w:cs="Arial"/>
                <w:sz w:val="16"/>
                <w:szCs w:val="16"/>
                <w:lang w:val="en-US"/>
              </w:rPr>
            </w:pPr>
            <w:r>
              <w:rPr>
                <w:rFonts w:ascii="Arial" w:hAnsi="Arial" w:cs="Arial"/>
                <w:sz w:val="16"/>
                <w:szCs w:val="16"/>
                <w:lang w:val="en-US"/>
              </w:rPr>
              <w:t>open</w:t>
            </w:r>
          </w:p>
        </w:tc>
        <w:tc>
          <w:tcPr>
            <w:tcW w:w="992" w:type="dxa"/>
            <w:gridSpan w:val="2"/>
            <w:tcBorders>
              <w:top w:val="nil"/>
              <w:left w:val="nil"/>
              <w:bottom w:val="nil"/>
              <w:right w:val="nil"/>
            </w:tcBorders>
            <w:shd w:val="clear" w:color="auto" w:fill="auto"/>
            <w:noWrap/>
            <w:vAlign w:val="center"/>
          </w:tcPr>
          <w:p w14:paraId="115E0D06"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20</w:t>
            </w:r>
          </w:p>
        </w:tc>
        <w:tc>
          <w:tcPr>
            <w:tcW w:w="709" w:type="dxa"/>
            <w:gridSpan w:val="2"/>
            <w:tcBorders>
              <w:top w:val="nil"/>
              <w:left w:val="nil"/>
              <w:bottom w:val="nil"/>
              <w:right w:val="nil"/>
            </w:tcBorders>
            <w:shd w:val="clear" w:color="auto" w:fill="auto"/>
            <w:noWrap/>
            <w:vAlign w:val="center"/>
          </w:tcPr>
          <w:p w14:paraId="60266CE1"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20</w:t>
            </w:r>
          </w:p>
        </w:tc>
        <w:tc>
          <w:tcPr>
            <w:tcW w:w="1134" w:type="dxa"/>
            <w:tcBorders>
              <w:top w:val="nil"/>
              <w:left w:val="nil"/>
              <w:bottom w:val="nil"/>
              <w:right w:val="nil"/>
            </w:tcBorders>
            <w:shd w:val="clear" w:color="auto" w:fill="auto"/>
            <w:noWrap/>
            <w:vAlign w:val="center"/>
          </w:tcPr>
          <w:p w14:paraId="3D2BDB71"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1350 +/- 477</w:t>
            </w:r>
          </w:p>
        </w:tc>
        <w:tc>
          <w:tcPr>
            <w:tcW w:w="1275" w:type="dxa"/>
            <w:tcBorders>
              <w:top w:val="nil"/>
              <w:left w:val="nil"/>
              <w:bottom w:val="nil"/>
              <w:right w:val="single" w:sz="4" w:space="0" w:color="auto"/>
            </w:tcBorders>
            <w:shd w:val="clear" w:color="auto" w:fill="auto"/>
            <w:noWrap/>
            <w:vAlign w:val="center"/>
          </w:tcPr>
          <w:p w14:paraId="568E4083"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1667 +/- 401</w:t>
            </w:r>
          </w:p>
        </w:tc>
      </w:tr>
      <w:tr w:rsidR="005A4803" w:rsidRPr="003603A2" w14:paraId="628A99B6" w14:textId="77777777" w:rsidTr="00536649">
        <w:trPr>
          <w:trHeight w:val="675"/>
        </w:trPr>
        <w:tc>
          <w:tcPr>
            <w:tcW w:w="1291" w:type="dxa"/>
            <w:tcBorders>
              <w:top w:val="nil"/>
              <w:left w:val="single" w:sz="4" w:space="0" w:color="auto"/>
              <w:bottom w:val="nil"/>
              <w:right w:val="nil"/>
            </w:tcBorders>
            <w:shd w:val="clear" w:color="auto" w:fill="auto"/>
            <w:noWrap/>
            <w:vAlign w:val="center"/>
          </w:tcPr>
          <w:p w14:paraId="03C5D502" w14:textId="77777777" w:rsidR="005A4803" w:rsidRPr="003603A2" w:rsidRDefault="005A4803" w:rsidP="00AF256F">
            <w:pPr>
              <w:autoSpaceDE/>
              <w:autoSpaceDN/>
              <w:jc w:val="both"/>
              <w:rPr>
                <w:rFonts w:ascii="Arial" w:hAnsi="Arial" w:cs="Arial"/>
                <w:sz w:val="16"/>
                <w:szCs w:val="16"/>
                <w:lang w:val="en-US"/>
              </w:rPr>
            </w:pPr>
            <w:r w:rsidRPr="003603A2">
              <w:rPr>
                <w:rFonts w:ascii="Arial" w:hAnsi="Arial" w:cs="Arial"/>
                <w:sz w:val="16"/>
                <w:szCs w:val="16"/>
                <w:lang w:val="en-US"/>
              </w:rPr>
              <w:t>Johansson T</w:t>
            </w:r>
            <w:r w:rsidR="003110C1">
              <w:rPr>
                <w:rFonts w:ascii="Arial" w:hAnsi="Arial" w:cs="Arial"/>
                <w:sz w:val="16"/>
                <w:szCs w:val="16"/>
                <w:lang w:val="en-US"/>
              </w:rPr>
              <w:fldChar w:fldCharType="begin"/>
            </w:r>
            <w:r w:rsidR="003110C1">
              <w:rPr>
                <w:rFonts w:ascii="Arial" w:hAnsi="Arial" w:cs="Arial"/>
                <w:sz w:val="16"/>
                <w:szCs w:val="16"/>
                <w:lang w:val="en-US"/>
              </w:rPr>
              <w:instrText xml:space="preserve"> ADDIN ZOTERO_ITEM CSL_CITATION {"citationID":"z0ucEiOD","properties":{"formattedCitation":"{\\rtf \\super 1\\nosupersub{}}","plainCitation":"1"},"citationItems":[{"id":629,"uris":["http://zotero.org/users/325870/items/WJU5C5SX"],"uri":["http://zotero.org/users/325870/items/WJU5C5SX"],"itemData":{"id":629,"type":"article-journal","title":"Tranexamic acid in total hip arthroplasty saves blood and money: a randomized, double-blind study in 100 patients","container-title":"Acta Orthopaedica","page":"314-319","volume":"76","issue":"3","source":"PubMed","abstract":"BACKGROUND: A blood transfusion is a costly transplantation of tissue that may endanger the health for the recipient. Blood transfusions are common after total hip arthroplasty. The total saving potential is substantial if the blood loss could be reduced. Studies on the use of tranexamic acid have shown interesting results, but its benefits in total hip arthroplasty have not yet been resolved.\nPATIENTS AND METHODS: 100 patients receiving a total hip arthroplasty (THA) got a single injection of tranexamic acid (15 mg/kg) or placebo intravenously before the start of the operation. The study was double-blind and randomized. Total blood loss was calculated from the hemoglobin (Hb) balance. Volume and Hb concentration of the drainage was measured 24 h after the operation. Intraoperative blood loss was estimated volumetrically and visually.\nRESULTS: The patients who received tranexamic acid (TA) bled less. The total blood loss was on average 0.97 L in the TA group and 1.3 L in the placebo group (p &lt; 0.001). 8/47 (0.2) in the TA group were given blood transfusion versus 23/53 (0.4) in the placebo group (p = 0.009). Drainage volume and drainage Hb concentration were less in the TA group (p &lt; 0.001 and p = 0.001). No thromboembolic complications occurred.\nINTERPRETATION: Considering the cost of blood and tranexamic acid only, use of the drug would save EUR 47 Euro per patient. We recommend a preoperative single dose of tranexamic acid for standard use in THA.","ISSN":"1745-3674","note":"PMID: 16156456","shortTitle":"Tranexamic acid in total hip arthroplasty saves blood and money","journalAbbreviation":"Acta Orthop","language":"eng","author":[{"family":"Johansson","given":"Torsten"},{"family":"Pettersson","given":"Lars-Göran"},{"family":"Lisander","given":"Björn"}],"issued":{"date-parts":[["2005",6]]}}}],"schema":"https://github.com/citation-style-language/schema/raw/master/csl-citation.json"} </w:instrText>
            </w:r>
            <w:r w:rsidR="003110C1">
              <w:rPr>
                <w:rFonts w:ascii="Arial" w:hAnsi="Arial" w:cs="Arial"/>
                <w:sz w:val="16"/>
                <w:szCs w:val="16"/>
                <w:lang w:val="en-US"/>
              </w:rPr>
              <w:fldChar w:fldCharType="separate"/>
            </w:r>
            <w:r w:rsidR="003110C1" w:rsidRPr="003110C1">
              <w:rPr>
                <w:rFonts w:ascii="Arial" w:hAnsi="Arial" w:cs="Arial"/>
                <w:sz w:val="16"/>
                <w:szCs w:val="24"/>
                <w:vertAlign w:val="superscript"/>
              </w:rPr>
              <w:t>1</w:t>
            </w:r>
            <w:r w:rsidR="003110C1">
              <w:rPr>
                <w:rFonts w:ascii="Arial" w:hAnsi="Arial" w:cs="Arial"/>
                <w:sz w:val="16"/>
                <w:szCs w:val="16"/>
                <w:lang w:val="en-US"/>
              </w:rPr>
              <w:fldChar w:fldCharType="end"/>
            </w:r>
          </w:p>
        </w:tc>
        <w:tc>
          <w:tcPr>
            <w:tcW w:w="567" w:type="dxa"/>
            <w:tcBorders>
              <w:top w:val="nil"/>
              <w:left w:val="nil"/>
              <w:bottom w:val="nil"/>
              <w:right w:val="nil"/>
            </w:tcBorders>
            <w:shd w:val="clear" w:color="auto" w:fill="auto"/>
            <w:noWrap/>
            <w:vAlign w:val="center"/>
          </w:tcPr>
          <w:p w14:paraId="578953CA"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2004</w:t>
            </w:r>
          </w:p>
        </w:tc>
        <w:tc>
          <w:tcPr>
            <w:tcW w:w="1701" w:type="dxa"/>
            <w:tcBorders>
              <w:top w:val="nil"/>
              <w:left w:val="nil"/>
              <w:bottom w:val="nil"/>
              <w:right w:val="nil"/>
            </w:tcBorders>
            <w:shd w:val="clear" w:color="auto" w:fill="auto"/>
            <w:vAlign w:val="center"/>
          </w:tcPr>
          <w:p w14:paraId="4A6050B6" w14:textId="77777777" w:rsidR="005A4803" w:rsidRPr="008D2F40" w:rsidRDefault="005A4803" w:rsidP="008D2F40">
            <w:pPr>
              <w:autoSpaceDE/>
              <w:autoSpaceDN/>
              <w:jc w:val="center"/>
              <w:rPr>
                <w:rFonts w:ascii="Arial" w:hAnsi="Arial" w:cs="Arial"/>
                <w:sz w:val="16"/>
                <w:szCs w:val="16"/>
                <w:lang w:val="en-US"/>
              </w:rPr>
            </w:pPr>
            <w:r w:rsidRPr="003603A2">
              <w:rPr>
                <w:rFonts w:ascii="Arial" w:hAnsi="Arial" w:cs="Arial"/>
                <w:sz w:val="16"/>
                <w:szCs w:val="16"/>
                <w:lang w:val="en-US"/>
              </w:rPr>
              <w:t xml:space="preserve">15 mg/kg </w:t>
            </w:r>
            <w:r>
              <w:rPr>
                <w:rFonts w:ascii="Arial" w:hAnsi="Arial" w:cs="Arial"/>
                <w:sz w:val="16"/>
                <w:szCs w:val="16"/>
                <w:lang w:val="en-US"/>
              </w:rPr>
              <w:t>before surgery</w:t>
            </w:r>
          </w:p>
        </w:tc>
        <w:tc>
          <w:tcPr>
            <w:tcW w:w="851" w:type="dxa"/>
            <w:tcBorders>
              <w:top w:val="nil"/>
              <w:left w:val="nil"/>
              <w:bottom w:val="nil"/>
              <w:right w:val="nil"/>
            </w:tcBorders>
            <w:vAlign w:val="center"/>
          </w:tcPr>
          <w:p w14:paraId="6C053845" w14:textId="77777777" w:rsidR="005A4803" w:rsidRPr="003603A2" w:rsidRDefault="00C82E09" w:rsidP="00AF256F">
            <w:pPr>
              <w:autoSpaceDE/>
              <w:autoSpaceDN/>
              <w:jc w:val="center"/>
              <w:rPr>
                <w:rFonts w:ascii="Arial" w:hAnsi="Arial" w:cs="Arial"/>
                <w:sz w:val="16"/>
                <w:szCs w:val="16"/>
                <w:lang w:val="en-US"/>
              </w:rPr>
            </w:pPr>
            <w:r>
              <w:rPr>
                <w:rFonts w:ascii="Arial" w:hAnsi="Arial" w:cs="Arial"/>
                <w:sz w:val="16"/>
                <w:szCs w:val="16"/>
                <w:lang w:val="en-US"/>
              </w:rPr>
              <w:t>double-</w:t>
            </w:r>
            <w:r w:rsidR="005A4803">
              <w:rPr>
                <w:rFonts w:ascii="Arial" w:hAnsi="Arial" w:cs="Arial"/>
                <w:sz w:val="16"/>
                <w:szCs w:val="16"/>
                <w:lang w:val="en-US"/>
              </w:rPr>
              <w:t xml:space="preserve"> blind</w:t>
            </w:r>
          </w:p>
        </w:tc>
        <w:tc>
          <w:tcPr>
            <w:tcW w:w="992" w:type="dxa"/>
            <w:gridSpan w:val="2"/>
            <w:tcBorders>
              <w:top w:val="nil"/>
              <w:left w:val="nil"/>
              <w:bottom w:val="nil"/>
              <w:right w:val="nil"/>
            </w:tcBorders>
            <w:shd w:val="clear" w:color="auto" w:fill="auto"/>
            <w:noWrap/>
            <w:vAlign w:val="center"/>
          </w:tcPr>
          <w:p w14:paraId="1F4CAD53"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47</w:t>
            </w:r>
          </w:p>
        </w:tc>
        <w:tc>
          <w:tcPr>
            <w:tcW w:w="709" w:type="dxa"/>
            <w:gridSpan w:val="2"/>
            <w:tcBorders>
              <w:top w:val="nil"/>
              <w:left w:val="nil"/>
              <w:bottom w:val="nil"/>
              <w:right w:val="nil"/>
            </w:tcBorders>
            <w:shd w:val="clear" w:color="auto" w:fill="auto"/>
            <w:noWrap/>
            <w:vAlign w:val="center"/>
          </w:tcPr>
          <w:p w14:paraId="5BA1FF2D"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53</w:t>
            </w:r>
          </w:p>
        </w:tc>
        <w:tc>
          <w:tcPr>
            <w:tcW w:w="1134" w:type="dxa"/>
            <w:tcBorders>
              <w:top w:val="nil"/>
              <w:left w:val="nil"/>
              <w:bottom w:val="nil"/>
              <w:right w:val="nil"/>
            </w:tcBorders>
            <w:shd w:val="clear" w:color="auto" w:fill="auto"/>
            <w:noWrap/>
            <w:vAlign w:val="center"/>
          </w:tcPr>
          <w:p w14:paraId="70C739C3"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969 +/- 434</w:t>
            </w:r>
          </w:p>
        </w:tc>
        <w:tc>
          <w:tcPr>
            <w:tcW w:w="1275" w:type="dxa"/>
            <w:tcBorders>
              <w:top w:val="nil"/>
              <w:left w:val="nil"/>
              <w:bottom w:val="nil"/>
              <w:right w:val="single" w:sz="4" w:space="0" w:color="auto"/>
            </w:tcBorders>
            <w:shd w:val="clear" w:color="auto" w:fill="auto"/>
            <w:noWrap/>
            <w:vAlign w:val="center"/>
          </w:tcPr>
          <w:p w14:paraId="25FFD492"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1324 +/- 577</w:t>
            </w:r>
          </w:p>
        </w:tc>
      </w:tr>
      <w:tr w:rsidR="005A4803" w:rsidRPr="00941BCC" w14:paraId="2A952161" w14:textId="77777777" w:rsidTr="00536649">
        <w:trPr>
          <w:trHeight w:val="225"/>
        </w:trPr>
        <w:tc>
          <w:tcPr>
            <w:tcW w:w="1291" w:type="dxa"/>
            <w:tcBorders>
              <w:top w:val="nil"/>
              <w:left w:val="single" w:sz="4" w:space="0" w:color="auto"/>
              <w:bottom w:val="nil"/>
              <w:right w:val="nil"/>
            </w:tcBorders>
            <w:shd w:val="clear" w:color="auto" w:fill="auto"/>
            <w:noWrap/>
            <w:vAlign w:val="center"/>
          </w:tcPr>
          <w:p w14:paraId="7A37CF8D" w14:textId="33397FD5" w:rsidR="005A4803" w:rsidRPr="003603A2" w:rsidRDefault="005A4803" w:rsidP="00AF256F">
            <w:pPr>
              <w:autoSpaceDE/>
              <w:autoSpaceDN/>
              <w:jc w:val="both"/>
              <w:rPr>
                <w:rFonts w:ascii="Arial" w:hAnsi="Arial" w:cs="Arial"/>
                <w:sz w:val="16"/>
                <w:szCs w:val="16"/>
                <w:lang w:val="en-US"/>
              </w:rPr>
            </w:pPr>
            <w:r w:rsidRPr="003603A2">
              <w:rPr>
                <w:rFonts w:ascii="Arial" w:hAnsi="Arial" w:cs="Arial"/>
                <w:sz w:val="16"/>
                <w:szCs w:val="16"/>
                <w:lang w:val="en-US"/>
              </w:rPr>
              <w:t>Lemay E</w:t>
            </w:r>
            <w:r w:rsidR="000526FF">
              <w:rPr>
                <w:rFonts w:ascii="Arial" w:hAnsi="Arial" w:cs="Arial"/>
                <w:sz w:val="16"/>
                <w:szCs w:val="16"/>
                <w:lang w:val="en-US"/>
              </w:rPr>
              <w:fldChar w:fldCharType="begin"/>
            </w:r>
            <w:r w:rsidR="00941BCC">
              <w:rPr>
                <w:rFonts w:ascii="Arial" w:hAnsi="Arial" w:cs="Arial"/>
                <w:sz w:val="16"/>
                <w:szCs w:val="16"/>
                <w:lang w:val="en-US"/>
              </w:rPr>
              <w:instrText xml:space="preserve"> ADDIN ZOTERO_ITEM CSL_CITATION {"citationID":"bq90b9eO","properties":{"formattedCitation":"{\\rtf \\super 6\\nosupersub{}}","plainCitation":"6"},"citationItems":[{"id":1631,"uris":["http://zotero.org/users/325870/items/FGXJI65P"],"uri":["http://zotero.org/users/325870/items/FGXJI65P"],"itemData":{"id":1631,"type":"article-journal","title":"Tranexamic acid reduces the need for allogenic red blood cell transfusions in patients undergoing total hip replacement","container-title":"Canadian Journal of Anaesthesia","page":"31-37","volume":"51","issue":"1","source":"PubMed","abstract":"PURPOSE: This prospective randomized double-blind trial evaluates the efficacy of tranexamic acid (TA) to decrease blood losses and red blood cell transfusions in patients undergoing primary unilateral total hip replacement (THR).\nMETHODS: Forty ASA class I to III patients received either iv TA 10 mg.kg(-1) bolus before surgery plus a 1 mg.kg(-1).hr(-1) infusion until wound closure (Group TA) or a placebo (Group P). Red blood cell transfusions were administered according to a standardized protocol.\nRESULTS: One patient of Group P was excluded because of an erroneous diagnosis at enrollment. Total measured blood losses (Group TA: 1308 +/- 462 mL vs Group P: 1469 +/- 405 mL), preoperative hemoglobin levels (Group TA: 130.4 +/- 12.5 g.L(-1) vs Group P: 131.4 +/- 12.8 vs g.L(-1)), and seven-day postoperative hemoglobin values (Group TA: 97.8 +/- 11.8 g.L(-1) vs Group P: 102.9 +/- 12.2 g.L(-1)) were similar. Autologous whole blood was available in five patients of Group P and seven patients of Group TA. Fewer patients in Group TA required red blood cells (Group TA: 6/20 vs Group P: 13/19; P = 0.026) and allogenic red blood cell transfusions (Group TA: 0/20 vs Group P: 8/19; P = 0.0012). The median number of transfused unit per patient was also significantly less in patients of Group TA (0 unit) than in Group P (2 units; P = 0.03).\nCONCLUSION: TA did not change measured blood losses but reduced red blood cell transfusion requirements in patients undergoing primary unilateral THR.","DOI":"10.1007/BF03018543","ISSN":"0832-610X","note":"PMID: 14709457","journalAbbreviation":"Can J Anaesth","language":"eng","author":[{"family":"Lemay","given":"Erik"},{"family":"Guay","given":"Joanne"},{"family":"Côté","given":"Christiane"},{"family":"Roy","given":"Alain"}],"issued":{"date-parts":[["2004",1]]}}}],"schema":"https://github.com/citation-style-language/schema/raw/master/csl-citation.json"} </w:instrText>
            </w:r>
            <w:r w:rsidR="000526FF">
              <w:rPr>
                <w:rFonts w:ascii="Arial" w:hAnsi="Arial" w:cs="Arial"/>
                <w:sz w:val="16"/>
                <w:szCs w:val="16"/>
                <w:lang w:val="en-US"/>
              </w:rPr>
              <w:fldChar w:fldCharType="separate"/>
            </w:r>
            <w:r w:rsidR="000526FF" w:rsidRPr="00941BCC">
              <w:rPr>
                <w:rFonts w:ascii="Arial" w:hAnsi="Arial" w:cs="Arial"/>
                <w:sz w:val="16"/>
                <w:szCs w:val="24"/>
                <w:vertAlign w:val="superscript"/>
                <w:lang w:val="en-US"/>
              </w:rPr>
              <w:t>6</w:t>
            </w:r>
            <w:r w:rsidR="000526FF">
              <w:rPr>
                <w:rFonts w:ascii="Arial" w:hAnsi="Arial" w:cs="Arial"/>
                <w:sz w:val="16"/>
                <w:szCs w:val="16"/>
                <w:lang w:val="en-US"/>
              </w:rPr>
              <w:fldChar w:fldCharType="end"/>
            </w:r>
          </w:p>
        </w:tc>
        <w:tc>
          <w:tcPr>
            <w:tcW w:w="567" w:type="dxa"/>
            <w:tcBorders>
              <w:top w:val="nil"/>
              <w:left w:val="nil"/>
              <w:bottom w:val="nil"/>
              <w:right w:val="nil"/>
            </w:tcBorders>
            <w:shd w:val="clear" w:color="auto" w:fill="auto"/>
            <w:noWrap/>
            <w:vAlign w:val="center"/>
          </w:tcPr>
          <w:p w14:paraId="4A225EC4"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2004</w:t>
            </w:r>
          </w:p>
        </w:tc>
        <w:tc>
          <w:tcPr>
            <w:tcW w:w="1701" w:type="dxa"/>
            <w:tcBorders>
              <w:top w:val="nil"/>
              <w:left w:val="nil"/>
              <w:bottom w:val="nil"/>
              <w:right w:val="nil"/>
            </w:tcBorders>
            <w:shd w:val="clear" w:color="auto" w:fill="auto"/>
            <w:vAlign w:val="center"/>
          </w:tcPr>
          <w:p w14:paraId="239A5980" w14:textId="77777777" w:rsidR="005A4803" w:rsidRPr="003603A2" w:rsidRDefault="005A4803" w:rsidP="00AF256F">
            <w:pPr>
              <w:autoSpaceDE/>
              <w:autoSpaceDN/>
              <w:jc w:val="center"/>
              <w:rPr>
                <w:rFonts w:ascii="Arial" w:hAnsi="Arial" w:cs="Arial"/>
                <w:sz w:val="16"/>
                <w:szCs w:val="16"/>
                <w:lang w:val="en-US"/>
              </w:rPr>
            </w:pPr>
            <w:r w:rsidRPr="008D2F40">
              <w:rPr>
                <w:rFonts w:ascii="Arial" w:hAnsi="Arial" w:cs="Arial"/>
                <w:sz w:val="16"/>
                <w:szCs w:val="16"/>
                <w:lang w:val="en-US"/>
              </w:rPr>
              <w:t xml:space="preserve">10 mg/kg before </w:t>
            </w:r>
            <w:r>
              <w:rPr>
                <w:rFonts w:ascii="Arial" w:hAnsi="Arial" w:cs="Arial"/>
                <w:sz w:val="16"/>
                <w:szCs w:val="16"/>
                <w:lang w:val="en-US"/>
              </w:rPr>
              <w:t>surgery</w:t>
            </w:r>
            <w:r w:rsidRPr="008D2F40">
              <w:rPr>
                <w:rFonts w:ascii="Arial" w:hAnsi="Arial" w:cs="Arial"/>
                <w:sz w:val="16"/>
                <w:szCs w:val="16"/>
                <w:lang w:val="en-US"/>
              </w:rPr>
              <w:t xml:space="preserve"> + 1 mg/kg/h </w:t>
            </w:r>
            <w:r>
              <w:rPr>
                <w:rFonts w:ascii="Arial" w:hAnsi="Arial" w:cs="Arial"/>
                <w:sz w:val="16"/>
                <w:szCs w:val="16"/>
                <w:lang w:val="en-US"/>
              </w:rPr>
              <w:t>during</w:t>
            </w:r>
            <w:r w:rsidRPr="008D2F40">
              <w:rPr>
                <w:rFonts w:ascii="Arial" w:hAnsi="Arial" w:cs="Arial"/>
                <w:sz w:val="16"/>
                <w:szCs w:val="16"/>
                <w:lang w:val="en-US"/>
              </w:rPr>
              <w:t xml:space="preserve"> </w:t>
            </w:r>
            <w:r>
              <w:rPr>
                <w:rFonts w:ascii="Arial" w:hAnsi="Arial" w:cs="Arial"/>
                <w:sz w:val="16"/>
                <w:szCs w:val="16"/>
                <w:lang w:val="en-US"/>
              </w:rPr>
              <w:t>surgery</w:t>
            </w:r>
          </w:p>
        </w:tc>
        <w:tc>
          <w:tcPr>
            <w:tcW w:w="851" w:type="dxa"/>
            <w:tcBorders>
              <w:top w:val="nil"/>
              <w:left w:val="nil"/>
              <w:bottom w:val="nil"/>
              <w:right w:val="nil"/>
            </w:tcBorders>
            <w:vAlign w:val="center"/>
          </w:tcPr>
          <w:p w14:paraId="7368443C" w14:textId="77777777" w:rsidR="005A4803" w:rsidRPr="003603A2" w:rsidRDefault="00C82E09" w:rsidP="00AF256F">
            <w:pPr>
              <w:autoSpaceDE/>
              <w:autoSpaceDN/>
              <w:jc w:val="center"/>
              <w:rPr>
                <w:rFonts w:ascii="Arial" w:hAnsi="Arial" w:cs="Arial"/>
                <w:sz w:val="16"/>
                <w:szCs w:val="16"/>
                <w:lang w:val="en-US"/>
              </w:rPr>
            </w:pPr>
            <w:r>
              <w:rPr>
                <w:rFonts w:ascii="Arial" w:hAnsi="Arial" w:cs="Arial"/>
                <w:sz w:val="16"/>
                <w:szCs w:val="16"/>
                <w:lang w:val="en-US"/>
              </w:rPr>
              <w:t>double-</w:t>
            </w:r>
            <w:r w:rsidR="005A4803">
              <w:rPr>
                <w:rFonts w:ascii="Arial" w:hAnsi="Arial" w:cs="Arial"/>
                <w:sz w:val="16"/>
                <w:szCs w:val="16"/>
                <w:lang w:val="en-US"/>
              </w:rPr>
              <w:t xml:space="preserve"> blind</w:t>
            </w:r>
          </w:p>
        </w:tc>
        <w:tc>
          <w:tcPr>
            <w:tcW w:w="992" w:type="dxa"/>
            <w:gridSpan w:val="2"/>
            <w:tcBorders>
              <w:top w:val="nil"/>
              <w:left w:val="nil"/>
              <w:bottom w:val="nil"/>
              <w:right w:val="nil"/>
            </w:tcBorders>
            <w:shd w:val="clear" w:color="auto" w:fill="auto"/>
            <w:noWrap/>
            <w:vAlign w:val="center"/>
          </w:tcPr>
          <w:p w14:paraId="020EAF9B"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20</w:t>
            </w:r>
          </w:p>
        </w:tc>
        <w:tc>
          <w:tcPr>
            <w:tcW w:w="709" w:type="dxa"/>
            <w:gridSpan w:val="2"/>
            <w:tcBorders>
              <w:top w:val="nil"/>
              <w:left w:val="nil"/>
              <w:bottom w:val="nil"/>
              <w:right w:val="nil"/>
            </w:tcBorders>
            <w:shd w:val="clear" w:color="auto" w:fill="auto"/>
            <w:noWrap/>
            <w:vAlign w:val="center"/>
          </w:tcPr>
          <w:p w14:paraId="08737FE4"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19</w:t>
            </w:r>
          </w:p>
        </w:tc>
        <w:tc>
          <w:tcPr>
            <w:tcW w:w="1134" w:type="dxa"/>
            <w:tcBorders>
              <w:top w:val="nil"/>
              <w:left w:val="nil"/>
              <w:bottom w:val="nil"/>
              <w:right w:val="nil"/>
            </w:tcBorders>
            <w:shd w:val="clear" w:color="auto" w:fill="auto"/>
            <w:noWrap/>
            <w:vAlign w:val="center"/>
          </w:tcPr>
          <w:p w14:paraId="51FDF23F"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1308 +/- 462</w:t>
            </w:r>
          </w:p>
        </w:tc>
        <w:tc>
          <w:tcPr>
            <w:tcW w:w="1275" w:type="dxa"/>
            <w:tcBorders>
              <w:top w:val="nil"/>
              <w:left w:val="nil"/>
              <w:bottom w:val="nil"/>
              <w:right w:val="single" w:sz="4" w:space="0" w:color="auto"/>
            </w:tcBorders>
            <w:shd w:val="clear" w:color="auto" w:fill="auto"/>
            <w:noWrap/>
            <w:vAlign w:val="center"/>
          </w:tcPr>
          <w:p w14:paraId="16433000"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1469 +/- 405</w:t>
            </w:r>
          </w:p>
        </w:tc>
      </w:tr>
      <w:tr w:rsidR="005A4803" w:rsidRPr="003603A2" w14:paraId="53FB23D3" w14:textId="77777777" w:rsidTr="00536649">
        <w:trPr>
          <w:trHeight w:val="450"/>
        </w:trPr>
        <w:tc>
          <w:tcPr>
            <w:tcW w:w="1291" w:type="dxa"/>
            <w:tcBorders>
              <w:top w:val="nil"/>
              <w:left w:val="single" w:sz="4" w:space="0" w:color="auto"/>
              <w:bottom w:val="nil"/>
              <w:right w:val="nil"/>
            </w:tcBorders>
            <w:shd w:val="clear" w:color="auto" w:fill="auto"/>
            <w:noWrap/>
            <w:vAlign w:val="center"/>
          </w:tcPr>
          <w:p w14:paraId="362E549D" w14:textId="77777777" w:rsidR="005A4803" w:rsidRPr="003603A2" w:rsidRDefault="005A4803" w:rsidP="00AF256F">
            <w:pPr>
              <w:autoSpaceDE/>
              <w:autoSpaceDN/>
              <w:jc w:val="both"/>
              <w:rPr>
                <w:rFonts w:ascii="Arial" w:hAnsi="Arial" w:cs="Arial"/>
                <w:sz w:val="16"/>
                <w:szCs w:val="16"/>
                <w:lang w:val="en-US"/>
              </w:rPr>
            </w:pPr>
            <w:r w:rsidRPr="003603A2">
              <w:rPr>
                <w:rFonts w:ascii="Arial" w:hAnsi="Arial" w:cs="Arial"/>
                <w:sz w:val="16"/>
                <w:szCs w:val="16"/>
                <w:lang w:val="en-US"/>
              </w:rPr>
              <w:t>Garneti N</w:t>
            </w:r>
            <w:r w:rsidR="000526FF">
              <w:rPr>
                <w:rFonts w:ascii="Arial" w:hAnsi="Arial" w:cs="Arial"/>
                <w:sz w:val="16"/>
                <w:szCs w:val="16"/>
                <w:lang w:val="en-US"/>
              </w:rPr>
              <w:fldChar w:fldCharType="begin"/>
            </w:r>
            <w:r w:rsidR="000526FF">
              <w:rPr>
                <w:rFonts w:ascii="Arial" w:hAnsi="Arial" w:cs="Arial"/>
                <w:sz w:val="16"/>
                <w:szCs w:val="16"/>
                <w:lang w:val="en-US"/>
              </w:rPr>
              <w:instrText xml:space="preserve"> ADDIN ZOTERO_ITEM CSL_CITATION {"citationID":"00czUNxU","properties":{"formattedCitation":"{\\rtf \\super 7\\nosupersub{}}","plainCitation":"7"},"citationItems":[{"id":1633,"uris":["http://zotero.org/users/325870/items/T34CQUNB"],"uri":["http://zotero.org/users/325870/items/T34CQUNB"],"itemData":{"id":1633,"type":"article-journal","title":"Bone bleeding during total hip arthroplasty after administration of tranexamic acid","container-title":"The Journal of Arthroplasty","page":"488-492","volume":"19","issue":"4","source":"PubMed","abstract":"Numerous methods of controlling bleeding during total hip arthroplasty have been used. Thromboplastic agents have been used with some success, but the resultant fibrin layer interposed between the bone and cement weakens the interface. Topical freezing saline and hypotensive anesthesia have proved to be the most effective to date. The goal of this randomized, double blind, controlled study is to determine the effect of a single bolus dose of tranexamic acid, administered at the time of anesthesia, on bleeding during primary total hip arthroplasty. Fifty patients were randomized to receive either 10 mg/kg of tranexamic acid or a similar volume of normal saline as a preoperative bolus. Patients were not given pharmacologic thrombotic prophylaxis until 48 hours after surgery. The goal was to measure blood loss from the femoral canal at the time of surgery. An estimate of the internal and external blood loss during and after surgery was performed, and the transfusion requirement was recorded. No significant difference was found between the groups in terms of blood loss from the femoral canal, the perioperative bleeding, and postoperative hemoglobin. In the group that received tranexamic acid, a greater number of patients required transfusion than in the placebo group. The results of this study do not support the routine use of tranexamic acid in primary total hip arthroplasty.","ISSN":"0883-5403","note":"PMID: 15188109","journalAbbreviation":"J Arthroplasty","language":"eng","author":[{"family":"Garneti","given":"Narendra"},{"family":"Field","given":"Jeremy"}],"issued":{"date-parts":[["2004",6]]}}}],"schema":"https://github.com/citation-style-language/schema/raw/master/csl-citation.json"} </w:instrText>
            </w:r>
            <w:r w:rsidR="000526FF">
              <w:rPr>
                <w:rFonts w:ascii="Arial" w:hAnsi="Arial" w:cs="Arial"/>
                <w:sz w:val="16"/>
                <w:szCs w:val="16"/>
                <w:lang w:val="en-US"/>
              </w:rPr>
              <w:fldChar w:fldCharType="separate"/>
            </w:r>
            <w:r w:rsidR="000526FF" w:rsidRPr="000526FF">
              <w:rPr>
                <w:rFonts w:ascii="Arial" w:hAnsi="Arial" w:cs="Arial"/>
                <w:sz w:val="16"/>
                <w:szCs w:val="24"/>
                <w:vertAlign w:val="superscript"/>
              </w:rPr>
              <w:t>7</w:t>
            </w:r>
            <w:r w:rsidR="000526FF">
              <w:rPr>
                <w:rFonts w:ascii="Arial" w:hAnsi="Arial" w:cs="Arial"/>
                <w:sz w:val="16"/>
                <w:szCs w:val="16"/>
                <w:lang w:val="en-US"/>
              </w:rPr>
              <w:fldChar w:fldCharType="end"/>
            </w:r>
          </w:p>
        </w:tc>
        <w:tc>
          <w:tcPr>
            <w:tcW w:w="567" w:type="dxa"/>
            <w:tcBorders>
              <w:top w:val="nil"/>
              <w:left w:val="nil"/>
              <w:bottom w:val="nil"/>
              <w:right w:val="nil"/>
            </w:tcBorders>
            <w:shd w:val="clear" w:color="auto" w:fill="auto"/>
            <w:noWrap/>
            <w:vAlign w:val="center"/>
          </w:tcPr>
          <w:p w14:paraId="2A70E4BA"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2004</w:t>
            </w:r>
          </w:p>
        </w:tc>
        <w:tc>
          <w:tcPr>
            <w:tcW w:w="1701" w:type="dxa"/>
            <w:tcBorders>
              <w:top w:val="nil"/>
              <w:left w:val="nil"/>
              <w:bottom w:val="nil"/>
              <w:right w:val="nil"/>
            </w:tcBorders>
            <w:shd w:val="clear" w:color="auto" w:fill="auto"/>
            <w:vAlign w:val="center"/>
          </w:tcPr>
          <w:p w14:paraId="4803774E" w14:textId="77777777" w:rsidR="005A4803" w:rsidRPr="008D2F40" w:rsidRDefault="005A4803" w:rsidP="008D2F40">
            <w:pPr>
              <w:autoSpaceDE/>
              <w:autoSpaceDN/>
              <w:jc w:val="center"/>
              <w:rPr>
                <w:rFonts w:ascii="Arial" w:hAnsi="Arial" w:cs="Arial"/>
                <w:sz w:val="16"/>
                <w:szCs w:val="16"/>
                <w:lang w:val="en-US"/>
              </w:rPr>
            </w:pPr>
            <w:r w:rsidRPr="003603A2">
              <w:rPr>
                <w:rFonts w:ascii="Arial" w:hAnsi="Arial" w:cs="Arial"/>
                <w:sz w:val="16"/>
                <w:szCs w:val="16"/>
                <w:lang w:val="en-US"/>
              </w:rPr>
              <w:t xml:space="preserve">10 mg/kg </w:t>
            </w:r>
            <w:r>
              <w:rPr>
                <w:rFonts w:ascii="Arial" w:hAnsi="Arial" w:cs="Arial"/>
                <w:sz w:val="16"/>
                <w:szCs w:val="16"/>
                <w:lang w:val="en-US"/>
              </w:rPr>
              <w:t>before surgery</w:t>
            </w:r>
          </w:p>
        </w:tc>
        <w:tc>
          <w:tcPr>
            <w:tcW w:w="851" w:type="dxa"/>
            <w:tcBorders>
              <w:top w:val="nil"/>
              <w:left w:val="nil"/>
              <w:bottom w:val="nil"/>
              <w:right w:val="nil"/>
            </w:tcBorders>
            <w:vAlign w:val="center"/>
          </w:tcPr>
          <w:p w14:paraId="4804CCF8" w14:textId="77777777" w:rsidR="005A4803" w:rsidRPr="003603A2" w:rsidRDefault="00C82E09" w:rsidP="00AF256F">
            <w:pPr>
              <w:autoSpaceDE/>
              <w:autoSpaceDN/>
              <w:jc w:val="center"/>
              <w:rPr>
                <w:rFonts w:ascii="Arial" w:hAnsi="Arial" w:cs="Arial"/>
                <w:sz w:val="16"/>
                <w:szCs w:val="16"/>
                <w:lang w:val="en-US"/>
              </w:rPr>
            </w:pPr>
            <w:r>
              <w:rPr>
                <w:rFonts w:ascii="Arial" w:hAnsi="Arial" w:cs="Arial"/>
                <w:sz w:val="16"/>
                <w:szCs w:val="16"/>
                <w:lang w:val="en-US"/>
              </w:rPr>
              <w:t>double-</w:t>
            </w:r>
            <w:r w:rsidR="005A4803">
              <w:rPr>
                <w:rFonts w:ascii="Arial" w:hAnsi="Arial" w:cs="Arial"/>
                <w:sz w:val="16"/>
                <w:szCs w:val="16"/>
                <w:lang w:val="en-US"/>
              </w:rPr>
              <w:t xml:space="preserve"> blind</w:t>
            </w:r>
          </w:p>
        </w:tc>
        <w:tc>
          <w:tcPr>
            <w:tcW w:w="992" w:type="dxa"/>
            <w:gridSpan w:val="2"/>
            <w:tcBorders>
              <w:top w:val="nil"/>
              <w:left w:val="nil"/>
              <w:bottom w:val="nil"/>
              <w:right w:val="nil"/>
            </w:tcBorders>
            <w:shd w:val="clear" w:color="auto" w:fill="auto"/>
            <w:noWrap/>
            <w:vAlign w:val="center"/>
          </w:tcPr>
          <w:p w14:paraId="7B381391"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25</w:t>
            </w:r>
          </w:p>
        </w:tc>
        <w:tc>
          <w:tcPr>
            <w:tcW w:w="709" w:type="dxa"/>
            <w:gridSpan w:val="2"/>
            <w:tcBorders>
              <w:top w:val="nil"/>
              <w:left w:val="nil"/>
              <w:bottom w:val="nil"/>
              <w:right w:val="nil"/>
            </w:tcBorders>
            <w:shd w:val="clear" w:color="auto" w:fill="auto"/>
            <w:noWrap/>
            <w:vAlign w:val="center"/>
          </w:tcPr>
          <w:p w14:paraId="31539AD6"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25</w:t>
            </w:r>
          </w:p>
        </w:tc>
        <w:tc>
          <w:tcPr>
            <w:tcW w:w="1134" w:type="dxa"/>
            <w:tcBorders>
              <w:top w:val="nil"/>
              <w:left w:val="nil"/>
              <w:bottom w:val="nil"/>
              <w:right w:val="nil"/>
            </w:tcBorders>
            <w:shd w:val="clear" w:color="auto" w:fill="auto"/>
            <w:noWrap/>
            <w:vAlign w:val="center"/>
          </w:tcPr>
          <w:p w14:paraId="6F67D2A4"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1443 +/- 809</w:t>
            </w:r>
          </w:p>
        </w:tc>
        <w:tc>
          <w:tcPr>
            <w:tcW w:w="1275" w:type="dxa"/>
            <w:tcBorders>
              <w:top w:val="nil"/>
              <w:left w:val="nil"/>
              <w:bottom w:val="nil"/>
              <w:right w:val="single" w:sz="4" w:space="0" w:color="auto"/>
            </w:tcBorders>
            <w:shd w:val="clear" w:color="auto" w:fill="auto"/>
            <w:noWrap/>
            <w:vAlign w:val="center"/>
          </w:tcPr>
          <w:p w14:paraId="7D08C1AE"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1340 +/- 665</w:t>
            </w:r>
          </w:p>
        </w:tc>
      </w:tr>
      <w:tr w:rsidR="005A4803" w:rsidRPr="003603A2" w14:paraId="62B09E5C" w14:textId="77777777" w:rsidTr="00536649">
        <w:trPr>
          <w:trHeight w:val="225"/>
        </w:trPr>
        <w:tc>
          <w:tcPr>
            <w:tcW w:w="1291" w:type="dxa"/>
            <w:tcBorders>
              <w:top w:val="nil"/>
              <w:left w:val="single" w:sz="4" w:space="0" w:color="auto"/>
              <w:bottom w:val="nil"/>
              <w:right w:val="nil"/>
            </w:tcBorders>
            <w:shd w:val="clear" w:color="auto" w:fill="auto"/>
            <w:noWrap/>
            <w:vAlign w:val="center"/>
          </w:tcPr>
          <w:p w14:paraId="649A39FB" w14:textId="77777777" w:rsidR="005A4803" w:rsidRPr="003603A2" w:rsidRDefault="005A4803" w:rsidP="00AF256F">
            <w:pPr>
              <w:autoSpaceDE/>
              <w:autoSpaceDN/>
              <w:jc w:val="both"/>
              <w:rPr>
                <w:rFonts w:ascii="Arial" w:hAnsi="Arial" w:cs="Arial"/>
                <w:sz w:val="16"/>
                <w:szCs w:val="16"/>
                <w:lang w:val="en-US"/>
              </w:rPr>
            </w:pPr>
            <w:r w:rsidRPr="003603A2">
              <w:rPr>
                <w:rFonts w:ascii="Arial" w:hAnsi="Arial" w:cs="Arial"/>
                <w:sz w:val="16"/>
                <w:szCs w:val="16"/>
                <w:lang w:val="en-US"/>
              </w:rPr>
              <w:t>Claeys MA</w:t>
            </w:r>
            <w:r w:rsidR="000526FF">
              <w:rPr>
                <w:rFonts w:ascii="Arial" w:hAnsi="Arial" w:cs="Arial"/>
                <w:sz w:val="16"/>
                <w:szCs w:val="16"/>
                <w:lang w:val="en-US"/>
              </w:rPr>
              <w:fldChar w:fldCharType="begin"/>
            </w:r>
            <w:r w:rsidR="000526FF">
              <w:rPr>
                <w:rFonts w:ascii="Arial" w:hAnsi="Arial" w:cs="Arial"/>
                <w:sz w:val="16"/>
                <w:szCs w:val="16"/>
                <w:lang w:val="en-US"/>
              </w:rPr>
              <w:instrText xml:space="preserve"> ADDIN ZOTERO_ITEM CSL_CITATION {"citationID":"QiZOXaTo","properties":{"unsorted":true,"formattedCitation":"{\\rtf \\super 8\\nosupersub{}}","plainCitation":"8"},"citationItems":[{"id":232,"uris":["http://zotero.org/users/325870/items/DSTXVM46"],"uri":["http://zotero.org/users/325870/items/DSTXVM46"],"itemData":{"id":232,"type":"article-journal","title":"Reduction of blood loss with tranexamic acid in primary total hip replacement surgery","container-title":"Acta Chirurgica Belgica","page":"397-401","volume":"107","issue":"4","source":"PubMed","abstract":"BACKGROUND: In this prospective, placebo-controlled, double-blind, randomized clinical trial, we investigated the effect of a single preoperative bolus dose of tranexamic acid (15 mg/kg) on perioperative blood losses and packed cell transfusion requirements in patients scheduled for primary unilateral total hip replacement surgery for degenerative osteoarthrosis.\nPATIENTS AND METHODS: 40 patients were randomized to receive either 15 mg/kg tranexamic acid (TA group) or an equal volume of saline (placebo group) given as a single slow intravenous bolus injection 15 minutes before incision. We recorded per- and postoperative blood losses and transfusion requirements up to 24 hours postoperatively. The patients were screened for deep venous thrombosis with bilateral compression ultrasonography using colour Doppler imaging on the tenth postoperative day.\nRESULTS: Peroperative blood loss was not significantly different between the two treatment groups (TA group : 423 ml, placebo group 516 ml ; p = 0.093). Postoperative blood loss up to 24 hrs, and total blood loss were significantly less in the TA group : 352 vs 524 ml (p = 0.013), and 801 vs 1038 ml (p = 0.013), respectively. Packed red blood cell transfusion requirements were significantly lower in the TA group (1/20 patients, total 2 units) compared to the placebo group (6/20 patients, total 13 units). Compression ultrasonography on the 10th postoperative day was positive for deep venous thrombosis in 3 patients in the TA group (17 patients screened) and negative in all patients of the placebo group (18 patients screened).\nCONCLUSION: Tranexamic acid 15 mg/kg given as a single preoperative bolus dose reduces postoperative and total blood loss, and packed cell transfusion requirements in primary total hip replacement surgery.","ISSN":"0001-5458","note":"PMID: 17966532","journalAbbreviation":"Acta Chir. Belg.","language":"eng","author":[{"family":"Claeys","given":"M. A."},{"family":"Vermeersch","given":"N."},{"family":"Haentjens","given":"P."}],"issued":{"date-parts":[["2007",8]]}}}],"schema":"https://github.com/citation-style-language/schema/raw/master/csl-citation.json"} </w:instrText>
            </w:r>
            <w:r w:rsidR="000526FF">
              <w:rPr>
                <w:rFonts w:ascii="Arial" w:hAnsi="Arial" w:cs="Arial"/>
                <w:sz w:val="16"/>
                <w:szCs w:val="16"/>
                <w:lang w:val="en-US"/>
              </w:rPr>
              <w:fldChar w:fldCharType="separate"/>
            </w:r>
            <w:r w:rsidR="000526FF" w:rsidRPr="000526FF">
              <w:rPr>
                <w:rFonts w:ascii="Arial" w:hAnsi="Arial" w:cs="Arial"/>
                <w:sz w:val="16"/>
                <w:szCs w:val="24"/>
                <w:vertAlign w:val="superscript"/>
              </w:rPr>
              <w:t>8</w:t>
            </w:r>
            <w:r w:rsidR="000526FF">
              <w:rPr>
                <w:rFonts w:ascii="Arial" w:hAnsi="Arial" w:cs="Arial"/>
                <w:sz w:val="16"/>
                <w:szCs w:val="16"/>
                <w:lang w:val="en-US"/>
              </w:rPr>
              <w:fldChar w:fldCharType="end"/>
            </w:r>
          </w:p>
        </w:tc>
        <w:tc>
          <w:tcPr>
            <w:tcW w:w="567" w:type="dxa"/>
            <w:tcBorders>
              <w:top w:val="nil"/>
              <w:left w:val="nil"/>
              <w:bottom w:val="nil"/>
              <w:right w:val="nil"/>
            </w:tcBorders>
            <w:shd w:val="clear" w:color="auto" w:fill="auto"/>
            <w:noWrap/>
            <w:vAlign w:val="center"/>
          </w:tcPr>
          <w:p w14:paraId="0BAF3458"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2007</w:t>
            </w:r>
          </w:p>
        </w:tc>
        <w:tc>
          <w:tcPr>
            <w:tcW w:w="1701" w:type="dxa"/>
            <w:tcBorders>
              <w:top w:val="nil"/>
              <w:left w:val="nil"/>
              <w:bottom w:val="nil"/>
              <w:right w:val="nil"/>
            </w:tcBorders>
            <w:shd w:val="clear" w:color="auto" w:fill="auto"/>
            <w:vAlign w:val="center"/>
          </w:tcPr>
          <w:p w14:paraId="5B77C57F"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 xml:space="preserve">15 mg/kg </w:t>
            </w:r>
            <w:r>
              <w:rPr>
                <w:rFonts w:ascii="Arial" w:hAnsi="Arial" w:cs="Arial"/>
                <w:sz w:val="16"/>
                <w:szCs w:val="16"/>
                <w:lang w:val="en-US"/>
              </w:rPr>
              <w:t>before surgery</w:t>
            </w:r>
          </w:p>
        </w:tc>
        <w:tc>
          <w:tcPr>
            <w:tcW w:w="851" w:type="dxa"/>
            <w:tcBorders>
              <w:top w:val="nil"/>
              <w:left w:val="nil"/>
              <w:bottom w:val="nil"/>
              <w:right w:val="nil"/>
            </w:tcBorders>
            <w:vAlign w:val="center"/>
          </w:tcPr>
          <w:p w14:paraId="1CE07573" w14:textId="77777777" w:rsidR="005A4803" w:rsidRPr="003603A2" w:rsidRDefault="00C82E09" w:rsidP="00AF256F">
            <w:pPr>
              <w:autoSpaceDE/>
              <w:autoSpaceDN/>
              <w:jc w:val="center"/>
              <w:rPr>
                <w:rFonts w:ascii="Arial" w:hAnsi="Arial" w:cs="Arial"/>
                <w:sz w:val="16"/>
                <w:szCs w:val="16"/>
                <w:lang w:val="en-US"/>
              </w:rPr>
            </w:pPr>
            <w:r>
              <w:rPr>
                <w:rFonts w:ascii="Arial" w:hAnsi="Arial" w:cs="Arial"/>
                <w:sz w:val="16"/>
                <w:szCs w:val="16"/>
                <w:lang w:val="en-US"/>
              </w:rPr>
              <w:t>double-</w:t>
            </w:r>
            <w:r w:rsidR="005A4803">
              <w:rPr>
                <w:rFonts w:ascii="Arial" w:hAnsi="Arial" w:cs="Arial"/>
                <w:sz w:val="16"/>
                <w:szCs w:val="16"/>
                <w:lang w:val="en-US"/>
              </w:rPr>
              <w:t xml:space="preserve"> blind</w:t>
            </w:r>
          </w:p>
        </w:tc>
        <w:tc>
          <w:tcPr>
            <w:tcW w:w="992" w:type="dxa"/>
            <w:gridSpan w:val="2"/>
            <w:tcBorders>
              <w:top w:val="nil"/>
              <w:left w:val="nil"/>
              <w:bottom w:val="nil"/>
              <w:right w:val="nil"/>
            </w:tcBorders>
            <w:shd w:val="clear" w:color="auto" w:fill="auto"/>
            <w:noWrap/>
            <w:vAlign w:val="center"/>
          </w:tcPr>
          <w:p w14:paraId="6A068E39"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20</w:t>
            </w:r>
          </w:p>
        </w:tc>
        <w:tc>
          <w:tcPr>
            <w:tcW w:w="709" w:type="dxa"/>
            <w:gridSpan w:val="2"/>
            <w:tcBorders>
              <w:top w:val="nil"/>
              <w:left w:val="nil"/>
              <w:bottom w:val="nil"/>
              <w:right w:val="nil"/>
            </w:tcBorders>
            <w:shd w:val="clear" w:color="auto" w:fill="auto"/>
            <w:noWrap/>
            <w:vAlign w:val="center"/>
          </w:tcPr>
          <w:p w14:paraId="188B0B8F"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20</w:t>
            </w:r>
          </w:p>
        </w:tc>
        <w:tc>
          <w:tcPr>
            <w:tcW w:w="1134" w:type="dxa"/>
            <w:tcBorders>
              <w:top w:val="nil"/>
              <w:left w:val="nil"/>
              <w:bottom w:val="nil"/>
              <w:right w:val="nil"/>
            </w:tcBorders>
            <w:shd w:val="clear" w:color="auto" w:fill="auto"/>
            <w:noWrap/>
            <w:vAlign w:val="center"/>
          </w:tcPr>
          <w:p w14:paraId="2947212D"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801 +/- 244</w:t>
            </w:r>
          </w:p>
        </w:tc>
        <w:tc>
          <w:tcPr>
            <w:tcW w:w="1275" w:type="dxa"/>
            <w:tcBorders>
              <w:top w:val="nil"/>
              <w:left w:val="nil"/>
              <w:bottom w:val="nil"/>
              <w:right w:val="single" w:sz="4" w:space="0" w:color="auto"/>
            </w:tcBorders>
            <w:shd w:val="clear" w:color="auto" w:fill="auto"/>
            <w:noWrap/>
            <w:vAlign w:val="center"/>
          </w:tcPr>
          <w:p w14:paraId="28D085FA"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1038 +/- 289</w:t>
            </w:r>
          </w:p>
        </w:tc>
      </w:tr>
      <w:tr w:rsidR="005A4803" w:rsidRPr="003603A2" w14:paraId="4EAAC08C" w14:textId="77777777" w:rsidTr="00536649">
        <w:trPr>
          <w:trHeight w:val="225"/>
        </w:trPr>
        <w:tc>
          <w:tcPr>
            <w:tcW w:w="1291" w:type="dxa"/>
            <w:tcBorders>
              <w:top w:val="nil"/>
              <w:left w:val="single" w:sz="4" w:space="0" w:color="auto"/>
              <w:bottom w:val="nil"/>
              <w:right w:val="nil"/>
            </w:tcBorders>
            <w:shd w:val="clear" w:color="auto" w:fill="auto"/>
            <w:noWrap/>
            <w:vAlign w:val="center"/>
          </w:tcPr>
          <w:p w14:paraId="2CB827C2" w14:textId="77777777" w:rsidR="005A4803" w:rsidRPr="003603A2" w:rsidRDefault="005A4803" w:rsidP="00AF256F">
            <w:pPr>
              <w:autoSpaceDE/>
              <w:autoSpaceDN/>
              <w:jc w:val="both"/>
              <w:rPr>
                <w:rFonts w:ascii="Arial" w:hAnsi="Arial" w:cs="Arial"/>
                <w:sz w:val="16"/>
                <w:szCs w:val="16"/>
                <w:lang w:val="en-US"/>
              </w:rPr>
            </w:pPr>
            <w:r w:rsidRPr="003603A2">
              <w:rPr>
                <w:rFonts w:ascii="Arial" w:hAnsi="Arial" w:cs="Arial"/>
                <w:sz w:val="16"/>
                <w:szCs w:val="16"/>
                <w:lang w:val="en-US"/>
              </w:rPr>
              <w:t>Rajesparan K</w:t>
            </w:r>
            <w:r w:rsidR="000526FF">
              <w:rPr>
                <w:rFonts w:ascii="Arial" w:hAnsi="Arial" w:cs="Arial"/>
                <w:sz w:val="16"/>
                <w:szCs w:val="16"/>
                <w:lang w:val="en-US"/>
              </w:rPr>
              <w:fldChar w:fldCharType="begin"/>
            </w:r>
            <w:r w:rsidR="000526FF">
              <w:rPr>
                <w:rFonts w:ascii="Arial" w:hAnsi="Arial" w:cs="Arial"/>
                <w:sz w:val="16"/>
                <w:szCs w:val="16"/>
                <w:lang w:val="en-US"/>
              </w:rPr>
              <w:instrText xml:space="preserve"> ADDIN ZOTERO_ITEM CSL_CITATION {"citationID":"fLyftXvg","properties":{"formattedCitation":"{\\rtf \\super 9\\nosupersub{}}","plainCitation":"9"},"citationItems":[{"id":22,"uris":["http://zotero.org/users/325870/items/2IRDQQC4"],"uri":["http://zotero.org/users/325870/items/2IRDQQC4"],"itemData":{"id":22,"type":"article-journal","title":"The effect of an intravenous bolus of tranexamic acid on blood loss in total hip replacement","container-title":"The Journal of Bone and Joint Surgery. British Volume","page":"776-783","volume":"91","issue":"6","source":"PubMed","abstract":"Tranexamic acid is a fibrinolytic inhibitor which reduces blood loss in total knee replacement. We examined the effect on blood loss of a standardised intravenous bolus dose of 1 g of tranexamic acid, given at the induction of anaesthesia in patients undergoing total hip replacement and tested the potential prothrombotic effect by undertaking routine venography. In all, 36 patients received 1 g of tranexamic acid, and 37 no tranexamic acid. Blood loss was measured directly per-operatively and indirectly post-operatively. Tranexamic acid reduced the early post-operative blood loss and total blood loss (p = 0.03 and p = 0.008, respectively) but not the intraoperative blood loss. The tranexamic acid group required fewer transfusions (p = 0.03) and had no increased incidence of deep-vein thrombosis. The reduction in early post-operative blood loss was more marked in women (p = 0.05), in whom this effect was dose-related (r = -0.793). Our study showed that the administration of a standardised pre-operative bolus of 1 g of tranexamic acid was cost-effective in reducing the blood loss and transfusion requirements after total hip replacement, especially in women.","DOI":"10.1302/0301-620X.91B6.22393","ISSN":"0301-620X","note":"PMID: 19483232","journalAbbreviation":"J Bone Joint Surg Br","language":"eng","author":[{"family":"Rajesparan","given":"K."},{"family":"Biant","given":"L. C."},{"family":"Ahmad","given":"M."},{"family":"Field","given":"R. E."}],"issued":{"date-parts":[["2009",6]]}}}],"schema":"https://github.com/citation-style-language/schema/raw/master/csl-citation.json"} </w:instrText>
            </w:r>
            <w:r w:rsidR="000526FF">
              <w:rPr>
                <w:rFonts w:ascii="Arial" w:hAnsi="Arial" w:cs="Arial"/>
                <w:sz w:val="16"/>
                <w:szCs w:val="16"/>
                <w:lang w:val="en-US"/>
              </w:rPr>
              <w:fldChar w:fldCharType="separate"/>
            </w:r>
            <w:r w:rsidR="000526FF" w:rsidRPr="000526FF">
              <w:rPr>
                <w:rFonts w:ascii="Arial" w:hAnsi="Arial" w:cs="Arial"/>
                <w:sz w:val="16"/>
                <w:szCs w:val="24"/>
                <w:vertAlign w:val="superscript"/>
              </w:rPr>
              <w:t>9</w:t>
            </w:r>
            <w:r w:rsidR="000526FF">
              <w:rPr>
                <w:rFonts w:ascii="Arial" w:hAnsi="Arial" w:cs="Arial"/>
                <w:sz w:val="16"/>
                <w:szCs w:val="16"/>
                <w:lang w:val="en-US"/>
              </w:rPr>
              <w:fldChar w:fldCharType="end"/>
            </w:r>
          </w:p>
        </w:tc>
        <w:tc>
          <w:tcPr>
            <w:tcW w:w="567" w:type="dxa"/>
            <w:tcBorders>
              <w:top w:val="nil"/>
              <w:left w:val="nil"/>
              <w:bottom w:val="nil"/>
              <w:right w:val="nil"/>
            </w:tcBorders>
            <w:shd w:val="clear" w:color="auto" w:fill="auto"/>
            <w:noWrap/>
            <w:vAlign w:val="center"/>
          </w:tcPr>
          <w:p w14:paraId="2FDA0C61"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2009</w:t>
            </w:r>
          </w:p>
        </w:tc>
        <w:tc>
          <w:tcPr>
            <w:tcW w:w="1701" w:type="dxa"/>
            <w:tcBorders>
              <w:top w:val="nil"/>
              <w:left w:val="nil"/>
              <w:bottom w:val="nil"/>
              <w:right w:val="nil"/>
            </w:tcBorders>
            <w:shd w:val="clear" w:color="auto" w:fill="auto"/>
            <w:vAlign w:val="center"/>
          </w:tcPr>
          <w:p w14:paraId="5B19A2FA" w14:textId="77777777" w:rsidR="005A4803" w:rsidRPr="003603A2" w:rsidRDefault="005A4803" w:rsidP="00AF256F">
            <w:pPr>
              <w:autoSpaceDE/>
              <w:autoSpaceDN/>
              <w:jc w:val="center"/>
              <w:rPr>
                <w:rFonts w:ascii="Arial" w:hAnsi="Arial" w:cs="Arial"/>
                <w:sz w:val="16"/>
                <w:szCs w:val="16"/>
                <w:lang w:val="en-US"/>
              </w:rPr>
            </w:pPr>
            <w:smartTag w:uri="urn:schemas-microsoft-com:office:smarttags" w:element="metricconverter">
              <w:smartTagPr>
                <w:attr w:name="ProductID" w:val="1 g"/>
              </w:smartTagPr>
              <w:r w:rsidRPr="003603A2">
                <w:rPr>
                  <w:rFonts w:ascii="Arial" w:hAnsi="Arial" w:cs="Arial"/>
                  <w:sz w:val="16"/>
                  <w:szCs w:val="16"/>
                  <w:lang w:val="en-US"/>
                </w:rPr>
                <w:t>1 g</w:t>
              </w:r>
            </w:smartTag>
            <w:r w:rsidRPr="003603A2">
              <w:rPr>
                <w:rFonts w:ascii="Arial" w:hAnsi="Arial" w:cs="Arial"/>
                <w:sz w:val="16"/>
                <w:szCs w:val="16"/>
                <w:lang w:val="en-US"/>
              </w:rPr>
              <w:t xml:space="preserve"> </w:t>
            </w:r>
            <w:r>
              <w:rPr>
                <w:rFonts w:ascii="Arial" w:hAnsi="Arial" w:cs="Arial"/>
                <w:sz w:val="16"/>
                <w:szCs w:val="16"/>
                <w:lang w:val="en-US"/>
              </w:rPr>
              <w:t>before surgery</w:t>
            </w:r>
          </w:p>
        </w:tc>
        <w:tc>
          <w:tcPr>
            <w:tcW w:w="851" w:type="dxa"/>
            <w:tcBorders>
              <w:top w:val="nil"/>
              <w:left w:val="nil"/>
              <w:bottom w:val="nil"/>
              <w:right w:val="nil"/>
            </w:tcBorders>
            <w:vAlign w:val="center"/>
          </w:tcPr>
          <w:p w14:paraId="018E4470" w14:textId="77777777" w:rsidR="005A4803" w:rsidRPr="003603A2" w:rsidRDefault="005A4803" w:rsidP="00AF256F">
            <w:pPr>
              <w:autoSpaceDE/>
              <w:autoSpaceDN/>
              <w:jc w:val="center"/>
              <w:rPr>
                <w:rFonts w:ascii="Arial" w:hAnsi="Arial" w:cs="Arial"/>
                <w:sz w:val="16"/>
                <w:szCs w:val="16"/>
                <w:lang w:val="en-US"/>
              </w:rPr>
            </w:pPr>
            <w:r>
              <w:rPr>
                <w:rFonts w:ascii="Arial" w:hAnsi="Arial" w:cs="Arial"/>
                <w:sz w:val="16"/>
                <w:szCs w:val="16"/>
                <w:lang w:val="en-US"/>
              </w:rPr>
              <w:t>open</w:t>
            </w:r>
          </w:p>
        </w:tc>
        <w:tc>
          <w:tcPr>
            <w:tcW w:w="992" w:type="dxa"/>
            <w:gridSpan w:val="2"/>
            <w:tcBorders>
              <w:top w:val="nil"/>
              <w:left w:val="nil"/>
              <w:bottom w:val="nil"/>
              <w:right w:val="nil"/>
            </w:tcBorders>
            <w:shd w:val="clear" w:color="auto" w:fill="auto"/>
            <w:noWrap/>
            <w:vAlign w:val="center"/>
          </w:tcPr>
          <w:p w14:paraId="49E43A94"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36</w:t>
            </w:r>
          </w:p>
        </w:tc>
        <w:tc>
          <w:tcPr>
            <w:tcW w:w="709" w:type="dxa"/>
            <w:gridSpan w:val="2"/>
            <w:tcBorders>
              <w:top w:val="nil"/>
              <w:left w:val="nil"/>
              <w:bottom w:val="nil"/>
              <w:right w:val="nil"/>
            </w:tcBorders>
            <w:shd w:val="clear" w:color="auto" w:fill="auto"/>
            <w:noWrap/>
            <w:vAlign w:val="center"/>
          </w:tcPr>
          <w:p w14:paraId="53A81AF4"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37</w:t>
            </w:r>
          </w:p>
        </w:tc>
        <w:tc>
          <w:tcPr>
            <w:tcW w:w="1134" w:type="dxa"/>
            <w:tcBorders>
              <w:top w:val="nil"/>
              <w:left w:val="nil"/>
              <w:bottom w:val="nil"/>
              <w:right w:val="nil"/>
            </w:tcBorders>
            <w:shd w:val="clear" w:color="auto" w:fill="auto"/>
            <w:noWrap/>
            <w:vAlign w:val="center"/>
          </w:tcPr>
          <w:p w14:paraId="731EEA1D"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1372+/-436</w:t>
            </w:r>
          </w:p>
        </w:tc>
        <w:tc>
          <w:tcPr>
            <w:tcW w:w="1275" w:type="dxa"/>
            <w:tcBorders>
              <w:top w:val="nil"/>
              <w:left w:val="nil"/>
              <w:bottom w:val="nil"/>
              <w:right w:val="single" w:sz="4" w:space="0" w:color="auto"/>
            </w:tcBorders>
            <w:shd w:val="clear" w:color="auto" w:fill="auto"/>
            <w:noWrap/>
            <w:vAlign w:val="center"/>
          </w:tcPr>
          <w:p w14:paraId="040854D2"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1683+/-705</w:t>
            </w:r>
          </w:p>
        </w:tc>
      </w:tr>
      <w:tr w:rsidR="005A4803" w:rsidRPr="003603A2" w14:paraId="549171F2" w14:textId="77777777" w:rsidTr="00536649">
        <w:trPr>
          <w:trHeight w:val="675"/>
        </w:trPr>
        <w:tc>
          <w:tcPr>
            <w:tcW w:w="1291" w:type="dxa"/>
            <w:tcBorders>
              <w:top w:val="nil"/>
              <w:left w:val="single" w:sz="4" w:space="0" w:color="auto"/>
              <w:right w:val="nil"/>
            </w:tcBorders>
            <w:shd w:val="clear" w:color="auto" w:fill="auto"/>
            <w:noWrap/>
            <w:vAlign w:val="center"/>
          </w:tcPr>
          <w:p w14:paraId="07A9A6E9" w14:textId="77777777" w:rsidR="005A4803" w:rsidRPr="003603A2" w:rsidRDefault="005A4803" w:rsidP="00AF256F">
            <w:pPr>
              <w:autoSpaceDE/>
              <w:autoSpaceDN/>
              <w:jc w:val="both"/>
              <w:rPr>
                <w:rFonts w:ascii="Arial" w:hAnsi="Arial" w:cs="Arial"/>
                <w:sz w:val="16"/>
                <w:szCs w:val="16"/>
                <w:lang w:val="en-US"/>
              </w:rPr>
            </w:pPr>
            <w:r w:rsidRPr="003603A2">
              <w:rPr>
                <w:rFonts w:ascii="Arial" w:hAnsi="Arial" w:cs="Arial"/>
                <w:sz w:val="16"/>
                <w:szCs w:val="16"/>
                <w:lang w:val="en-US"/>
              </w:rPr>
              <w:t>Kazemi SM</w:t>
            </w:r>
            <w:r w:rsidR="000526FF">
              <w:rPr>
                <w:rFonts w:ascii="Arial" w:hAnsi="Arial" w:cs="Arial"/>
                <w:sz w:val="16"/>
                <w:szCs w:val="16"/>
                <w:lang w:val="en-US"/>
              </w:rPr>
              <w:fldChar w:fldCharType="begin"/>
            </w:r>
            <w:r w:rsidR="000526FF">
              <w:rPr>
                <w:rFonts w:ascii="Arial" w:hAnsi="Arial" w:cs="Arial"/>
                <w:sz w:val="16"/>
                <w:szCs w:val="16"/>
                <w:lang w:val="en-US"/>
              </w:rPr>
              <w:instrText xml:space="preserve"> ADDIN ZOTERO_ITEM CSL_CITATION {"citationID":"aMrUhzNk","properties":{"formattedCitation":"{\\rtf \\super 10\\nosupersub{}}","plainCitation":"10"},"citationItems":[{"id":1635,"uris":["http://zotero.org/users/325870/items/P67EK8UI"],"uri":["http://zotero.org/users/325870/items/P67EK8UI"],"itemData":{"id":1635,"type":"article-journal","title":"The effect of tranexamic acid on reducing blood loss in cementless total hip arthroplasty under epidural anesthesia","container-title":"Orthopedics","page":"17","volume":"33","issue":"1","source":"PubMed","abstract":"Total hip arthroplasty (THA) is associated with high intraoperative and postoperative blood loss. Antifibrinolytic drugs have been used to minimize the potential risks of bleeding and blood transfusion. Studies on the effect of tranexamic acid on decreasing blood loss in THA have revealed interesting results, but most have focused on cemented THA. Yet its benefits in THA, especially in cementless THA, have not been proved. We conducted a prospective double-blind randomized controlled study on 64 patients who were candidates for cementless THA under epidural anesthesia between 2006 and 2008. Patients were randomly assigned into study and control groups. Patients in both groups were well matched regarding preoperative characteristics. Five minutes preoperatively 32 patients of the study and control groups received 15 mg/kg tranexamic acid or normal saline intravenously respectively. Our findings showed a significantly smaller decrease in 6- and 24-hour postoperative hemoglobin levels, less intraoperative and postoperative bleeding, and less need for allogenic blood transfusion in the tranexamic acid group. Our results also revealed a higher mean of 6- and 24-hour hematocrit level and shorter hospital stay in the tranexamic acid group compared to the control group, which were not statistically meaningful. In our study no thromboembolic event was seen; except 1 patient in the control group. Our study showed that administering tranexamic acid before the start of cementless THA under epidural anesthesia can reduce intraoperative and postoperative bleeding as well as need for blood transfusion.","DOI":"10.3928/01477447-20091124-30","ISSN":"1938-2367","note":"PMID: 20055345","journalAbbreviation":"Orthopedics","language":"eng","author":[{"family":"Kazemi","given":"Seyyed Morteza"},{"family":"Mosaffa","given":"Faramarz"},{"family":"Eajazi","given":"Alireza"},{"family":"Kaffashi","given":"Mohammad"},{"family":"Daftari Besheli","given":"Laleh"},{"family":"Bigdeli","given":"Mohammad Reza"},{"family":"Zanganeh","given":"Ramin Farhang"}],"issued":{"date-parts":[["2010",1]]}}}],"schema":"https://github.com/citation-style-language/schema/raw/master/csl-citation.json"} </w:instrText>
            </w:r>
            <w:r w:rsidR="000526FF">
              <w:rPr>
                <w:rFonts w:ascii="Arial" w:hAnsi="Arial" w:cs="Arial"/>
                <w:sz w:val="16"/>
                <w:szCs w:val="16"/>
                <w:lang w:val="en-US"/>
              </w:rPr>
              <w:fldChar w:fldCharType="separate"/>
            </w:r>
            <w:r w:rsidR="000526FF" w:rsidRPr="000526FF">
              <w:rPr>
                <w:rFonts w:ascii="Arial" w:hAnsi="Arial" w:cs="Arial"/>
                <w:sz w:val="16"/>
                <w:szCs w:val="24"/>
                <w:vertAlign w:val="superscript"/>
              </w:rPr>
              <w:t>10</w:t>
            </w:r>
            <w:r w:rsidR="000526FF">
              <w:rPr>
                <w:rFonts w:ascii="Arial" w:hAnsi="Arial" w:cs="Arial"/>
                <w:sz w:val="16"/>
                <w:szCs w:val="16"/>
                <w:lang w:val="en-US"/>
              </w:rPr>
              <w:fldChar w:fldCharType="end"/>
            </w:r>
          </w:p>
        </w:tc>
        <w:tc>
          <w:tcPr>
            <w:tcW w:w="567" w:type="dxa"/>
            <w:tcBorders>
              <w:top w:val="nil"/>
              <w:left w:val="nil"/>
              <w:right w:val="nil"/>
            </w:tcBorders>
            <w:shd w:val="clear" w:color="auto" w:fill="auto"/>
            <w:noWrap/>
            <w:vAlign w:val="center"/>
          </w:tcPr>
          <w:p w14:paraId="1274E947"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2010</w:t>
            </w:r>
          </w:p>
        </w:tc>
        <w:tc>
          <w:tcPr>
            <w:tcW w:w="1701" w:type="dxa"/>
            <w:tcBorders>
              <w:top w:val="nil"/>
              <w:left w:val="nil"/>
              <w:right w:val="nil"/>
            </w:tcBorders>
            <w:shd w:val="clear" w:color="auto" w:fill="auto"/>
            <w:vAlign w:val="center"/>
          </w:tcPr>
          <w:p w14:paraId="2A25F7D9" w14:textId="77777777" w:rsidR="005A4803" w:rsidRPr="008D2F40" w:rsidRDefault="005A4803" w:rsidP="008D2F40">
            <w:pPr>
              <w:autoSpaceDE/>
              <w:autoSpaceDN/>
              <w:jc w:val="center"/>
              <w:rPr>
                <w:rFonts w:ascii="Arial" w:hAnsi="Arial" w:cs="Arial"/>
                <w:sz w:val="16"/>
                <w:szCs w:val="16"/>
                <w:lang w:val="en-US"/>
              </w:rPr>
            </w:pPr>
            <w:r w:rsidRPr="003603A2">
              <w:rPr>
                <w:rFonts w:ascii="Arial" w:hAnsi="Arial" w:cs="Arial"/>
                <w:sz w:val="16"/>
                <w:szCs w:val="16"/>
                <w:lang w:val="en-US"/>
              </w:rPr>
              <w:t xml:space="preserve">15 mg/kg </w:t>
            </w:r>
            <w:r>
              <w:rPr>
                <w:rFonts w:ascii="Arial" w:hAnsi="Arial" w:cs="Arial"/>
                <w:sz w:val="16"/>
                <w:szCs w:val="16"/>
                <w:lang w:val="en-US"/>
              </w:rPr>
              <w:t>before surgery</w:t>
            </w:r>
          </w:p>
        </w:tc>
        <w:tc>
          <w:tcPr>
            <w:tcW w:w="851" w:type="dxa"/>
            <w:tcBorders>
              <w:top w:val="nil"/>
              <w:left w:val="nil"/>
              <w:right w:val="nil"/>
            </w:tcBorders>
            <w:vAlign w:val="center"/>
          </w:tcPr>
          <w:p w14:paraId="0DA21C5F" w14:textId="77777777" w:rsidR="005A4803" w:rsidRPr="003603A2" w:rsidRDefault="00C82E09" w:rsidP="00AF256F">
            <w:pPr>
              <w:autoSpaceDE/>
              <w:autoSpaceDN/>
              <w:jc w:val="center"/>
              <w:rPr>
                <w:rFonts w:ascii="Arial" w:hAnsi="Arial" w:cs="Arial"/>
                <w:sz w:val="16"/>
                <w:szCs w:val="16"/>
                <w:lang w:val="en-US"/>
              </w:rPr>
            </w:pPr>
            <w:r>
              <w:rPr>
                <w:rFonts w:ascii="Arial" w:hAnsi="Arial" w:cs="Arial"/>
                <w:sz w:val="16"/>
                <w:szCs w:val="16"/>
                <w:lang w:val="en-US"/>
              </w:rPr>
              <w:t>double-</w:t>
            </w:r>
            <w:r w:rsidR="005A4803">
              <w:rPr>
                <w:rFonts w:ascii="Arial" w:hAnsi="Arial" w:cs="Arial"/>
                <w:sz w:val="16"/>
                <w:szCs w:val="16"/>
                <w:lang w:val="en-US"/>
              </w:rPr>
              <w:t xml:space="preserve"> blind</w:t>
            </w:r>
          </w:p>
        </w:tc>
        <w:tc>
          <w:tcPr>
            <w:tcW w:w="992" w:type="dxa"/>
            <w:gridSpan w:val="2"/>
            <w:tcBorders>
              <w:top w:val="nil"/>
              <w:left w:val="nil"/>
              <w:right w:val="nil"/>
            </w:tcBorders>
            <w:shd w:val="clear" w:color="auto" w:fill="auto"/>
            <w:noWrap/>
            <w:vAlign w:val="center"/>
          </w:tcPr>
          <w:p w14:paraId="1F272881"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32</w:t>
            </w:r>
          </w:p>
        </w:tc>
        <w:tc>
          <w:tcPr>
            <w:tcW w:w="709" w:type="dxa"/>
            <w:gridSpan w:val="2"/>
            <w:tcBorders>
              <w:top w:val="nil"/>
              <w:left w:val="nil"/>
              <w:right w:val="nil"/>
            </w:tcBorders>
            <w:shd w:val="clear" w:color="auto" w:fill="auto"/>
            <w:noWrap/>
            <w:vAlign w:val="center"/>
          </w:tcPr>
          <w:p w14:paraId="3C4994FC"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32</w:t>
            </w:r>
          </w:p>
        </w:tc>
        <w:tc>
          <w:tcPr>
            <w:tcW w:w="1134" w:type="dxa"/>
            <w:tcBorders>
              <w:top w:val="nil"/>
              <w:left w:val="nil"/>
              <w:right w:val="nil"/>
            </w:tcBorders>
            <w:shd w:val="clear" w:color="auto" w:fill="auto"/>
            <w:noWrap/>
            <w:vAlign w:val="center"/>
          </w:tcPr>
          <w:p w14:paraId="6DE56342"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n.a.</w:t>
            </w:r>
          </w:p>
        </w:tc>
        <w:tc>
          <w:tcPr>
            <w:tcW w:w="1275" w:type="dxa"/>
            <w:tcBorders>
              <w:top w:val="nil"/>
              <w:left w:val="nil"/>
              <w:right w:val="single" w:sz="4" w:space="0" w:color="auto"/>
            </w:tcBorders>
            <w:shd w:val="clear" w:color="auto" w:fill="auto"/>
            <w:noWrap/>
            <w:vAlign w:val="center"/>
          </w:tcPr>
          <w:p w14:paraId="141DC168"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n.a.</w:t>
            </w:r>
          </w:p>
        </w:tc>
      </w:tr>
      <w:tr w:rsidR="005A4803" w:rsidRPr="003603A2" w14:paraId="6B2FCD38" w14:textId="77777777" w:rsidTr="00536649">
        <w:trPr>
          <w:trHeight w:val="225"/>
        </w:trPr>
        <w:tc>
          <w:tcPr>
            <w:tcW w:w="1291" w:type="dxa"/>
            <w:tcBorders>
              <w:top w:val="nil"/>
              <w:left w:val="single" w:sz="4" w:space="0" w:color="auto"/>
              <w:bottom w:val="single" w:sz="4" w:space="0" w:color="auto"/>
              <w:right w:val="nil"/>
            </w:tcBorders>
            <w:shd w:val="clear" w:color="auto" w:fill="auto"/>
            <w:noWrap/>
            <w:vAlign w:val="center"/>
          </w:tcPr>
          <w:p w14:paraId="6ACD2F79" w14:textId="77777777" w:rsidR="005A4803" w:rsidRPr="003603A2" w:rsidRDefault="005A4803" w:rsidP="00AF256F">
            <w:pPr>
              <w:autoSpaceDE/>
              <w:autoSpaceDN/>
              <w:jc w:val="both"/>
              <w:rPr>
                <w:rFonts w:ascii="Arial" w:hAnsi="Arial" w:cs="Arial"/>
                <w:sz w:val="16"/>
                <w:szCs w:val="16"/>
                <w:lang w:val="en-US"/>
              </w:rPr>
            </w:pPr>
            <w:r w:rsidRPr="003603A2">
              <w:rPr>
                <w:rFonts w:ascii="Arial" w:hAnsi="Arial" w:cs="Arial"/>
                <w:sz w:val="16"/>
                <w:szCs w:val="16"/>
                <w:lang w:val="en-US"/>
              </w:rPr>
              <w:t>McConnell JS</w:t>
            </w:r>
            <w:r w:rsidR="000526FF">
              <w:rPr>
                <w:rFonts w:ascii="Arial" w:hAnsi="Arial" w:cs="Arial"/>
                <w:sz w:val="16"/>
                <w:szCs w:val="16"/>
                <w:lang w:val="en-US"/>
              </w:rPr>
              <w:fldChar w:fldCharType="begin"/>
            </w:r>
            <w:r w:rsidR="000526FF">
              <w:rPr>
                <w:rFonts w:ascii="Arial" w:hAnsi="Arial" w:cs="Arial"/>
                <w:sz w:val="16"/>
                <w:szCs w:val="16"/>
                <w:lang w:val="en-US"/>
              </w:rPr>
              <w:instrText xml:space="preserve"> ADDIN ZOTERO_ITEM CSL_CITATION {"citationID":"IC4jV6BO","properties":{"formattedCitation":"{\\rtf \\super 11\\nosupersub{}}","plainCitation":"11"},"citationItems":[{"id":451,"uris":["http://zotero.org/users/325870/items/NEAQR5H8"],"uri":["http://zotero.org/users/325870/items/NEAQR5H8"],"itemData":{"id":451,"type":"article-journal","title":"Reduction of blood loss in primary hip arthroplasty with tranexamic acid or fibrin spray","container-title":"Acta Orthopaedica","page":"660-663","volume":"82","issue":"6","source":"PubMed","abstract":"BACKGROUND AND PURPOSE: Previous studies have shown that either fibrin spray or tranexamic acid can reduce blood loss at total hip replacement, but the 2 treatments have not been directly compared. We therefore conducted a randomized, controlled trial.\nPATIENTS AND METHODS: In this randomized controlled trial we compared the effect of tranexamic acid and fibrin spray on blood loss in cemented total hip arthroplasty. 66 patients were randomized to 1 of 3 parallel groups receiving (1) a 10 mg/kg bolus of tranexamic acid prior to surgery, (2) 10 mL of fibrin spray during surgery, or (3) neither. All participants except the surgeon were blinded as to treatment group until data analysis was complete. Blood loss was calculated from preoperative and postoperative hematocrit.\nRESULTS: Neither active treatment was found to be superior to the other in terms of overall blood loss. Losses were lower than those in the control group, when using either tranexamic acid (22% lower, p = 0.02) or fibrin spray (32% lower, p = 0.02).\nINTERPRETATION: We found that the use of tranexamic acid at induction, or topical fibrin spray intraoperatively, reduced blood loss compared to the control group. Blood loss was similar in the fibrin spray group and in the tranexamic acid group. ClinicalTrials.gov identifier: NCT00378872. EudraCT identifier: 2006-001299-19. Regional Ethics Committee approval: 06/S0703/55, granted June 6, 2006.","DOI":"10.3109/17453674.2011.623568","ISSN":"1745-3682","note":"PMID: 21999623\nPMCID: PMC3247881","journalAbbreviation":"Acta Orthop","language":"eng","author":[{"family":"McConnell","given":"Jamie S."},{"family":"Shewale","given":"Sandeep"},{"family":"Munro","given":"Niall A."},{"family":"Shah","given":"Kalpesh"},{"family":"Deakin","given":"Angela H."},{"family":"Kinninmonth","given":"Andrew W. G."}],"issued":{"date-parts":[["2011",12]]}}}],"schema":"https://github.com/citation-style-language/schema/raw/master/csl-citation.json"} </w:instrText>
            </w:r>
            <w:r w:rsidR="000526FF">
              <w:rPr>
                <w:rFonts w:ascii="Arial" w:hAnsi="Arial" w:cs="Arial"/>
                <w:sz w:val="16"/>
                <w:szCs w:val="16"/>
                <w:lang w:val="en-US"/>
              </w:rPr>
              <w:fldChar w:fldCharType="separate"/>
            </w:r>
            <w:r w:rsidR="000526FF" w:rsidRPr="000526FF">
              <w:rPr>
                <w:rFonts w:ascii="Arial" w:hAnsi="Arial" w:cs="Arial"/>
                <w:sz w:val="16"/>
                <w:szCs w:val="24"/>
                <w:vertAlign w:val="superscript"/>
              </w:rPr>
              <w:t>11</w:t>
            </w:r>
            <w:r w:rsidR="000526FF">
              <w:rPr>
                <w:rFonts w:ascii="Arial" w:hAnsi="Arial" w:cs="Arial"/>
                <w:sz w:val="16"/>
                <w:szCs w:val="16"/>
                <w:lang w:val="en-US"/>
              </w:rPr>
              <w:fldChar w:fldCharType="end"/>
            </w:r>
            <w:r w:rsidRPr="003603A2">
              <w:rPr>
                <w:rFonts w:ascii="Arial" w:hAnsi="Arial" w:cs="Arial"/>
                <w:sz w:val="16"/>
                <w:szCs w:val="16"/>
                <w:lang w:val="en-US"/>
              </w:rPr>
              <w:t xml:space="preserve"> </w:t>
            </w:r>
          </w:p>
        </w:tc>
        <w:tc>
          <w:tcPr>
            <w:tcW w:w="567" w:type="dxa"/>
            <w:tcBorders>
              <w:top w:val="nil"/>
              <w:left w:val="nil"/>
              <w:bottom w:val="single" w:sz="4" w:space="0" w:color="auto"/>
              <w:right w:val="nil"/>
            </w:tcBorders>
            <w:shd w:val="clear" w:color="auto" w:fill="auto"/>
            <w:noWrap/>
            <w:vAlign w:val="center"/>
          </w:tcPr>
          <w:p w14:paraId="5CA317A3"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2011</w:t>
            </w:r>
          </w:p>
        </w:tc>
        <w:tc>
          <w:tcPr>
            <w:tcW w:w="1701" w:type="dxa"/>
            <w:tcBorders>
              <w:top w:val="nil"/>
              <w:left w:val="nil"/>
              <w:bottom w:val="single" w:sz="4" w:space="0" w:color="auto"/>
              <w:right w:val="nil"/>
            </w:tcBorders>
            <w:shd w:val="clear" w:color="auto" w:fill="auto"/>
            <w:vAlign w:val="center"/>
          </w:tcPr>
          <w:p w14:paraId="77CEAA98"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 xml:space="preserve">10 mg/kg </w:t>
            </w:r>
            <w:r>
              <w:rPr>
                <w:rFonts w:ascii="Arial" w:hAnsi="Arial" w:cs="Arial"/>
                <w:sz w:val="16"/>
                <w:szCs w:val="16"/>
                <w:lang w:val="en-US"/>
              </w:rPr>
              <w:t>before surgery</w:t>
            </w:r>
          </w:p>
        </w:tc>
        <w:tc>
          <w:tcPr>
            <w:tcW w:w="851" w:type="dxa"/>
            <w:tcBorders>
              <w:top w:val="nil"/>
              <w:left w:val="nil"/>
              <w:bottom w:val="single" w:sz="4" w:space="0" w:color="auto"/>
              <w:right w:val="nil"/>
            </w:tcBorders>
            <w:vAlign w:val="center"/>
          </w:tcPr>
          <w:p w14:paraId="4E737604" w14:textId="77777777" w:rsidR="005A4803" w:rsidRPr="003603A2" w:rsidRDefault="005A4803" w:rsidP="00AF256F">
            <w:pPr>
              <w:autoSpaceDE/>
              <w:autoSpaceDN/>
              <w:jc w:val="center"/>
              <w:rPr>
                <w:rFonts w:ascii="Arial" w:hAnsi="Arial" w:cs="Arial"/>
                <w:sz w:val="16"/>
                <w:szCs w:val="16"/>
                <w:lang w:val="en-US"/>
              </w:rPr>
            </w:pPr>
            <w:r>
              <w:rPr>
                <w:rFonts w:ascii="Arial" w:hAnsi="Arial" w:cs="Arial"/>
                <w:sz w:val="16"/>
                <w:szCs w:val="16"/>
                <w:lang w:val="en-US"/>
              </w:rPr>
              <w:t>open</w:t>
            </w:r>
          </w:p>
        </w:tc>
        <w:tc>
          <w:tcPr>
            <w:tcW w:w="992" w:type="dxa"/>
            <w:gridSpan w:val="2"/>
            <w:tcBorders>
              <w:top w:val="nil"/>
              <w:left w:val="nil"/>
              <w:bottom w:val="single" w:sz="4" w:space="0" w:color="auto"/>
              <w:right w:val="nil"/>
            </w:tcBorders>
            <w:shd w:val="clear" w:color="auto" w:fill="auto"/>
            <w:noWrap/>
            <w:vAlign w:val="center"/>
          </w:tcPr>
          <w:p w14:paraId="3E834767"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22</w:t>
            </w:r>
          </w:p>
        </w:tc>
        <w:tc>
          <w:tcPr>
            <w:tcW w:w="709" w:type="dxa"/>
            <w:gridSpan w:val="2"/>
            <w:tcBorders>
              <w:top w:val="nil"/>
              <w:left w:val="nil"/>
              <w:bottom w:val="single" w:sz="4" w:space="0" w:color="auto"/>
              <w:right w:val="nil"/>
            </w:tcBorders>
            <w:shd w:val="clear" w:color="auto" w:fill="auto"/>
            <w:noWrap/>
            <w:vAlign w:val="center"/>
          </w:tcPr>
          <w:p w14:paraId="4D570CFD"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22</w:t>
            </w:r>
          </w:p>
        </w:tc>
        <w:tc>
          <w:tcPr>
            <w:tcW w:w="1134" w:type="dxa"/>
            <w:tcBorders>
              <w:top w:val="nil"/>
              <w:left w:val="nil"/>
              <w:bottom w:val="single" w:sz="4" w:space="0" w:color="auto"/>
              <w:right w:val="nil"/>
            </w:tcBorders>
            <w:shd w:val="clear" w:color="auto" w:fill="auto"/>
            <w:noWrap/>
            <w:vAlign w:val="center"/>
          </w:tcPr>
          <w:p w14:paraId="1F9A2632"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895+/-99</w:t>
            </w:r>
          </w:p>
        </w:tc>
        <w:tc>
          <w:tcPr>
            <w:tcW w:w="1275" w:type="dxa"/>
            <w:tcBorders>
              <w:top w:val="nil"/>
              <w:left w:val="nil"/>
              <w:bottom w:val="single" w:sz="4" w:space="0" w:color="auto"/>
              <w:right w:val="single" w:sz="4" w:space="0" w:color="auto"/>
            </w:tcBorders>
            <w:shd w:val="clear" w:color="auto" w:fill="auto"/>
            <w:noWrap/>
            <w:vAlign w:val="center"/>
          </w:tcPr>
          <w:p w14:paraId="77B80F4C"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1110 +/- 139</w:t>
            </w:r>
          </w:p>
        </w:tc>
      </w:tr>
      <w:tr w:rsidR="009E67D6" w:rsidRPr="000A6D40" w14:paraId="01F9B422" w14:textId="77777777" w:rsidTr="00536649">
        <w:trPr>
          <w:trHeight w:val="225"/>
        </w:trPr>
        <w:tc>
          <w:tcPr>
            <w:tcW w:w="852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23E0CBDD" w14:textId="7F2D2F21" w:rsidR="009E67D6" w:rsidRPr="003603A2" w:rsidRDefault="009E67D6" w:rsidP="009E67D6">
            <w:pPr>
              <w:autoSpaceDE/>
              <w:autoSpaceDN/>
              <w:rPr>
                <w:rFonts w:ascii="Arial" w:hAnsi="Arial" w:cs="Arial"/>
                <w:sz w:val="16"/>
                <w:szCs w:val="16"/>
                <w:lang w:val="en-US"/>
              </w:rPr>
            </w:pPr>
            <w:r>
              <w:rPr>
                <w:rFonts w:ascii="Arial" w:hAnsi="Arial" w:cs="Arial"/>
                <w:sz w:val="16"/>
                <w:szCs w:val="16"/>
                <w:lang w:val="en-US"/>
              </w:rPr>
              <w:t xml:space="preserve">Randomized </w:t>
            </w:r>
            <w:r w:rsidR="008E176F">
              <w:rPr>
                <w:rFonts w:ascii="Arial" w:hAnsi="Arial" w:cs="Arial"/>
                <w:sz w:val="16"/>
                <w:szCs w:val="16"/>
                <w:lang w:val="en-US"/>
              </w:rPr>
              <w:t>t</w:t>
            </w:r>
            <w:r>
              <w:rPr>
                <w:rFonts w:ascii="Arial" w:hAnsi="Arial" w:cs="Arial"/>
                <w:sz w:val="16"/>
                <w:szCs w:val="16"/>
                <w:lang w:val="en-US"/>
              </w:rPr>
              <w:t xml:space="preserve">rials </w:t>
            </w:r>
            <w:r w:rsidR="0077700B" w:rsidRPr="0077700B">
              <w:rPr>
                <w:rFonts w:ascii="Arial" w:hAnsi="Arial" w:cs="Arial"/>
                <w:sz w:val="16"/>
                <w:szCs w:val="16"/>
                <w:lang w:val="en-US"/>
              </w:rPr>
              <w:t xml:space="preserve">assessing </w:t>
            </w:r>
            <w:r>
              <w:rPr>
                <w:rFonts w:ascii="Arial" w:hAnsi="Arial" w:cs="Arial"/>
                <w:sz w:val="16"/>
                <w:szCs w:val="16"/>
                <w:lang w:val="en-US"/>
              </w:rPr>
              <w:t>a preoperative bolus and additional perioperative administration of tranexamic acid versus placebo or no treatment</w:t>
            </w:r>
          </w:p>
        </w:tc>
      </w:tr>
      <w:tr w:rsidR="005A4803" w:rsidRPr="003603A2" w14:paraId="3FB23BDA" w14:textId="77777777" w:rsidTr="00536649">
        <w:trPr>
          <w:trHeight w:val="675"/>
        </w:trPr>
        <w:tc>
          <w:tcPr>
            <w:tcW w:w="1291" w:type="dxa"/>
            <w:tcBorders>
              <w:top w:val="single" w:sz="4" w:space="0" w:color="auto"/>
              <w:left w:val="single" w:sz="4" w:space="0" w:color="auto"/>
              <w:bottom w:val="nil"/>
              <w:right w:val="nil"/>
            </w:tcBorders>
            <w:shd w:val="clear" w:color="auto" w:fill="auto"/>
            <w:noWrap/>
            <w:vAlign w:val="center"/>
          </w:tcPr>
          <w:p w14:paraId="63801D78" w14:textId="77777777" w:rsidR="005A4803" w:rsidRPr="003603A2" w:rsidRDefault="005A4803" w:rsidP="00AF256F">
            <w:pPr>
              <w:autoSpaceDE/>
              <w:autoSpaceDN/>
              <w:jc w:val="both"/>
              <w:rPr>
                <w:rFonts w:ascii="Arial" w:hAnsi="Arial" w:cs="Arial"/>
                <w:sz w:val="16"/>
                <w:szCs w:val="16"/>
                <w:lang w:val="en-US"/>
              </w:rPr>
            </w:pPr>
            <w:r w:rsidRPr="003603A2">
              <w:rPr>
                <w:rFonts w:ascii="Arial" w:hAnsi="Arial" w:cs="Arial"/>
                <w:sz w:val="16"/>
                <w:szCs w:val="16"/>
                <w:lang w:val="en-US"/>
              </w:rPr>
              <w:t>Ekbäck G</w:t>
            </w:r>
            <w:r w:rsidR="000526FF">
              <w:rPr>
                <w:rFonts w:ascii="Arial" w:hAnsi="Arial" w:cs="Arial"/>
                <w:sz w:val="16"/>
                <w:szCs w:val="16"/>
                <w:lang w:val="en-US"/>
              </w:rPr>
              <w:fldChar w:fldCharType="begin"/>
            </w:r>
            <w:r w:rsidR="000526FF">
              <w:rPr>
                <w:rFonts w:ascii="Arial" w:hAnsi="Arial" w:cs="Arial"/>
                <w:sz w:val="16"/>
                <w:szCs w:val="16"/>
                <w:lang w:val="en-US"/>
              </w:rPr>
              <w:instrText xml:space="preserve"> ADDIN ZOTERO_ITEM CSL_CITATION {"citationID":"9np8BmWd","properties":{"formattedCitation":"{\\rtf \\super 12\\nosupersub{}}","plainCitation":"12"},"citationItems":[{"id":30,"uris":["http://zotero.org/users/325870/items/2PKI97SZ"],"uri":["http://zotero.org/users/325870/items/2PKI97SZ"],"itemData":{"id":30,"type":"article-journal","title":"Tranexamic acid reduces blood loss in total hip replacement surgery","container-title":"Anesthesia and Analgesia","page":"1124-1130","volume":"91","issue":"5","source":"PubMed","abstract":"Intraoperatively administered, tranexamic acid (TA) does not reduce bleeding in total hip replacement (THR). Therefore, its prophylactic use was attempted in the present study because this has been shown to be more effective in cardiac surgery. We investigated 40 patients undergoing THR in a prospective, randomized, double-blinded study. Twenty patients received TA given in two bolus doses of 10 mg/kg each, the first just before surgical incision and the second 3 h later. In addition, a continuous infusion of TA, 1.0 mg. kg(-1). h(-1) for 10 h, was given after the first bolus dose. The remaining 20 patients formed a control group. Both groups used preoperative autologous blood donation and intraoperative autotransfusion. Intraoperative bleeding was significantly less (P: = 0.001) in the TA group compared with the control group (630 +/- 220 mL vs 850 +/- 260 mL). Postoperative drainage bleeding was correspondingly less (P: = 0.001) (520 +/- 280 vs 920 +/- 410 mL). Up to 10 h postoperatively, plasma D-dimer concentration was halved in the TA group compared with the control group. One patient in each group had an ultrasound-verified late deep vein thrombosis. In conclusion, we found TA, administrated before surgical incision, to be efficient in reducing bleeding during THR.\nIMPLICATIONS: In a prospective, double-blinded study of 40 patients undergoing total hip replacement, the preoperative administration of tranexamic acid reduced bleeding by 35%, probably by decreasing induced fibrinolysis. Whether tranexamic acid therapy can replace predonation of autologous blood or intraoperative autotransfusion requires further study.","ISSN":"0003-2999","note":"PMID: 11049894","journalAbbreviation":"Anesth. Analg.","language":"eng","author":[{"family":"Ekbäck","given":"G."},{"family":"Axelsson","given":"K."},{"family":"Ryttberg","given":"L."},{"family":"Edlund","given":"B."},{"family":"Kjellberg","given":"J."},{"family":"Weckström","given":"J."},{"family":"Carlsson","given":"O."},{"family":"Schött","given":"U."}],"issued":{"date-parts":[["2000",11]]}}}],"schema":"https://github.com/citation-style-language/schema/raw/master/csl-citation.json"} </w:instrText>
            </w:r>
            <w:r w:rsidR="000526FF">
              <w:rPr>
                <w:rFonts w:ascii="Arial" w:hAnsi="Arial" w:cs="Arial"/>
                <w:sz w:val="16"/>
                <w:szCs w:val="16"/>
                <w:lang w:val="en-US"/>
              </w:rPr>
              <w:fldChar w:fldCharType="separate"/>
            </w:r>
            <w:r w:rsidR="000526FF" w:rsidRPr="000526FF">
              <w:rPr>
                <w:rFonts w:ascii="Arial" w:hAnsi="Arial" w:cs="Arial"/>
                <w:sz w:val="16"/>
                <w:szCs w:val="24"/>
                <w:vertAlign w:val="superscript"/>
              </w:rPr>
              <w:t>12</w:t>
            </w:r>
            <w:r w:rsidR="000526FF">
              <w:rPr>
                <w:rFonts w:ascii="Arial" w:hAnsi="Arial" w:cs="Arial"/>
                <w:sz w:val="16"/>
                <w:szCs w:val="16"/>
                <w:lang w:val="en-US"/>
              </w:rPr>
              <w:fldChar w:fldCharType="end"/>
            </w:r>
          </w:p>
        </w:tc>
        <w:tc>
          <w:tcPr>
            <w:tcW w:w="567" w:type="dxa"/>
            <w:tcBorders>
              <w:top w:val="single" w:sz="4" w:space="0" w:color="auto"/>
              <w:left w:val="nil"/>
              <w:bottom w:val="nil"/>
              <w:right w:val="nil"/>
            </w:tcBorders>
            <w:shd w:val="clear" w:color="auto" w:fill="auto"/>
            <w:noWrap/>
            <w:vAlign w:val="center"/>
          </w:tcPr>
          <w:p w14:paraId="44F76960"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2000</w:t>
            </w:r>
          </w:p>
        </w:tc>
        <w:tc>
          <w:tcPr>
            <w:tcW w:w="1701" w:type="dxa"/>
            <w:tcBorders>
              <w:top w:val="single" w:sz="4" w:space="0" w:color="auto"/>
              <w:left w:val="nil"/>
              <w:bottom w:val="nil"/>
              <w:right w:val="nil"/>
            </w:tcBorders>
            <w:shd w:val="clear" w:color="auto" w:fill="auto"/>
            <w:vAlign w:val="center"/>
          </w:tcPr>
          <w:p w14:paraId="62925E1E" w14:textId="77777777" w:rsidR="005A4803" w:rsidRPr="008D2F40" w:rsidRDefault="005A4803" w:rsidP="00AF256F">
            <w:pPr>
              <w:autoSpaceDE/>
              <w:autoSpaceDN/>
              <w:jc w:val="center"/>
              <w:rPr>
                <w:rFonts w:ascii="Arial" w:hAnsi="Arial" w:cs="Arial"/>
                <w:sz w:val="16"/>
                <w:szCs w:val="16"/>
                <w:lang w:val="en-US"/>
              </w:rPr>
            </w:pPr>
            <w:r w:rsidRPr="008D2F40">
              <w:rPr>
                <w:rFonts w:ascii="Arial" w:hAnsi="Arial" w:cs="Arial"/>
                <w:sz w:val="16"/>
                <w:szCs w:val="16"/>
                <w:lang w:val="en-US"/>
              </w:rPr>
              <w:t xml:space="preserve">10 mg/kg before </w:t>
            </w:r>
            <w:r>
              <w:rPr>
                <w:rFonts w:ascii="Arial" w:hAnsi="Arial" w:cs="Arial"/>
                <w:sz w:val="16"/>
                <w:szCs w:val="16"/>
                <w:lang w:val="en-US"/>
              </w:rPr>
              <w:t>surgery</w:t>
            </w:r>
            <w:r w:rsidRPr="008D2F40">
              <w:rPr>
                <w:rFonts w:ascii="Arial" w:hAnsi="Arial" w:cs="Arial"/>
                <w:sz w:val="16"/>
                <w:szCs w:val="16"/>
                <w:lang w:val="en-US"/>
              </w:rPr>
              <w:t xml:space="preserve"> + 1 mg/kg/h </w:t>
            </w:r>
            <w:r>
              <w:rPr>
                <w:rFonts w:ascii="Arial" w:hAnsi="Arial" w:cs="Arial"/>
                <w:sz w:val="16"/>
                <w:szCs w:val="16"/>
                <w:lang w:val="en-US"/>
              </w:rPr>
              <w:t>over</w:t>
            </w:r>
            <w:r w:rsidRPr="008D2F40">
              <w:rPr>
                <w:rFonts w:ascii="Arial" w:hAnsi="Arial" w:cs="Arial"/>
                <w:sz w:val="16"/>
                <w:szCs w:val="16"/>
                <w:lang w:val="en-US"/>
              </w:rPr>
              <w:t xml:space="preserve"> 10h + 10 mg/kg 3h </w:t>
            </w:r>
            <w:r>
              <w:rPr>
                <w:rFonts w:ascii="Arial" w:hAnsi="Arial" w:cs="Arial"/>
                <w:sz w:val="16"/>
                <w:szCs w:val="16"/>
                <w:lang w:val="en-US"/>
              </w:rPr>
              <w:t>after</w:t>
            </w:r>
            <w:r w:rsidRPr="008D2F40">
              <w:rPr>
                <w:rFonts w:ascii="Arial" w:hAnsi="Arial" w:cs="Arial"/>
                <w:sz w:val="16"/>
                <w:szCs w:val="16"/>
                <w:lang w:val="en-US"/>
              </w:rPr>
              <w:t xml:space="preserve"> 1</w:t>
            </w:r>
            <w:r>
              <w:rPr>
                <w:rFonts w:ascii="Arial" w:hAnsi="Arial" w:cs="Arial"/>
                <w:sz w:val="16"/>
                <w:szCs w:val="16"/>
                <w:lang w:val="en-US"/>
              </w:rPr>
              <w:t>st</w:t>
            </w:r>
            <w:r w:rsidRPr="008D2F40">
              <w:rPr>
                <w:rFonts w:ascii="Arial" w:hAnsi="Arial" w:cs="Arial"/>
                <w:sz w:val="16"/>
                <w:szCs w:val="16"/>
                <w:lang w:val="en-US"/>
              </w:rPr>
              <w:t xml:space="preserve"> bolus</w:t>
            </w:r>
          </w:p>
        </w:tc>
        <w:tc>
          <w:tcPr>
            <w:tcW w:w="851" w:type="dxa"/>
            <w:tcBorders>
              <w:top w:val="single" w:sz="4" w:space="0" w:color="auto"/>
              <w:left w:val="nil"/>
              <w:bottom w:val="nil"/>
              <w:right w:val="nil"/>
            </w:tcBorders>
            <w:vAlign w:val="center"/>
          </w:tcPr>
          <w:p w14:paraId="2431815D" w14:textId="77777777" w:rsidR="005A4803" w:rsidRPr="003603A2" w:rsidRDefault="00C82E09" w:rsidP="00AF256F">
            <w:pPr>
              <w:autoSpaceDE/>
              <w:autoSpaceDN/>
              <w:jc w:val="center"/>
              <w:rPr>
                <w:rFonts w:ascii="Arial" w:hAnsi="Arial" w:cs="Arial"/>
                <w:sz w:val="16"/>
                <w:szCs w:val="16"/>
                <w:lang w:val="en-US"/>
              </w:rPr>
            </w:pPr>
            <w:r>
              <w:rPr>
                <w:rFonts w:ascii="Arial" w:hAnsi="Arial" w:cs="Arial"/>
                <w:sz w:val="16"/>
                <w:szCs w:val="16"/>
                <w:lang w:val="en-US"/>
              </w:rPr>
              <w:t>double-</w:t>
            </w:r>
            <w:r w:rsidR="005A4803">
              <w:rPr>
                <w:rFonts w:ascii="Arial" w:hAnsi="Arial" w:cs="Arial"/>
                <w:sz w:val="16"/>
                <w:szCs w:val="16"/>
                <w:lang w:val="en-US"/>
              </w:rPr>
              <w:t xml:space="preserve"> blind</w:t>
            </w:r>
          </w:p>
        </w:tc>
        <w:tc>
          <w:tcPr>
            <w:tcW w:w="992" w:type="dxa"/>
            <w:gridSpan w:val="2"/>
            <w:tcBorders>
              <w:top w:val="single" w:sz="4" w:space="0" w:color="auto"/>
              <w:left w:val="nil"/>
              <w:bottom w:val="nil"/>
              <w:right w:val="nil"/>
            </w:tcBorders>
            <w:shd w:val="clear" w:color="auto" w:fill="auto"/>
            <w:noWrap/>
            <w:vAlign w:val="center"/>
          </w:tcPr>
          <w:p w14:paraId="1A3C85CF"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20</w:t>
            </w:r>
          </w:p>
        </w:tc>
        <w:tc>
          <w:tcPr>
            <w:tcW w:w="709" w:type="dxa"/>
            <w:gridSpan w:val="2"/>
            <w:tcBorders>
              <w:top w:val="single" w:sz="4" w:space="0" w:color="auto"/>
              <w:left w:val="nil"/>
              <w:bottom w:val="nil"/>
              <w:right w:val="nil"/>
            </w:tcBorders>
            <w:shd w:val="clear" w:color="auto" w:fill="auto"/>
            <w:noWrap/>
            <w:vAlign w:val="center"/>
          </w:tcPr>
          <w:p w14:paraId="1EE61272"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20</w:t>
            </w:r>
          </w:p>
        </w:tc>
        <w:tc>
          <w:tcPr>
            <w:tcW w:w="1134" w:type="dxa"/>
            <w:tcBorders>
              <w:top w:val="single" w:sz="4" w:space="0" w:color="auto"/>
              <w:left w:val="nil"/>
              <w:bottom w:val="nil"/>
              <w:right w:val="nil"/>
            </w:tcBorders>
            <w:shd w:val="clear" w:color="auto" w:fill="auto"/>
            <w:noWrap/>
            <w:vAlign w:val="center"/>
          </w:tcPr>
          <w:p w14:paraId="7B5E5463"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1130 +/- 400</w:t>
            </w:r>
          </w:p>
        </w:tc>
        <w:tc>
          <w:tcPr>
            <w:tcW w:w="1275" w:type="dxa"/>
            <w:tcBorders>
              <w:top w:val="single" w:sz="4" w:space="0" w:color="auto"/>
              <w:left w:val="nil"/>
              <w:bottom w:val="nil"/>
              <w:right w:val="single" w:sz="4" w:space="0" w:color="auto"/>
            </w:tcBorders>
            <w:shd w:val="clear" w:color="auto" w:fill="auto"/>
            <w:noWrap/>
            <w:vAlign w:val="center"/>
          </w:tcPr>
          <w:p w14:paraId="6CD843E9"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1770 +/- 523</w:t>
            </w:r>
          </w:p>
        </w:tc>
      </w:tr>
      <w:tr w:rsidR="005A4803" w:rsidRPr="003603A2" w14:paraId="678E272D" w14:textId="77777777" w:rsidTr="00536649">
        <w:trPr>
          <w:trHeight w:val="225"/>
        </w:trPr>
        <w:tc>
          <w:tcPr>
            <w:tcW w:w="1291" w:type="dxa"/>
            <w:tcBorders>
              <w:top w:val="nil"/>
              <w:left w:val="single" w:sz="4" w:space="0" w:color="auto"/>
              <w:right w:val="nil"/>
            </w:tcBorders>
            <w:shd w:val="clear" w:color="auto" w:fill="auto"/>
            <w:noWrap/>
            <w:vAlign w:val="center"/>
          </w:tcPr>
          <w:p w14:paraId="33AEFDED" w14:textId="77777777" w:rsidR="005A4803" w:rsidRPr="003603A2" w:rsidRDefault="005A4803" w:rsidP="00AF256F">
            <w:pPr>
              <w:autoSpaceDE/>
              <w:autoSpaceDN/>
              <w:jc w:val="both"/>
              <w:rPr>
                <w:rFonts w:ascii="Arial" w:hAnsi="Arial" w:cs="Arial"/>
                <w:sz w:val="16"/>
                <w:szCs w:val="16"/>
                <w:lang w:val="en-US"/>
              </w:rPr>
            </w:pPr>
            <w:r w:rsidRPr="003603A2">
              <w:rPr>
                <w:rFonts w:ascii="Arial" w:hAnsi="Arial" w:cs="Arial"/>
                <w:sz w:val="16"/>
                <w:szCs w:val="16"/>
                <w:lang w:val="en-US"/>
              </w:rPr>
              <w:t>Husted H</w:t>
            </w:r>
            <w:r w:rsidR="000526FF">
              <w:rPr>
                <w:rFonts w:ascii="Arial" w:hAnsi="Arial" w:cs="Arial"/>
                <w:sz w:val="16"/>
                <w:szCs w:val="16"/>
                <w:lang w:val="en-US"/>
              </w:rPr>
              <w:fldChar w:fldCharType="begin"/>
            </w:r>
            <w:r w:rsidR="000526FF">
              <w:rPr>
                <w:rFonts w:ascii="Arial" w:hAnsi="Arial" w:cs="Arial"/>
                <w:sz w:val="16"/>
                <w:szCs w:val="16"/>
                <w:lang w:val="en-US"/>
              </w:rPr>
              <w:instrText xml:space="preserve"> ADDIN ZOTERO_ITEM CSL_CITATION {"citationID":"fawI3Eoq","properties":{"formattedCitation":"{\\rtf \\super 13\\nosupersub{}}","plainCitation":"13"},"citationItems":[{"id":78,"uris":["http://zotero.org/users/325870/items/4WXT3C8F"],"uri":["http://zotero.org/users/325870/items/4WXT3C8F"],"itemData":{"id":78,"type":"article-journal","title":"Tranexamic acid reduces blood loss and blood transfusions in primary total hip arthroplasty: a prospective randomized double-blind study in 40 patients","container-title":"Acta Orthopaedica Scandinavica","page":"665-669","volume":"74","issue":"6","source":"PubMed","abstract":"INTRODUCTION: We performed a prospective, randomized, double-blind study on 40 patients scheduled for primary total hip arthroplasty due to arthrosis or osteonecrosis to determine the effect of tranexamic acid on per- and postoperative blood losses and on the number of blood transfusions needed.\nPATIENTS AND METHODS: 40 patients were randomized to tranexamic acid (10 mg/kg given as a bolus intravenous injection, followed by a continuous infusion of 1 mg/kg/hour for 10 hours) or placebo (20 mL saline given intravenously) 15 minutes before the incision. We recorded the peroperative and postoperative blood losses at removal of the drain 24 hours after the operation and the number of blood transfusions.\nRESULTS: Patients receiving tranexamic acid had a mean peroperative blood loss of 480 mL versus 622 mL in patients receiving placebo (p = 0.3), a postoperative blood loss of 334 mL versus 609 mL (p = 0.001), a total blood loss of 814 mL versus 1231 mL (p = 0.001) and a total need for 4 blood transfusions versus 25 (p = 0.04). No patient in either group had symptoms of deep venous thrombosis, pulmonary embolism or prolonged wound drainage.\nINTERPRETATION: Transemic acid is effective in reducing the postoperative blood loss, the total blood loss and the need for blood transfusion in primary total hip arthroplasty.","DOI":"10.1080/00016470310018171","ISSN":"0001-6470","note":"PMID: 14763696","shortTitle":"Tranexamic acid reduces blood loss and blood transfusions in primary total hip arthroplasty","journalAbbreviation":"Acta Orthop Scand","language":"eng","author":[{"family":"Husted","given":"Henrik"},{"family":"Blønd","given":"Lars"},{"family":"Sonne-Holm","given":"Stig"},{"family":"Holm","given":"Gitte"},{"family":"Jacobsen","given":"Tine W."},{"family":"Gebuhr","given":"Peter"}],"issued":{"date-parts":[["2003",12]]}}}],"schema":"https://github.com/citation-style-language/schema/raw/master/csl-citation.json"} </w:instrText>
            </w:r>
            <w:r w:rsidR="000526FF">
              <w:rPr>
                <w:rFonts w:ascii="Arial" w:hAnsi="Arial" w:cs="Arial"/>
                <w:sz w:val="16"/>
                <w:szCs w:val="16"/>
                <w:lang w:val="en-US"/>
              </w:rPr>
              <w:fldChar w:fldCharType="separate"/>
            </w:r>
            <w:r w:rsidR="000526FF" w:rsidRPr="000526FF">
              <w:rPr>
                <w:rFonts w:ascii="Arial" w:hAnsi="Arial" w:cs="Arial"/>
                <w:sz w:val="16"/>
                <w:szCs w:val="24"/>
                <w:vertAlign w:val="superscript"/>
              </w:rPr>
              <w:t>13</w:t>
            </w:r>
            <w:r w:rsidR="000526FF">
              <w:rPr>
                <w:rFonts w:ascii="Arial" w:hAnsi="Arial" w:cs="Arial"/>
                <w:sz w:val="16"/>
                <w:szCs w:val="16"/>
                <w:lang w:val="en-US"/>
              </w:rPr>
              <w:fldChar w:fldCharType="end"/>
            </w:r>
          </w:p>
        </w:tc>
        <w:tc>
          <w:tcPr>
            <w:tcW w:w="567" w:type="dxa"/>
            <w:tcBorders>
              <w:top w:val="nil"/>
              <w:left w:val="nil"/>
              <w:right w:val="nil"/>
            </w:tcBorders>
            <w:shd w:val="clear" w:color="auto" w:fill="auto"/>
            <w:noWrap/>
            <w:vAlign w:val="center"/>
          </w:tcPr>
          <w:p w14:paraId="5B503DDE"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2003</w:t>
            </w:r>
          </w:p>
        </w:tc>
        <w:tc>
          <w:tcPr>
            <w:tcW w:w="1701" w:type="dxa"/>
            <w:tcBorders>
              <w:top w:val="nil"/>
              <w:left w:val="nil"/>
              <w:right w:val="nil"/>
            </w:tcBorders>
            <w:shd w:val="clear" w:color="auto" w:fill="auto"/>
            <w:vAlign w:val="center"/>
          </w:tcPr>
          <w:p w14:paraId="30626682" w14:textId="77777777" w:rsidR="005A4803" w:rsidRPr="003603A2" w:rsidRDefault="005A4803" w:rsidP="00AF256F">
            <w:pPr>
              <w:autoSpaceDE/>
              <w:autoSpaceDN/>
              <w:jc w:val="center"/>
              <w:rPr>
                <w:rFonts w:ascii="Arial" w:hAnsi="Arial" w:cs="Arial"/>
                <w:sz w:val="16"/>
                <w:szCs w:val="16"/>
                <w:lang w:val="en-US"/>
              </w:rPr>
            </w:pPr>
            <w:r w:rsidRPr="008D2F40">
              <w:rPr>
                <w:rFonts w:ascii="Arial" w:hAnsi="Arial" w:cs="Arial"/>
                <w:sz w:val="16"/>
                <w:szCs w:val="16"/>
                <w:lang w:val="en-US"/>
              </w:rPr>
              <w:t xml:space="preserve">10 mg/kg before </w:t>
            </w:r>
            <w:r>
              <w:rPr>
                <w:rFonts w:ascii="Arial" w:hAnsi="Arial" w:cs="Arial"/>
                <w:sz w:val="16"/>
                <w:szCs w:val="16"/>
                <w:lang w:val="en-US"/>
              </w:rPr>
              <w:t>surgery</w:t>
            </w:r>
            <w:r w:rsidRPr="008D2F40">
              <w:rPr>
                <w:rFonts w:ascii="Arial" w:hAnsi="Arial" w:cs="Arial"/>
                <w:sz w:val="16"/>
                <w:szCs w:val="16"/>
                <w:lang w:val="en-US"/>
              </w:rPr>
              <w:t xml:space="preserve"> + 1 mg/kg/h </w:t>
            </w:r>
            <w:r>
              <w:rPr>
                <w:rFonts w:ascii="Arial" w:hAnsi="Arial" w:cs="Arial"/>
                <w:sz w:val="16"/>
                <w:szCs w:val="16"/>
                <w:lang w:val="en-US"/>
              </w:rPr>
              <w:t>over</w:t>
            </w:r>
            <w:r w:rsidRPr="008D2F40">
              <w:rPr>
                <w:rFonts w:ascii="Arial" w:hAnsi="Arial" w:cs="Arial"/>
                <w:sz w:val="16"/>
                <w:szCs w:val="16"/>
                <w:lang w:val="en-US"/>
              </w:rPr>
              <w:t xml:space="preserve"> 10 h</w:t>
            </w:r>
          </w:p>
        </w:tc>
        <w:tc>
          <w:tcPr>
            <w:tcW w:w="851" w:type="dxa"/>
            <w:tcBorders>
              <w:top w:val="nil"/>
              <w:left w:val="nil"/>
              <w:right w:val="nil"/>
            </w:tcBorders>
            <w:vAlign w:val="center"/>
          </w:tcPr>
          <w:p w14:paraId="4A03628A" w14:textId="77777777" w:rsidR="005A4803" w:rsidRPr="003603A2" w:rsidRDefault="00C82E09" w:rsidP="00AF256F">
            <w:pPr>
              <w:autoSpaceDE/>
              <w:autoSpaceDN/>
              <w:jc w:val="center"/>
              <w:rPr>
                <w:rFonts w:ascii="Arial" w:hAnsi="Arial" w:cs="Arial"/>
                <w:sz w:val="16"/>
                <w:szCs w:val="16"/>
                <w:lang w:val="en-US"/>
              </w:rPr>
            </w:pPr>
            <w:r>
              <w:rPr>
                <w:rFonts w:ascii="Arial" w:hAnsi="Arial" w:cs="Arial"/>
                <w:sz w:val="16"/>
                <w:szCs w:val="16"/>
                <w:lang w:val="en-US"/>
              </w:rPr>
              <w:t>double-</w:t>
            </w:r>
            <w:r w:rsidR="005A4803">
              <w:rPr>
                <w:rFonts w:ascii="Arial" w:hAnsi="Arial" w:cs="Arial"/>
                <w:sz w:val="16"/>
                <w:szCs w:val="16"/>
                <w:lang w:val="en-US"/>
              </w:rPr>
              <w:t xml:space="preserve"> blind</w:t>
            </w:r>
          </w:p>
        </w:tc>
        <w:tc>
          <w:tcPr>
            <w:tcW w:w="992" w:type="dxa"/>
            <w:gridSpan w:val="2"/>
            <w:tcBorders>
              <w:top w:val="nil"/>
              <w:left w:val="nil"/>
              <w:right w:val="nil"/>
            </w:tcBorders>
            <w:shd w:val="clear" w:color="auto" w:fill="auto"/>
            <w:noWrap/>
            <w:vAlign w:val="center"/>
          </w:tcPr>
          <w:p w14:paraId="7EE835C0"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20</w:t>
            </w:r>
          </w:p>
        </w:tc>
        <w:tc>
          <w:tcPr>
            <w:tcW w:w="709" w:type="dxa"/>
            <w:gridSpan w:val="2"/>
            <w:tcBorders>
              <w:top w:val="nil"/>
              <w:left w:val="nil"/>
              <w:right w:val="nil"/>
            </w:tcBorders>
            <w:shd w:val="clear" w:color="auto" w:fill="auto"/>
            <w:noWrap/>
            <w:vAlign w:val="center"/>
          </w:tcPr>
          <w:p w14:paraId="2D62FCFD"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20</w:t>
            </w:r>
          </w:p>
        </w:tc>
        <w:tc>
          <w:tcPr>
            <w:tcW w:w="1134" w:type="dxa"/>
            <w:tcBorders>
              <w:top w:val="nil"/>
              <w:left w:val="nil"/>
              <w:right w:val="nil"/>
            </w:tcBorders>
            <w:shd w:val="clear" w:color="auto" w:fill="auto"/>
            <w:noWrap/>
            <w:vAlign w:val="center"/>
          </w:tcPr>
          <w:p w14:paraId="499041AA"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814 +/- 1265</w:t>
            </w:r>
          </w:p>
        </w:tc>
        <w:tc>
          <w:tcPr>
            <w:tcW w:w="1275" w:type="dxa"/>
            <w:tcBorders>
              <w:top w:val="nil"/>
              <w:left w:val="nil"/>
              <w:right w:val="single" w:sz="4" w:space="0" w:color="auto"/>
            </w:tcBorders>
            <w:shd w:val="clear" w:color="auto" w:fill="auto"/>
            <w:noWrap/>
            <w:vAlign w:val="center"/>
          </w:tcPr>
          <w:p w14:paraId="3E33E2BC"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1231 +/- 1639</w:t>
            </w:r>
          </w:p>
        </w:tc>
      </w:tr>
      <w:tr w:rsidR="005A4803" w:rsidRPr="003603A2" w14:paraId="01554C80" w14:textId="77777777" w:rsidTr="00536649">
        <w:trPr>
          <w:trHeight w:val="225"/>
        </w:trPr>
        <w:tc>
          <w:tcPr>
            <w:tcW w:w="1291" w:type="dxa"/>
            <w:tcBorders>
              <w:top w:val="nil"/>
              <w:left w:val="single" w:sz="4" w:space="0" w:color="auto"/>
              <w:right w:val="nil"/>
            </w:tcBorders>
            <w:shd w:val="clear" w:color="auto" w:fill="auto"/>
            <w:noWrap/>
            <w:vAlign w:val="center"/>
          </w:tcPr>
          <w:p w14:paraId="5381E43B" w14:textId="77777777" w:rsidR="005A4803" w:rsidRPr="003603A2" w:rsidRDefault="005A4803" w:rsidP="00AF256F">
            <w:pPr>
              <w:autoSpaceDE/>
              <w:autoSpaceDN/>
              <w:jc w:val="both"/>
              <w:rPr>
                <w:rFonts w:ascii="Arial" w:hAnsi="Arial" w:cs="Arial"/>
                <w:sz w:val="16"/>
                <w:szCs w:val="16"/>
                <w:lang w:val="en-US"/>
              </w:rPr>
            </w:pPr>
            <w:r w:rsidRPr="003603A2">
              <w:rPr>
                <w:rFonts w:ascii="Arial" w:hAnsi="Arial" w:cs="Arial"/>
                <w:sz w:val="16"/>
                <w:szCs w:val="16"/>
                <w:lang w:val="en-US"/>
              </w:rPr>
              <w:t>Ido K</w:t>
            </w:r>
            <w:r w:rsidR="000526FF">
              <w:rPr>
                <w:rFonts w:ascii="Arial" w:hAnsi="Arial" w:cs="Arial"/>
                <w:sz w:val="16"/>
                <w:szCs w:val="16"/>
                <w:lang w:val="en-US"/>
              </w:rPr>
              <w:fldChar w:fldCharType="begin"/>
            </w:r>
            <w:r w:rsidR="000526FF">
              <w:rPr>
                <w:rFonts w:ascii="Arial" w:hAnsi="Arial" w:cs="Arial"/>
                <w:sz w:val="16"/>
                <w:szCs w:val="16"/>
                <w:lang w:val="en-US"/>
              </w:rPr>
              <w:instrText xml:space="preserve"> ADDIN ZOTERO_ITEM CSL_CITATION {"citationID":"lFQlaEFR","properties":{"formattedCitation":"{\\rtf \\super 14\\nosupersub{}}","plainCitation":"14"},"citationItems":[{"id":1637,"uris":["http://zotero.org/users/325870/items/PC3IAATF"],"uri":["http://zotero.org/users/325870/items/PC3IAATF"],"itemData":{"id":1637,"type":"article-journal","title":"Reduction of blood loss using tranexamic acid in total knee and hip arthroplasties","container-title":"Archives of Orthopaedic and Trauma Surgery","page":"518-520","volume":"120","issue":"9","source":"PubMed","abstract":"There have been several attempts to reduce postoperative blood loss in patients undergoing total arthroplasty. Benoni et al. reported the usefulness of tranexamic acid in total knee arthroplasty (TKA). We investigated its effect in TKA and total hip arthroplasty (THA). Blood loss was significantly reduced in patients given tranexamic acid in both the TKA and THA groups, and no severe complications, such as venous or pulmonary thrombosis, were noted in any of the patients who received the agent. Administration of tranexamic acid seems to be useful for reducing postoperative blood loss in TKA and THA.","ISSN":"0936-8051","note":"PMID: 11011672","journalAbbreviation":"Arch Orthop Trauma Surg","language":"eng","author":[{"family":"Ido","given":"K."},{"family":"Neo","given":"M."},{"family":"Asada","given":"Y."},{"family":"Kondo","given":"K."},{"family":"Morita","given":"T."},{"family":"Sakamoto","given":"T."},{"family":"Hayashi","given":"R."},{"family":"Kuriyama","given":"S."}],"issued":{"date-parts":[["2000"]]}}}],"schema":"https://github.com/citation-style-language/schema/raw/master/csl-citation.json"} </w:instrText>
            </w:r>
            <w:r w:rsidR="000526FF">
              <w:rPr>
                <w:rFonts w:ascii="Arial" w:hAnsi="Arial" w:cs="Arial"/>
                <w:sz w:val="16"/>
                <w:szCs w:val="16"/>
                <w:lang w:val="en-US"/>
              </w:rPr>
              <w:fldChar w:fldCharType="separate"/>
            </w:r>
            <w:r w:rsidR="000526FF" w:rsidRPr="000526FF">
              <w:rPr>
                <w:rFonts w:ascii="Arial" w:hAnsi="Arial" w:cs="Arial"/>
                <w:sz w:val="16"/>
                <w:szCs w:val="24"/>
                <w:vertAlign w:val="superscript"/>
              </w:rPr>
              <w:t>14</w:t>
            </w:r>
            <w:r w:rsidR="000526FF">
              <w:rPr>
                <w:rFonts w:ascii="Arial" w:hAnsi="Arial" w:cs="Arial"/>
                <w:sz w:val="16"/>
                <w:szCs w:val="16"/>
                <w:lang w:val="en-US"/>
              </w:rPr>
              <w:fldChar w:fldCharType="end"/>
            </w:r>
          </w:p>
        </w:tc>
        <w:tc>
          <w:tcPr>
            <w:tcW w:w="567" w:type="dxa"/>
            <w:tcBorders>
              <w:top w:val="nil"/>
              <w:left w:val="nil"/>
              <w:right w:val="nil"/>
            </w:tcBorders>
            <w:shd w:val="clear" w:color="auto" w:fill="auto"/>
            <w:noWrap/>
            <w:vAlign w:val="center"/>
          </w:tcPr>
          <w:p w14:paraId="391D8114"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2000</w:t>
            </w:r>
          </w:p>
        </w:tc>
        <w:tc>
          <w:tcPr>
            <w:tcW w:w="1701" w:type="dxa"/>
            <w:tcBorders>
              <w:top w:val="nil"/>
              <w:left w:val="nil"/>
              <w:right w:val="nil"/>
            </w:tcBorders>
            <w:shd w:val="clear" w:color="auto" w:fill="auto"/>
            <w:vAlign w:val="center"/>
          </w:tcPr>
          <w:p w14:paraId="3BEDA758" w14:textId="77777777" w:rsidR="005A4803" w:rsidRPr="003603A2" w:rsidRDefault="005A4803" w:rsidP="00AF256F">
            <w:pPr>
              <w:autoSpaceDE/>
              <w:autoSpaceDN/>
              <w:jc w:val="center"/>
              <w:rPr>
                <w:rFonts w:ascii="Arial" w:hAnsi="Arial" w:cs="Arial"/>
                <w:sz w:val="16"/>
                <w:szCs w:val="16"/>
                <w:lang w:val="en-US"/>
              </w:rPr>
            </w:pPr>
            <w:smartTag w:uri="urn:schemas-microsoft-com:office:smarttags" w:element="metricconverter">
              <w:smartTagPr>
                <w:attr w:name="ProductID" w:val="1 g"/>
              </w:smartTagPr>
              <w:r w:rsidRPr="008D2F40">
                <w:rPr>
                  <w:rFonts w:ascii="Arial" w:hAnsi="Arial" w:cs="Arial"/>
                  <w:sz w:val="16"/>
                  <w:szCs w:val="16"/>
                  <w:lang w:val="en-US"/>
                </w:rPr>
                <w:t>1 g</w:t>
              </w:r>
            </w:smartTag>
            <w:r w:rsidRPr="008D2F40">
              <w:rPr>
                <w:rFonts w:ascii="Arial" w:hAnsi="Arial" w:cs="Arial"/>
                <w:sz w:val="16"/>
                <w:szCs w:val="16"/>
                <w:lang w:val="en-US"/>
              </w:rPr>
              <w:t xml:space="preserve"> before surgery + </w:t>
            </w:r>
            <w:smartTag w:uri="urn:schemas-microsoft-com:office:smarttags" w:element="metricconverter">
              <w:smartTagPr>
                <w:attr w:name="ProductID" w:val="1 g"/>
              </w:smartTagPr>
              <w:r w:rsidRPr="008D2F40">
                <w:rPr>
                  <w:rFonts w:ascii="Arial" w:hAnsi="Arial" w:cs="Arial"/>
                  <w:sz w:val="16"/>
                  <w:szCs w:val="16"/>
                  <w:lang w:val="en-US"/>
                </w:rPr>
                <w:t>1 g</w:t>
              </w:r>
            </w:smartTag>
            <w:r w:rsidRPr="008D2F40">
              <w:rPr>
                <w:rFonts w:ascii="Arial" w:hAnsi="Arial" w:cs="Arial"/>
                <w:sz w:val="16"/>
                <w:szCs w:val="16"/>
                <w:lang w:val="en-US"/>
              </w:rPr>
              <w:t xml:space="preserve"> 3h after </w:t>
            </w:r>
            <w:r>
              <w:rPr>
                <w:rFonts w:ascii="Arial" w:hAnsi="Arial" w:cs="Arial"/>
                <w:sz w:val="16"/>
                <w:szCs w:val="16"/>
                <w:lang w:val="en-US"/>
              </w:rPr>
              <w:t>surgery</w:t>
            </w:r>
          </w:p>
        </w:tc>
        <w:tc>
          <w:tcPr>
            <w:tcW w:w="851" w:type="dxa"/>
            <w:tcBorders>
              <w:top w:val="nil"/>
              <w:left w:val="nil"/>
              <w:right w:val="nil"/>
            </w:tcBorders>
            <w:vAlign w:val="center"/>
          </w:tcPr>
          <w:p w14:paraId="2739B4F6" w14:textId="77777777" w:rsidR="005A4803" w:rsidRPr="003603A2" w:rsidRDefault="005A4803" w:rsidP="00AF256F">
            <w:pPr>
              <w:autoSpaceDE/>
              <w:autoSpaceDN/>
              <w:jc w:val="center"/>
              <w:rPr>
                <w:rFonts w:ascii="Arial" w:hAnsi="Arial" w:cs="Arial"/>
                <w:sz w:val="16"/>
                <w:szCs w:val="16"/>
                <w:lang w:val="en-US"/>
              </w:rPr>
            </w:pPr>
            <w:r>
              <w:rPr>
                <w:rFonts w:ascii="Arial" w:hAnsi="Arial" w:cs="Arial"/>
                <w:sz w:val="16"/>
                <w:szCs w:val="16"/>
                <w:lang w:val="en-US"/>
              </w:rPr>
              <w:t>open</w:t>
            </w:r>
          </w:p>
        </w:tc>
        <w:tc>
          <w:tcPr>
            <w:tcW w:w="992" w:type="dxa"/>
            <w:gridSpan w:val="2"/>
            <w:tcBorders>
              <w:top w:val="nil"/>
              <w:left w:val="nil"/>
              <w:right w:val="nil"/>
            </w:tcBorders>
            <w:shd w:val="clear" w:color="auto" w:fill="auto"/>
            <w:noWrap/>
            <w:vAlign w:val="center"/>
          </w:tcPr>
          <w:p w14:paraId="6BDFFA9C"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20</w:t>
            </w:r>
          </w:p>
        </w:tc>
        <w:tc>
          <w:tcPr>
            <w:tcW w:w="709" w:type="dxa"/>
            <w:gridSpan w:val="2"/>
            <w:tcBorders>
              <w:top w:val="nil"/>
              <w:left w:val="nil"/>
              <w:right w:val="nil"/>
            </w:tcBorders>
            <w:shd w:val="clear" w:color="auto" w:fill="auto"/>
            <w:noWrap/>
            <w:vAlign w:val="center"/>
          </w:tcPr>
          <w:p w14:paraId="0A9E2A30"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20</w:t>
            </w:r>
          </w:p>
        </w:tc>
        <w:tc>
          <w:tcPr>
            <w:tcW w:w="1134" w:type="dxa"/>
            <w:tcBorders>
              <w:top w:val="nil"/>
              <w:left w:val="nil"/>
              <w:right w:val="nil"/>
            </w:tcBorders>
            <w:shd w:val="clear" w:color="auto" w:fill="auto"/>
            <w:noWrap/>
            <w:vAlign w:val="center"/>
          </w:tcPr>
          <w:p w14:paraId="70C51C1F"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n.a.</w:t>
            </w:r>
          </w:p>
        </w:tc>
        <w:tc>
          <w:tcPr>
            <w:tcW w:w="1275" w:type="dxa"/>
            <w:tcBorders>
              <w:top w:val="nil"/>
              <w:left w:val="nil"/>
              <w:right w:val="single" w:sz="4" w:space="0" w:color="auto"/>
            </w:tcBorders>
            <w:shd w:val="clear" w:color="auto" w:fill="auto"/>
            <w:noWrap/>
            <w:vAlign w:val="center"/>
          </w:tcPr>
          <w:p w14:paraId="54D4C34D"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n.a.</w:t>
            </w:r>
          </w:p>
        </w:tc>
      </w:tr>
      <w:tr w:rsidR="005A4803" w:rsidRPr="003603A2" w14:paraId="009EE412" w14:textId="77777777" w:rsidTr="00536649">
        <w:trPr>
          <w:trHeight w:val="225"/>
        </w:trPr>
        <w:tc>
          <w:tcPr>
            <w:tcW w:w="1291" w:type="dxa"/>
            <w:tcBorders>
              <w:left w:val="single" w:sz="4" w:space="0" w:color="auto"/>
              <w:bottom w:val="single" w:sz="4" w:space="0" w:color="auto"/>
              <w:right w:val="nil"/>
            </w:tcBorders>
            <w:shd w:val="clear" w:color="auto" w:fill="auto"/>
            <w:noWrap/>
            <w:vAlign w:val="center"/>
          </w:tcPr>
          <w:p w14:paraId="406470B7" w14:textId="77777777" w:rsidR="005A4803" w:rsidRPr="003603A2" w:rsidRDefault="005A4803" w:rsidP="00AF256F">
            <w:pPr>
              <w:autoSpaceDE/>
              <w:autoSpaceDN/>
              <w:jc w:val="both"/>
              <w:rPr>
                <w:rFonts w:ascii="Arial" w:hAnsi="Arial" w:cs="Arial"/>
                <w:sz w:val="16"/>
                <w:szCs w:val="16"/>
                <w:lang w:val="en-US"/>
              </w:rPr>
            </w:pPr>
            <w:r w:rsidRPr="003603A2">
              <w:rPr>
                <w:rFonts w:ascii="Arial" w:hAnsi="Arial" w:cs="Arial"/>
                <w:sz w:val="16"/>
                <w:szCs w:val="16"/>
                <w:lang w:val="en-US"/>
              </w:rPr>
              <w:t>Niskanen R</w:t>
            </w:r>
            <w:r w:rsidR="00A957AE">
              <w:rPr>
                <w:rFonts w:ascii="Arial" w:hAnsi="Arial" w:cs="Arial"/>
                <w:sz w:val="16"/>
                <w:szCs w:val="16"/>
                <w:lang w:val="en-US"/>
              </w:rPr>
              <w:fldChar w:fldCharType="begin"/>
            </w:r>
            <w:r w:rsidR="00A957AE">
              <w:rPr>
                <w:rFonts w:ascii="Arial" w:hAnsi="Arial" w:cs="Arial"/>
                <w:sz w:val="16"/>
                <w:szCs w:val="16"/>
                <w:lang w:val="en-US"/>
              </w:rPr>
              <w:instrText xml:space="preserve"> ADDIN ZOTERO_ITEM CSL_CITATION {"citationID":"SXqa7nq2","properties":{"formattedCitation":"{\\rtf \\super 15\\nosupersub{}}","plainCitation":"15"},"citationItems":[{"id":1639,"uris":["http://zotero.org/users/325870/items/7M66II6Q"],"uri":["http://zotero.org/users/325870/items/7M66II6Q"],"itemData":{"id":1639,"type":"article-journal","title":"Tranexamic acid reduces blood loss in cemented hip arthroplasty: a randomized, double-blind study of 39 patients with osteoarthritis","container-title":"Acta Orthopaedica","page":"829-832","volume":"76","issue":"6","source":"PubMed","abstract":"BACKGROUND: Tranexamic acid has been found to reduce blood loss and the need for blood transfusions in knee arthroplasty. In hip arthroplasty, the benefit of tranexamic acid is not as clear.\nPATIENTS AND METHODS: In a randomized, double-blind study, 39 patients with primary cemented hip arthroplasty for osteoarthritis were divided into two groups; one receiving tranexamic acid and the other not receiving it. Tranexamic acid was given in a dose of 10 mg/kg before the operation and twice thereafter, at 8-hour intervals.\nRESULTS AND INTERPRETATION: Total blood loss was smaller in the tranexamic acid group than in the control group. No thromboembolic complications were noticed. Tranexamic acid appears to be an effective and economic drug for reduction of blood loss in cemented primary hip arthroplasty for osteoarthritis.","DOI":"10.1080/17453670510045444","ISSN":"1745-3674","note":"PMID: 16470437","shortTitle":"Tranexamic acid reduces blood loss in cemented hip arthroplasty","journalAbbreviation":"Acta Orthop","language":"eng","author":[{"family":"Niskanen","given":"Raimo O."},{"family":"Korkala","given":"Olli L."}],"issued":{"date-parts":[["2005",12]]}}}],"schema":"https://github.com/citation-style-language/schema/raw/master/csl-citation.json"} </w:instrText>
            </w:r>
            <w:r w:rsidR="00A957AE">
              <w:rPr>
                <w:rFonts w:ascii="Arial" w:hAnsi="Arial" w:cs="Arial"/>
                <w:sz w:val="16"/>
                <w:szCs w:val="16"/>
                <w:lang w:val="en-US"/>
              </w:rPr>
              <w:fldChar w:fldCharType="separate"/>
            </w:r>
            <w:r w:rsidR="00A957AE" w:rsidRPr="00A957AE">
              <w:rPr>
                <w:rFonts w:ascii="Arial" w:hAnsi="Arial" w:cs="Arial"/>
                <w:sz w:val="16"/>
                <w:szCs w:val="24"/>
                <w:vertAlign w:val="superscript"/>
              </w:rPr>
              <w:t>15</w:t>
            </w:r>
            <w:r w:rsidR="00A957AE">
              <w:rPr>
                <w:rFonts w:ascii="Arial" w:hAnsi="Arial" w:cs="Arial"/>
                <w:sz w:val="16"/>
                <w:szCs w:val="16"/>
                <w:lang w:val="en-US"/>
              </w:rPr>
              <w:fldChar w:fldCharType="end"/>
            </w:r>
          </w:p>
        </w:tc>
        <w:tc>
          <w:tcPr>
            <w:tcW w:w="567" w:type="dxa"/>
            <w:tcBorders>
              <w:left w:val="nil"/>
              <w:bottom w:val="single" w:sz="4" w:space="0" w:color="auto"/>
              <w:right w:val="nil"/>
            </w:tcBorders>
            <w:shd w:val="clear" w:color="auto" w:fill="auto"/>
            <w:noWrap/>
            <w:vAlign w:val="center"/>
          </w:tcPr>
          <w:p w14:paraId="6844E862"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2005</w:t>
            </w:r>
          </w:p>
        </w:tc>
        <w:tc>
          <w:tcPr>
            <w:tcW w:w="1701" w:type="dxa"/>
            <w:tcBorders>
              <w:left w:val="nil"/>
              <w:bottom w:val="single" w:sz="4" w:space="0" w:color="auto"/>
              <w:right w:val="nil"/>
            </w:tcBorders>
            <w:shd w:val="clear" w:color="auto" w:fill="auto"/>
            <w:vAlign w:val="center"/>
          </w:tcPr>
          <w:p w14:paraId="3693DCFB" w14:textId="77777777" w:rsidR="005A4803" w:rsidRPr="003603A2" w:rsidRDefault="005A4803" w:rsidP="00AF256F">
            <w:pPr>
              <w:autoSpaceDE/>
              <w:autoSpaceDN/>
              <w:jc w:val="center"/>
              <w:rPr>
                <w:rFonts w:ascii="Arial" w:hAnsi="Arial" w:cs="Arial"/>
                <w:sz w:val="16"/>
                <w:szCs w:val="16"/>
                <w:lang w:val="en-US"/>
              </w:rPr>
            </w:pPr>
            <w:r w:rsidRPr="008D2F40">
              <w:rPr>
                <w:rFonts w:ascii="Arial" w:hAnsi="Arial" w:cs="Arial"/>
                <w:sz w:val="16"/>
                <w:szCs w:val="16"/>
                <w:lang w:val="en-US"/>
              </w:rPr>
              <w:t xml:space="preserve">10 mg/kg before </w:t>
            </w:r>
            <w:r>
              <w:rPr>
                <w:rFonts w:ascii="Arial" w:hAnsi="Arial" w:cs="Arial"/>
                <w:sz w:val="16"/>
                <w:szCs w:val="16"/>
                <w:lang w:val="en-US"/>
              </w:rPr>
              <w:t>surgery</w:t>
            </w:r>
            <w:r w:rsidRPr="008D2F40">
              <w:rPr>
                <w:rFonts w:ascii="Arial" w:hAnsi="Arial" w:cs="Arial"/>
                <w:sz w:val="16"/>
                <w:szCs w:val="16"/>
                <w:lang w:val="en-US"/>
              </w:rPr>
              <w:t xml:space="preserve"> + 10 mg/kg 8h </w:t>
            </w:r>
            <w:r>
              <w:rPr>
                <w:rFonts w:ascii="Arial" w:hAnsi="Arial" w:cs="Arial"/>
                <w:sz w:val="16"/>
                <w:szCs w:val="16"/>
                <w:lang w:val="en-US"/>
              </w:rPr>
              <w:t>after</w:t>
            </w:r>
            <w:r w:rsidRPr="008D2F40">
              <w:rPr>
                <w:rFonts w:ascii="Arial" w:hAnsi="Arial" w:cs="Arial"/>
                <w:sz w:val="16"/>
                <w:szCs w:val="16"/>
                <w:lang w:val="en-US"/>
              </w:rPr>
              <w:t xml:space="preserve"> + 10 mg/kg 16h </w:t>
            </w:r>
            <w:r>
              <w:rPr>
                <w:rFonts w:ascii="Arial" w:hAnsi="Arial" w:cs="Arial"/>
                <w:sz w:val="16"/>
                <w:szCs w:val="16"/>
                <w:lang w:val="en-US"/>
              </w:rPr>
              <w:t>after</w:t>
            </w:r>
          </w:p>
        </w:tc>
        <w:tc>
          <w:tcPr>
            <w:tcW w:w="851" w:type="dxa"/>
            <w:tcBorders>
              <w:left w:val="nil"/>
              <w:bottom w:val="single" w:sz="4" w:space="0" w:color="auto"/>
              <w:right w:val="nil"/>
            </w:tcBorders>
            <w:vAlign w:val="center"/>
          </w:tcPr>
          <w:p w14:paraId="619159CE" w14:textId="77777777" w:rsidR="005A4803" w:rsidRPr="003603A2" w:rsidRDefault="00C82E09" w:rsidP="00AF256F">
            <w:pPr>
              <w:autoSpaceDE/>
              <w:autoSpaceDN/>
              <w:jc w:val="center"/>
              <w:rPr>
                <w:rFonts w:ascii="Arial" w:hAnsi="Arial" w:cs="Arial"/>
                <w:sz w:val="16"/>
                <w:szCs w:val="16"/>
                <w:lang w:val="en-US"/>
              </w:rPr>
            </w:pPr>
            <w:r>
              <w:rPr>
                <w:rFonts w:ascii="Arial" w:hAnsi="Arial" w:cs="Arial"/>
                <w:sz w:val="16"/>
                <w:szCs w:val="16"/>
                <w:lang w:val="en-US"/>
              </w:rPr>
              <w:t>double-</w:t>
            </w:r>
            <w:r w:rsidR="005A4803">
              <w:rPr>
                <w:rFonts w:ascii="Arial" w:hAnsi="Arial" w:cs="Arial"/>
                <w:sz w:val="16"/>
                <w:szCs w:val="16"/>
                <w:lang w:val="en-US"/>
              </w:rPr>
              <w:t xml:space="preserve"> blind</w:t>
            </w:r>
          </w:p>
        </w:tc>
        <w:tc>
          <w:tcPr>
            <w:tcW w:w="992" w:type="dxa"/>
            <w:gridSpan w:val="2"/>
            <w:tcBorders>
              <w:left w:val="nil"/>
              <w:bottom w:val="single" w:sz="4" w:space="0" w:color="auto"/>
              <w:right w:val="nil"/>
            </w:tcBorders>
            <w:shd w:val="clear" w:color="auto" w:fill="auto"/>
            <w:noWrap/>
            <w:vAlign w:val="center"/>
          </w:tcPr>
          <w:p w14:paraId="202F1EC3"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19</w:t>
            </w:r>
          </w:p>
        </w:tc>
        <w:tc>
          <w:tcPr>
            <w:tcW w:w="709" w:type="dxa"/>
            <w:gridSpan w:val="2"/>
            <w:tcBorders>
              <w:left w:val="nil"/>
              <w:bottom w:val="single" w:sz="4" w:space="0" w:color="auto"/>
              <w:right w:val="nil"/>
            </w:tcBorders>
            <w:shd w:val="clear" w:color="auto" w:fill="auto"/>
            <w:noWrap/>
            <w:vAlign w:val="center"/>
          </w:tcPr>
          <w:p w14:paraId="4ABBDA08"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20</w:t>
            </w:r>
          </w:p>
        </w:tc>
        <w:tc>
          <w:tcPr>
            <w:tcW w:w="1134" w:type="dxa"/>
            <w:tcBorders>
              <w:left w:val="nil"/>
              <w:bottom w:val="single" w:sz="4" w:space="0" w:color="auto"/>
              <w:right w:val="nil"/>
            </w:tcBorders>
            <w:shd w:val="clear" w:color="auto" w:fill="auto"/>
            <w:noWrap/>
            <w:vAlign w:val="center"/>
          </w:tcPr>
          <w:p w14:paraId="23A851C7"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792 +/- 349</w:t>
            </w:r>
          </w:p>
        </w:tc>
        <w:tc>
          <w:tcPr>
            <w:tcW w:w="1275" w:type="dxa"/>
            <w:tcBorders>
              <w:left w:val="nil"/>
              <w:bottom w:val="single" w:sz="4" w:space="0" w:color="auto"/>
              <w:right w:val="single" w:sz="4" w:space="0" w:color="auto"/>
            </w:tcBorders>
            <w:shd w:val="clear" w:color="auto" w:fill="auto"/>
            <w:noWrap/>
            <w:vAlign w:val="center"/>
          </w:tcPr>
          <w:p w14:paraId="0B561637" w14:textId="77777777" w:rsidR="005A4803" w:rsidRPr="003603A2" w:rsidRDefault="005A4803" w:rsidP="00AF256F">
            <w:pPr>
              <w:autoSpaceDE/>
              <w:autoSpaceDN/>
              <w:jc w:val="center"/>
              <w:rPr>
                <w:rFonts w:ascii="Arial" w:hAnsi="Arial" w:cs="Arial"/>
                <w:sz w:val="16"/>
                <w:szCs w:val="16"/>
                <w:lang w:val="en-US"/>
              </w:rPr>
            </w:pPr>
            <w:r w:rsidRPr="003603A2">
              <w:rPr>
                <w:rFonts w:ascii="Arial" w:hAnsi="Arial" w:cs="Arial"/>
                <w:sz w:val="16"/>
                <w:szCs w:val="16"/>
                <w:lang w:val="en-US"/>
              </w:rPr>
              <w:t>1102 +/- 464</w:t>
            </w:r>
          </w:p>
        </w:tc>
      </w:tr>
      <w:tr w:rsidR="009E67D6" w:rsidRPr="000A6D40" w14:paraId="20E4115C" w14:textId="77777777" w:rsidTr="00536649">
        <w:trPr>
          <w:trHeight w:val="225"/>
        </w:trPr>
        <w:tc>
          <w:tcPr>
            <w:tcW w:w="8520" w:type="dxa"/>
            <w:gridSpan w:val="10"/>
            <w:tcBorders>
              <w:left w:val="single" w:sz="4" w:space="0" w:color="auto"/>
              <w:bottom w:val="single" w:sz="4" w:space="0" w:color="auto"/>
              <w:right w:val="single" w:sz="4" w:space="0" w:color="auto"/>
            </w:tcBorders>
            <w:shd w:val="clear" w:color="auto" w:fill="auto"/>
            <w:noWrap/>
            <w:vAlign w:val="center"/>
          </w:tcPr>
          <w:p w14:paraId="6AA040D5" w14:textId="77777777" w:rsidR="009E67D6" w:rsidRPr="003603A2" w:rsidRDefault="009E67D6" w:rsidP="0081081F">
            <w:pPr>
              <w:autoSpaceDE/>
              <w:autoSpaceDN/>
              <w:rPr>
                <w:rFonts w:ascii="Arial" w:hAnsi="Arial" w:cs="Arial"/>
                <w:sz w:val="16"/>
                <w:szCs w:val="16"/>
                <w:lang w:val="en-US"/>
              </w:rPr>
            </w:pPr>
            <w:r>
              <w:rPr>
                <w:rFonts w:ascii="Arial" w:hAnsi="Arial" w:cs="Arial"/>
                <w:sz w:val="16"/>
                <w:szCs w:val="16"/>
                <w:lang w:val="en-US"/>
              </w:rPr>
              <w:t xml:space="preserve">Local retrospective study on the use of </w:t>
            </w:r>
            <w:r w:rsidR="00B35A7A">
              <w:rPr>
                <w:rFonts w:ascii="Arial" w:hAnsi="Arial" w:cs="Arial"/>
                <w:sz w:val="16"/>
                <w:szCs w:val="16"/>
                <w:lang w:val="en-US"/>
              </w:rPr>
              <w:t>a preoperative bolus and additional postoperative administration</w:t>
            </w:r>
            <w:r w:rsidR="001E7E42">
              <w:rPr>
                <w:rFonts w:ascii="Arial" w:hAnsi="Arial" w:cs="Arial"/>
                <w:sz w:val="16"/>
                <w:szCs w:val="16"/>
                <w:lang w:val="en-US"/>
              </w:rPr>
              <w:t xml:space="preserve"> of</w:t>
            </w:r>
            <w:r w:rsidR="00B35A7A">
              <w:rPr>
                <w:rFonts w:ascii="Arial" w:hAnsi="Arial" w:cs="Arial"/>
                <w:sz w:val="16"/>
                <w:szCs w:val="16"/>
                <w:lang w:val="en-US"/>
              </w:rPr>
              <w:t xml:space="preserve"> </w:t>
            </w:r>
            <w:r>
              <w:rPr>
                <w:rFonts w:ascii="Arial" w:hAnsi="Arial" w:cs="Arial"/>
                <w:sz w:val="16"/>
                <w:szCs w:val="16"/>
                <w:lang w:val="en-US"/>
              </w:rPr>
              <w:t>tranexamic acid vs no treatment (unpublished)</w:t>
            </w:r>
          </w:p>
        </w:tc>
      </w:tr>
      <w:tr w:rsidR="0081081F" w:rsidRPr="003603A2" w14:paraId="7C92DD1A" w14:textId="77777777" w:rsidTr="00536649">
        <w:trPr>
          <w:trHeight w:val="225"/>
        </w:trPr>
        <w:tc>
          <w:tcPr>
            <w:tcW w:w="1291" w:type="dxa"/>
            <w:tcBorders>
              <w:top w:val="nil"/>
              <w:left w:val="single" w:sz="4" w:space="0" w:color="auto"/>
              <w:bottom w:val="single" w:sz="4" w:space="0" w:color="auto"/>
              <w:right w:val="nil"/>
            </w:tcBorders>
            <w:shd w:val="clear" w:color="auto" w:fill="auto"/>
            <w:noWrap/>
            <w:vAlign w:val="center"/>
          </w:tcPr>
          <w:p w14:paraId="687ABD87" w14:textId="77777777" w:rsidR="0081081F" w:rsidRPr="003603A2" w:rsidRDefault="0081081F" w:rsidP="00AF256F">
            <w:pPr>
              <w:autoSpaceDE/>
              <w:autoSpaceDN/>
              <w:jc w:val="both"/>
              <w:rPr>
                <w:rFonts w:ascii="Arial" w:hAnsi="Arial" w:cs="Arial"/>
                <w:sz w:val="16"/>
                <w:szCs w:val="16"/>
                <w:lang w:val="en-US"/>
              </w:rPr>
            </w:pPr>
            <w:r>
              <w:rPr>
                <w:rFonts w:ascii="Arial" w:hAnsi="Arial" w:cs="Arial"/>
                <w:sz w:val="16"/>
                <w:szCs w:val="16"/>
                <w:lang w:val="en-US"/>
              </w:rPr>
              <w:t>Farissier F</w:t>
            </w:r>
          </w:p>
        </w:tc>
        <w:tc>
          <w:tcPr>
            <w:tcW w:w="567" w:type="dxa"/>
            <w:tcBorders>
              <w:top w:val="nil"/>
              <w:left w:val="nil"/>
              <w:bottom w:val="single" w:sz="4" w:space="0" w:color="auto"/>
              <w:right w:val="nil"/>
            </w:tcBorders>
            <w:shd w:val="clear" w:color="auto" w:fill="auto"/>
            <w:noWrap/>
            <w:vAlign w:val="center"/>
          </w:tcPr>
          <w:p w14:paraId="47C5CC58" w14:textId="77777777" w:rsidR="0081081F" w:rsidRPr="003603A2" w:rsidRDefault="0081081F" w:rsidP="00AF256F">
            <w:pPr>
              <w:autoSpaceDE/>
              <w:autoSpaceDN/>
              <w:jc w:val="center"/>
              <w:rPr>
                <w:rFonts w:ascii="Arial" w:hAnsi="Arial" w:cs="Arial"/>
                <w:sz w:val="16"/>
                <w:szCs w:val="16"/>
                <w:lang w:val="en-US"/>
              </w:rPr>
            </w:pPr>
            <w:r>
              <w:rPr>
                <w:rFonts w:ascii="Arial" w:hAnsi="Arial" w:cs="Arial"/>
                <w:sz w:val="16"/>
                <w:szCs w:val="16"/>
                <w:lang w:val="en-US"/>
              </w:rPr>
              <w:t>2012</w:t>
            </w:r>
          </w:p>
        </w:tc>
        <w:tc>
          <w:tcPr>
            <w:tcW w:w="1701" w:type="dxa"/>
            <w:tcBorders>
              <w:top w:val="nil"/>
              <w:left w:val="nil"/>
              <w:bottom w:val="single" w:sz="4" w:space="0" w:color="auto"/>
              <w:right w:val="nil"/>
            </w:tcBorders>
            <w:shd w:val="clear" w:color="auto" w:fill="auto"/>
            <w:vAlign w:val="center"/>
          </w:tcPr>
          <w:p w14:paraId="0A3D1FD1" w14:textId="77777777" w:rsidR="0081081F" w:rsidRPr="003603A2" w:rsidRDefault="0081081F" w:rsidP="009E6B9D">
            <w:pPr>
              <w:autoSpaceDE/>
              <w:autoSpaceDN/>
              <w:jc w:val="center"/>
              <w:rPr>
                <w:rFonts w:ascii="Arial" w:hAnsi="Arial" w:cs="Arial"/>
                <w:sz w:val="16"/>
                <w:szCs w:val="16"/>
                <w:lang w:val="en-US"/>
              </w:rPr>
            </w:pPr>
            <w:r>
              <w:rPr>
                <w:rFonts w:ascii="Arial" w:hAnsi="Arial" w:cs="Arial"/>
                <w:sz w:val="16"/>
                <w:szCs w:val="16"/>
                <w:lang w:val="en-US"/>
              </w:rPr>
              <w:t>15</w:t>
            </w:r>
            <w:r w:rsidRPr="008D2F40">
              <w:rPr>
                <w:rFonts w:ascii="Arial" w:hAnsi="Arial" w:cs="Arial"/>
                <w:sz w:val="16"/>
                <w:szCs w:val="16"/>
                <w:lang w:val="en-US"/>
              </w:rPr>
              <w:t xml:space="preserve"> mg/kg before </w:t>
            </w:r>
            <w:r>
              <w:rPr>
                <w:rFonts w:ascii="Arial" w:hAnsi="Arial" w:cs="Arial"/>
                <w:sz w:val="16"/>
                <w:szCs w:val="16"/>
                <w:lang w:val="en-US"/>
              </w:rPr>
              <w:t>surgery</w:t>
            </w:r>
            <w:r w:rsidRPr="008D2F40">
              <w:rPr>
                <w:rFonts w:ascii="Arial" w:hAnsi="Arial" w:cs="Arial"/>
                <w:sz w:val="16"/>
                <w:szCs w:val="16"/>
                <w:lang w:val="en-US"/>
              </w:rPr>
              <w:t xml:space="preserve"> + 1</w:t>
            </w:r>
            <w:r>
              <w:rPr>
                <w:rFonts w:ascii="Arial" w:hAnsi="Arial" w:cs="Arial"/>
                <w:sz w:val="16"/>
                <w:szCs w:val="16"/>
                <w:lang w:val="en-US"/>
              </w:rPr>
              <w:t>5</w:t>
            </w:r>
            <w:r w:rsidRPr="008D2F40">
              <w:rPr>
                <w:rFonts w:ascii="Arial" w:hAnsi="Arial" w:cs="Arial"/>
                <w:sz w:val="16"/>
                <w:szCs w:val="16"/>
                <w:lang w:val="en-US"/>
              </w:rPr>
              <w:t xml:space="preserve"> mg/kg 3h </w:t>
            </w:r>
            <w:r>
              <w:rPr>
                <w:rFonts w:ascii="Arial" w:hAnsi="Arial" w:cs="Arial"/>
                <w:sz w:val="16"/>
                <w:szCs w:val="16"/>
                <w:lang w:val="en-US"/>
              </w:rPr>
              <w:t>after</w:t>
            </w:r>
            <w:r w:rsidRPr="008D2F40">
              <w:rPr>
                <w:rFonts w:ascii="Arial" w:hAnsi="Arial" w:cs="Arial"/>
                <w:sz w:val="16"/>
                <w:szCs w:val="16"/>
                <w:lang w:val="en-US"/>
              </w:rPr>
              <w:t xml:space="preserve"> 1</w:t>
            </w:r>
            <w:r>
              <w:rPr>
                <w:rFonts w:ascii="Arial" w:hAnsi="Arial" w:cs="Arial"/>
                <w:sz w:val="16"/>
                <w:szCs w:val="16"/>
                <w:lang w:val="en-US"/>
              </w:rPr>
              <w:t>st</w:t>
            </w:r>
            <w:r w:rsidRPr="008D2F40">
              <w:rPr>
                <w:rFonts w:ascii="Arial" w:hAnsi="Arial" w:cs="Arial"/>
                <w:sz w:val="16"/>
                <w:szCs w:val="16"/>
                <w:lang w:val="en-US"/>
              </w:rPr>
              <w:t xml:space="preserve"> bolus</w:t>
            </w:r>
          </w:p>
        </w:tc>
        <w:tc>
          <w:tcPr>
            <w:tcW w:w="851" w:type="dxa"/>
            <w:tcBorders>
              <w:top w:val="nil"/>
              <w:left w:val="nil"/>
              <w:bottom w:val="single" w:sz="4" w:space="0" w:color="auto"/>
              <w:right w:val="nil"/>
            </w:tcBorders>
            <w:vAlign w:val="center"/>
          </w:tcPr>
          <w:p w14:paraId="65FA5237" w14:textId="77777777" w:rsidR="0081081F" w:rsidRPr="003603A2" w:rsidRDefault="0081081F" w:rsidP="00AF256F">
            <w:pPr>
              <w:autoSpaceDE/>
              <w:autoSpaceDN/>
              <w:jc w:val="center"/>
              <w:rPr>
                <w:rFonts w:ascii="Arial" w:hAnsi="Arial" w:cs="Arial"/>
                <w:sz w:val="16"/>
                <w:szCs w:val="16"/>
                <w:lang w:val="en-US"/>
              </w:rPr>
            </w:pPr>
          </w:p>
        </w:tc>
        <w:tc>
          <w:tcPr>
            <w:tcW w:w="753" w:type="dxa"/>
            <w:tcBorders>
              <w:top w:val="nil"/>
              <w:left w:val="nil"/>
              <w:bottom w:val="single" w:sz="4" w:space="0" w:color="auto"/>
            </w:tcBorders>
            <w:shd w:val="clear" w:color="auto" w:fill="auto"/>
            <w:noWrap/>
            <w:vAlign w:val="center"/>
          </w:tcPr>
          <w:p w14:paraId="4F30F826" w14:textId="77777777" w:rsidR="0081081F" w:rsidRPr="003603A2" w:rsidRDefault="0081081F" w:rsidP="0081081F">
            <w:pPr>
              <w:autoSpaceDE/>
              <w:autoSpaceDN/>
              <w:jc w:val="right"/>
              <w:rPr>
                <w:rFonts w:ascii="Arial" w:hAnsi="Arial" w:cs="Arial"/>
                <w:sz w:val="16"/>
                <w:szCs w:val="16"/>
                <w:lang w:val="en-US"/>
              </w:rPr>
            </w:pPr>
            <w:r>
              <w:rPr>
                <w:rFonts w:ascii="Arial" w:hAnsi="Arial" w:cs="Arial"/>
                <w:sz w:val="16"/>
                <w:szCs w:val="16"/>
                <w:lang w:val="en-US"/>
              </w:rPr>
              <w:t>54</w:t>
            </w:r>
          </w:p>
        </w:tc>
        <w:tc>
          <w:tcPr>
            <w:tcW w:w="620" w:type="dxa"/>
            <w:gridSpan w:val="2"/>
            <w:tcBorders>
              <w:top w:val="nil"/>
              <w:bottom w:val="single" w:sz="4" w:space="0" w:color="auto"/>
            </w:tcBorders>
            <w:shd w:val="clear" w:color="auto" w:fill="auto"/>
            <w:vAlign w:val="center"/>
          </w:tcPr>
          <w:p w14:paraId="24ACA06C" w14:textId="77777777" w:rsidR="0081081F" w:rsidRPr="003603A2" w:rsidRDefault="0081081F" w:rsidP="0081081F">
            <w:pPr>
              <w:autoSpaceDE/>
              <w:autoSpaceDN/>
              <w:jc w:val="right"/>
              <w:rPr>
                <w:rFonts w:ascii="Arial" w:hAnsi="Arial" w:cs="Arial"/>
                <w:sz w:val="16"/>
                <w:szCs w:val="16"/>
                <w:lang w:val="en-US"/>
              </w:rPr>
            </w:pPr>
            <w:r>
              <w:rPr>
                <w:rFonts w:ascii="Arial" w:hAnsi="Arial" w:cs="Arial"/>
                <w:sz w:val="16"/>
                <w:szCs w:val="16"/>
                <w:lang w:val="en-US"/>
              </w:rPr>
              <w:t>17</w:t>
            </w:r>
          </w:p>
        </w:tc>
        <w:tc>
          <w:tcPr>
            <w:tcW w:w="2737" w:type="dxa"/>
            <w:gridSpan w:val="3"/>
            <w:tcBorders>
              <w:top w:val="nil"/>
              <w:bottom w:val="single" w:sz="4" w:space="0" w:color="auto"/>
              <w:right w:val="single" w:sz="4" w:space="0" w:color="auto"/>
            </w:tcBorders>
            <w:shd w:val="clear" w:color="auto" w:fill="auto"/>
            <w:vAlign w:val="center"/>
          </w:tcPr>
          <w:p w14:paraId="0D93282D" w14:textId="77777777" w:rsidR="0081081F" w:rsidRDefault="0081081F" w:rsidP="0081081F">
            <w:pPr>
              <w:pBdr>
                <w:right w:val="single" w:sz="4" w:space="4" w:color="auto"/>
              </w:pBdr>
              <w:autoSpaceDE/>
              <w:autoSpaceDN/>
              <w:jc w:val="center"/>
              <w:rPr>
                <w:rFonts w:ascii="Arial" w:hAnsi="Arial" w:cs="Arial"/>
                <w:sz w:val="16"/>
                <w:szCs w:val="16"/>
                <w:lang w:val="en-US"/>
              </w:rPr>
            </w:pPr>
            <w:r>
              <w:rPr>
                <w:rFonts w:ascii="Arial" w:hAnsi="Arial" w:cs="Arial"/>
                <w:sz w:val="16"/>
                <w:szCs w:val="16"/>
                <w:lang w:val="en-US"/>
              </w:rPr>
              <w:t xml:space="preserve">Blood loss difference </w:t>
            </w:r>
          </w:p>
          <w:p w14:paraId="61791120" w14:textId="77777777" w:rsidR="0081081F" w:rsidRPr="003603A2" w:rsidRDefault="0081081F" w:rsidP="00AF256F">
            <w:pPr>
              <w:autoSpaceDE/>
              <w:autoSpaceDN/>
              <w:jc w:val="center"/>
              <w:rPr>
                <w:rFonts w:ascii="Arial" w:hAnsi="Arial" w:cs="Arial"/>
                <w:sz w:val="16"/>
                <w:szCs w:val="16"/>
                <w:lang w:val="en-US"/>
              </w:rPr>
            </w:pPr>
            <w:r>
              <w:rPr>
                <w:rFonts w:ascii="Arial" w:hAnsi="Arial" w:cs="Arial"/>
                <w:sz w:val="16"/>
                <w:szCs w:val="16"/>
                <w:lang w:val="en-US"/>
              </w:rPr>
              <w:t>600 +/- 650</w:t>
            </w:r>
          </w:p>
        </w:tc>
      </w:tr>
    </w:tbl>
    <w:p w14:paraId="6877E273" w14:textId="77777777" w:rsidR="00536649" w:rsidRDefault="00536649" w:rsidP="006A6DEB">
      <w:pPr>
        <w:autoSpaceDE/>
        <w:autoSpaceDN/>
        <w:spacing w:after="200" w:line="276" w:lineRule="auto"/>
        <w:rPr>
          <w:sz w:val="24"/>
          <w:lang w:val="en-US"/>
        </w:rPr>
      </w:pPr>
    </w:p>
    <w:p w14:paraId="59E1CCB7" w14:textId="34DEF55E" w:rsidR="009A23A1" w:rsidRPr="009A23A1" w:rsidRDefault="009A23A1" w:rsidP="00570855">
      <w:pPr>
        <w:pStyle w:val="Heading2"/>
        <w:rPr>
          <w:lang w:val="en-US"/>
        </w:rPr>
      </w:pPr>
      <w:bookmarkStart w:id="5" w:name="_Toc482278812"/>
      <w:r w:rsidRPr="009A23A1">
        <w:rPr>
          <w:lang w:val="en-US"/>
        </w:rPr>
        <w:lastRenderedPageBreak/>
        <w:t xml:space="preserve">Estimated blood loss reduction with tranexamic </w:t>
      </w:r>
      <w:r w:rsidR="006A6DEB">
        <w:rPr>
          <w:lang w:val="en-US"/>
        </w:rPr>
        <w:t>acid</w:t>
      </w:r>
      <w:bookmarkEnd w:id="5"/>
    </w:p>
    <w:p w14:paraId="4677793F" w14:textId="77777777" w:rsidR="009A23A1" w:rsidRPr="009A23A1" w:rsidRDefault="009A23A1" w:rsidP="006A6DEB">
      <w:pPr>
        <w:spacing w:line="480" w:lineRule="auto"/>
        <w:rPr>
          <w:lang w:val="en-US"/>
        </w:rPr>
      </w:pPr>
    </w:p>
    <w:p w14:paraId="70734DE2" w14:textId="28D343FC" w:rsidR="00B35A7A" w:rsidRDefault="009A23A1" w:rsidP="006A6DEB">
      <w:pPr>
        <w:numPr>
          <w:ilvl w:val="0"/>
          <w:numId w:val="1"/>
        </w:numPr>
        <w:spacing w:line="480" w:lineRule="auto"/>
        <w:jc w:val="both"/>
        <w:rPr>
          <w:sz w:val="24"/>
          <w:lang w:val="en-US"/>
        </w:rPr>
      </w:pPr>
      <w:r>
        <w:rPr>
          <w:sz w:val="24"/>
          <w:lang w:val="en-US"/>
        </w:rPr>
        <w:t>In s</w:t>
      </w:r>
      <w:r w:rsidRPr="009A23A1">
        <w:rPr>
          <w:sz w:val="24"/>
          <w:lang w:val="en-US"/>
        </w:rPr>
        <w:t xml:space="preserve">tudies </w:t>
      </w:r>
      <w:r w:rsidR="0077700B">
        <w:rPr>
          <w:sz w:val="24"/>
          <w:lang w:val="en-US"/>
        </w:rPr>
        <w:t>assessing</w:t>
      </w:r>
      <w:r w:rsidRPr="009A23A1">
        <w:rPr>
          <w:sz w:val="24"/>
          <w:lang w:val="en-US"/>
        </w:rPr>
        <w:t xml:space="preserve"> a single preoperative bolus of tranexamic acid versus placebo or no treatment, the </w:t>
      </w:r>
      <w:r w:rsidR="008E176F">
        <w:rPr>
          <w:sz w:val="24"/>
          <w:lang w:val="en-US"/>
        </w:rPr>
        <w:t xml:space="preserve">mean </w:t>
      </w:r>
      <w:r w:rsidRPr="009A23A1">
        <w:rPr>
          <w:sz w:val="24"/>
          <w:lang w:val="en-US"/>
        </w:rPr>
        <w:t>blood loss reduction</w:t>
      </w:r>
      <w:r w:rsidR="008E176F">
        <w:rPr>
          <w:sz w:val="24"/>
          <w:lang w:val="en-US"/>
        </w:rPr>
        <w:t>s</w:t>
      </w:r>
      <w:r w:rsidRPr="009A23A1">
        <w:rPr>
          <w:sz w:val="24"/>
          <w:lang w:val="en-US"/>
        </w:rPr>
        <w:t xml:space="preserve"> range</w:t>
      </w:r>
      <w:r w:rsidR="002B2C6D">
        <w:rPr>
          <w:sz w:val="24"/>
          <w:lang w:val="en-US"/>
        </w:rPr>
        <w:t>d</w:t>
      </w:r>
      <w:r w:rsidRPr="009A23A1">
        <w:rPr>
          <w:sz w:val="24"/>
          <w:lang w:val="en-US"/>
        </w:rPr>
        <w:t xml:space="preserve"> from 0 to 350 ml </w:t>
      </w:r>
      <w:r w:rsidR="008E176F">
        <w:rPr>
          <w:sz w:val="24"/>
          <w:lang w:val="en-US"/>
        </w:rPr>
        <w:t>(</w:t>
      </w:r>
      <w:r w:rsidRPr="009A23A1">
        <w:rPr>
          <w:sz w:val="24"/>
          <w:lang w:val="en-US"/>
        </w:rPr>
        <w:t>SD 300</w:t>
      </w:r>
      <w:r w:rsidR="008E176F">
        <w:rPr>
          <w:sz w:val="24"/>
          <w:lang w:val="en-US"/>
        </w:rPr>
        <w:t>-</w:t>
      </w:r>
      <w:r w:rsidRPr="009A23A1">
        <w:rPr>
          <w:sz w:val="24"/>
          <w:lang w:val="en-US"/>
        </w:rPr>
        <w:t>500</w:t>
      </w:r>
      <w:r w:rsidR="008E176F">
        <w:rPr>
          <w:sz w:val="24"/>
          <w:lang w:val="en-US"/>
        </w:rPr>
        <w:t>)</w:t>
      </w:r>
      <w:r w:rsidRPr="009A23A1">
        <w:rPr>
          <w:sz w:val="24"/>
          <w:lang w:val="en-US"/>
        </w:rPr>
        <w:t xml:space="preserve">. </w:t>
      </w:r>
      <w:r w:rsidR="002B2C6D">
        <w:rPr>
          <w:sz w:val="24"/>
          <w:lang w:val="en-US"/>
        </w:rPr>
        <w:t xml:space="preserve">The </w:t>
      </w:r>
      <w:r w:rsidR="008E176F">
        <w:rPr>
          <w:sz w:val="24"/>
          <w:lang w:val="en-US"/>
        </w:rPr>
        <w:t xml:space="preserve">overall mean </w:t>
      </w:r>
      <w:r w:rsidR="004212FE">
        <w:rPr>
          <w:sz w:val="24"/>
          <w:lang w:val="en-US"/>
        </w:rPr>
        <w:t>blood los</w:t>
      </w:r>
      <w:r w:rsidR="002B2C6D">
        <w:rPr>
          <w:sz w:val="24"/>
          <w:lang w:val="en-US"/>
        </w:rPr>
        <w:t xml:space="preserve">s </w:t>
      </w:r>
      <w:r w:rsidR="004212FE">
        <w:rPr>
          <w:sz w:val="24"/>
          <w:lang w:val="en-US"/>
        </w:rPr>
        <w:t>reduction</w:t>
      </w:r>
      <w:r w:rsidR="002B2C6D">
        <w:rPr>
          <w:sz w:val="24"/>
          <w:lang w:val="en-US"/>
        </w:rPr>
        <w:t xml:space="preserve"> was approximately 250 m</w:t>
      </w:r>
      <w:r w:rsidR="004212FE">
        <w:rPr>
          <w:sz w:val="24"/>
          <w:lang w:val="en-US"/>
        </w:rPr>
        <w:t>l</w:t>
      </w:r>
      <w:r w:rsidR="00536649">
        <w:rPr>
          <w:sz w:val="24"/>
          <w:lang w:val="en-US"/>
        </w:rPr>
        <w:t xml:space="preserve"> (</w:t>
      </w:r>
      <w:r w:rsidR="00536649" w:rsidRPr="00536649">
        <w:rPr>
          <w:sz w:val="24"/>
          <w:lang w:val="en-US"/>
        </w:rPr>
        <w:t>a</w:t>
      </w:r>
      <w:r w:rsidR="00536649">
        <w:rPr>
          <w:sz w:val="24"/>
          <w:lang w:val="en-US"/>
        </w:rPr>
        <w:t>)</w:t>
      </w:r>
      <w:r w:rsidR="004212FE">
        <w:rPr>
          <w:sz w:val="24"/>
          <w:lang w:val="en-US"/>
        </w:rPr>
        <w:t>.</w:t>
      </w:r>
    </w:p>
    <w:p w14:paraId="127FDBCD" w14:textId="2E141157" w:rsidR="002B2C6D" w:rsidRDefault="002B2C6D" w:rsidP="006A6DEB">
      <w:pPr>
        <w:numPr>
          <w:ilvl w:val="0"/>
          <w:numId w:val="1"/>
        </w:numPr>
        <w:spacing w:line="480" w:lineRule="auto"/>
        <w:jc w:val="both"/>
        <w:rPr>
          <w:sz w:val="24"/>
          <w:lang w:val="en-US"/>
        </w:rPr>
      </w:pPr>
      <w:r>
        <w:rPr>
          <w:sz w:val="24"/>
          <w:lang w:val="en-US"/>
        </w:rPr>
        <w:t>In s</w:t>
      </w:r>
      <w:r w:rsidRPr="009A23A1">
        <w:rPr>
          <w:sz w:val="24"/>
          <w:lang w:val="en-US"/>
        </w:rPr>
        <w:t xml:space="preserve">tudies </w:t>
      </w:r>
      <w:r w:rsidR="0077700B">
        <w:rPr>
          <w:sz w:val="24"/>
          <w:lang w:val="en-US"/>
        </w:rPr>
        <w:t>assessing</w:t>
      </w:r>
      <w:r w:rsidR="0077700B" w:rsidRPr="009A23A1">
        <w:rPr>
          <w:sz w:val="24"/>
          <w:lang w:val="en-US"/>
        </w:rPr>
        <w:t xml:space="preserve"> </w:t>
      </w:r>
      <w:r w:rsidRPr="009A23A1">
        <w:rPr>
          <w:sz w:val="24"/>
          <w:lang w:val="en-US"/>
        </w:rPr>
        <w:t xml:space="preserve">a preoperative bolus of tranexamic acid </w:t>
      </w:r>
      <w:r w:rsidRPr="002B2C6D">
        <w:rPr>
          <w:sz w:val="24"/>
          <w:lang w:val="en-US"/>
        </w:rPr>
        <w:t xml:space="preserve">and additional perioperative administration </w:t>
      </w:r>
      <w:r w:rsidRPr="009A23A1">
        <w:rPr>
          <w:sz w:val="24"/>
          <w:lang w:val="en-US"/>
        </w:rPr>
        <w:t xml:space="preserve">versus placebo or no treatment, the </w:t>
      </w:r>
      <w:r w:rsidR="008E176F">
        <w:rPr>
          <w:sz w:val="24"/>
          <w:lang w:val="en-US"/>
        </w:rPr>
        <w:t xml:space="preserve">mean </w:t>
      </w:r>
      <w:r w:rsidRPr="009A23A1">
        <w:rPr>
          <w:sz w:val="24"/>
          <w:lang w:val="en-US"/>
        </w:rPr>
        <w:t>blood loss reduction range</w:t>
      </w:r>
      <w:r>
        <w:rPr>
          <w:sz w:val="24"/>
          <w:lang w:val="en-US"/>
        </w:rPr>
        <w:t>d</w:t>
      </w:r>
      <w:r w:rsidRPr="009A23A1">
        <w:rPr>
          <w:sz w:val="24"/>
          <w:lang w:val="en-US"/>
        </w:rPr>
        <w:t xml:space="preserve"> from </w:t>
      </w:r>
      <w:r>
        <w:rPr>
          <w:sz w:val="24"/>
          <w:lang w:val="en-US"/>
        </w:rPr>
        <w:t>300</w:t>
      </w:r>
      <w:r w:rsidRPr="009A23A1">
        <w:rPr>
          <w:sz w:val="24"/>
          <w:lang w:val="en-US"/>
        </w:rPr>
        <w:t xml:space="preserve"> to </w:t>
      </w:r>
      <w:r>
        <w:rPr>
          <w:sz w:val="24"/>
          <w:lang w:val="en-US"/>
        </w:rPr>
        <w:t xml:space="preserve">640 ml </w:t>
      </w:r>
      <w:r w:rsidR="008E176F">
        <w:rPr>
          <w:sz w:val="24"/>
          <w:lang w:val="en-US"/>
        </w:rPr>
        <w:t>(</w:t>
      </w:r>
      <w:r>
        <w:rPr>
          <w:sz w:val="24"/>
          <w:lang w:val="en-US"/>
        </w:rPr>
        <w:t>SD 350</w:t>
      </w:r>
      <w:r w:rsidR="008E176F">
        <w:rPr>
          <w:sz w:val="24"/>
          <w:lang w:val="en-US"/>
        </w:rPr>
        <w:t>-</w:t>
      </w:r>
      <w:r>
        <w:rPr>
          <w:sz w:val="24"/>
          <w:lang w:val="en-US"/>
        </w:rPr>
        <w:t>1400</w:t>
      </w:r>
      <w:r w:rsidR="008E176F">
        <w:rPr>
          <w:sz w:val="24"/>
          <w:lang w:val="en-US"/>
        </w:rPr>
        <w:t>)</w:t>
      </w:r>
      <w:r w:rsidRPr="009A23A1">
        <w:rPr>
          <w:sz w:val="24"/>
          <w:lang w:val="en-US"/>
        </w:rPr>
        <w:t xml:space="preserve">. </w:t>
      </w:r>
      <w:r>
        <w:rPr>
          <w:sz w:val="24"/>
          <w:lang w:val="en-US"/>
        </w:rPr>
        <w:t xml:space="preserve">The </w:t>
      </w:r>
      <w:r w:rsidR="008E176F">
        <w:rPr>
          <w:sz w:val="24"/>
          <w:lang w:val="en-US"/>
        </w:rPr>
        <w:t xml:space="preserve">overall mean </w:t>
      </w:r>
      <w:r w:rsidR="004212FE">
        <w:rPr>
          <w:sz w:val="24"/>
          <w:lang w:val="en-US"/>
        </w:rPr>
        <w:t>blood los</w:t>
      </w:r>
      <w:r>
        <w:rPr>
          <w:sz w:val="24"/>
          <w:lang w:val="en-US"/>
        </w:rPr>
        <w:t xml:space="preserve">s </w:t>
      </w:r>
      <w:r w:rsidR="004212FE">
        <w:rPr>
          <w:sz w:val="24"/>
          <w:lang w:val="en-US"/>
        </w:rPr>
        <w:t xml:space="preserve">reduction </w:t>
      </w:r>
      <w:r>
        <w:rPr>
          <w:sz w:val="24"/>
          <w:lang w:val="en-US"/>
        </w:rPr>
        <w:t>was approximately 500 ml</w:t>
      </w:r>
      <w:r w:rsidR="00536649">
        <w:rPr>
          <w:sz w:val="24"/>
          <w:lang w:val="en-US"/>
        </w:rPr>
        <w:t xml:space="preserve"> (b)</w:t>
      </w:r>
      <w:r w:rsidR="008E176F">
        <w:rPr>
          <w:sz w:val="24"/>
          <w:lang w:val="en-US"/>
        </w:rPr>
        <w:t>.</w:t>
      </w:r>
      <w:r>
        <w:rPr>
          <w:sz w:val="24"/>
          <w:lang w:val="en-US"/>
        </w:rPr>
        <w:t xml:space="preserve"> </w:t>
      </w:r>
    </w:p>
    <w:p w14:paraId="4E201553" w14:textId="77777777" w:rsidR="00B35A7A" w:rsidRPr="0077700B" w:rsidRDefault="00B35A7A" w:rsidP="006A6DEB">
      <w:pPr>
        <w:spacing w:line="480" w:lineRule="auto"/>
        <w:jc w:val="both"/>
        <w:rPr>
          <w:sz w:val="24"/>
          <w:lang w:val="en-US"/>
        </w:rPr>
      </w:pPr>
    </w:p>
    <w:p w14:paraId="3FDEE06D" w14:textId="775504CB" w:rsidR="00CC3F42" w:rsidRPr="00CC3F42" w:rsidRDefault="00CC3F42" w:rsidP="006A6DEB">
      <w:pPr>
        <w:spacing w:line="480" w:lineRule="auto"/>
        <w:jc w:val="both"/>
        <w:rPr>
          <w:sz w:val="24"/>
          <w:lang w:val="en-US"/>
        </w:rPr>
      </w:pPr>
      <w:r w:rsidRPr="00CC3F42">
        <w:rPr>
          <w:sz w:val="24"/>
          <w:lang w:val="en-US"/>
        </w:rPr>
        <w:t>Indirect comparison favors the administration</w:t>
      </w:r>
      <w:r>
        <w:rPr>
          <w:sz w:val="24"/>
          <w:lang w:val="en-US"/>
        </w:rPr>
        <w:t xml:space="preserve"> of </w:t>
      </w:r>
      <w:r w:rsidRPr="00CC3F42">
        <w:rPr>
          <w:sz w:val="24"/>
          <w:lang w:val="en-US"/>
        </w:rPr>
        <w:t xml:space="preserve">an additional </w:t>
      </w:r>
      <w:r w:rsidRPr="002B2C6D">
        <w:rPr>
          <w:sz w:val="24"/>
          <w:lang w:val="en-US"/>
        </w:rPr>
        <w:t>perioperative administration</w:t>
      </w:r>
      <w:r>
        <w:rPr>
          <w:sz w:val="24"/>
          <w:lang w:val="en-US"/>
        </w:rPr>
        <w:t xml:space="preserve"> of tranexamic acid. The expected gain in blood loss </w:t>
      </w:r>
      <w:r w:rsidR="008E176F">
        <w:rPr>
          <w:sz w:val="24"/>
          <w:lang w:val="en-US"/>
        </w:rPr>
        <w:t xml:space="preserve">was therefore </w:t>
      </w:r>
      <w:r>
        <w:rPr>
          <w:sz w:val="24"/>
          <w:lang w:val="en-US"/>
        </w:rPr>
        <w:t>assumed to be 500 - 250 ml</w:t>
      </w:r>
      <w:r w:rsidR="00536649">
        <w:rPr>
          <w:sz w:val="24"/>
          <w:lang w:val="en-US"/>
        </w:rPr>
        <w:t xml:space="preserve"> (b-a)</w:t>
      </w:r>
      <w:r>
        <w:rPr>
          <w:sz w:val="24"/>
          <w:lang w:val="en-US"/>
        </w:rPr>
        <w:t>, which is 250 ml.</w:t>
      </w:r>
    </w:p>
    <w:p w14:paraId="6454962E" w14:textId="77777777" w:rsidR="001E7E42" w:rsidRDefault="001E7E42" w:rsidP="006A6DEB">
      <w:pPr>
        <w:pStyle w:val="HTMLAddress"/>
        <w:spacing w:line="480" w:lineRule="auto"/>
        <w:jc w:val="both"/>
        <w:rPr>
          <w:lang w:val="en-US"/>
        </w:rPr>
      </w:pPr>
    </w:p>
    <w:p w14:paraId="1C1241B9" w14:textId="77777777" w:rsidR="00CB2C03" w:rsidRPr="00CB2C03" w:rsidRDefault="00CB2C03" w:rsidP="00570855">
      <w:pPr>
        <w:pStyle w:val="Heading2"/>
        <w:rPr>
          <w:lang w:val="en-US"/>
        </w:rPr>
      </w:pPr>
      <w:bookmarkStart w:id="6" w:name="_Toc482278813"/>
      <w:r>
        <w:rPr>
          <w:lang w:val="en-US"/>
        </w:rPr>
        <w:t>S</w:t>
      </w:r>
      <w:r w:rsidRPr="009A23A1">
        <w:rPr>
          <w:lang w:val="en-US"/>
        </w:rPr>
        <w:t>ample size calculation</w:t>
      </w:r>
      <w:bookmarkEnd w:id="6"/>
    </w:p>
    <w:p w14:paraId="037015FA" w14:textId="77777777" w:rsidR="00CB2C03" w:rsidRPr="0077700B" w:rsidRDefault="00CB2C03" w:rsidP="006A6DEB">
      <w:pPr>
        <w:pStyle w:val="HTMLAddress"/>
        <w:spacing w:line="480" w:lineRule="auto"/>
        <w:jc w:val="both"/>
        <w:rPr>
          <w:lang w:val="en-US"/>
        </w:rPr>
      </w:pPr>
    </w:p>
    <w:p w14:paraId="7E07BB08" w14:textId="77777777" w:rsidR="001E7E42" w:rsidRPr="009A23A1" w:rsidRDefault="001E7E42" w:rsidP="006A6DEB">
      <w:pPr>
        <w:spacing w:line="480" w:lineRule="auto"/>
        <w:jc w:val="both"/>
        <w:rPr>
          <w:sz w:val="24"/>
          <w:lang w:val="en-US"/>
        </w:rPr>
      </w:pPr>
      <w:r w:rsidRPr="009A23A1">
        <w:rPr>
          <w:sz w:val="24"/>
          <w:lang w:val="en-US"/>
        </w:rPr>
        <w:t xml:space="preserve">Assuming a difference in perioperative blood loss of 250 ml with a standard deviation (SD) of 500 ml, we calculated that a sample size of 84 patients per group would be required to achieve a power of 90% with a two-sided </w:t>
      </w:r>
      <w:r w:rsidRPr="001E7E42">
        <w:rPr>
          <w:sz w:val="24"/>
        </w:rPr>
        <w:t>α</w:t>
      </w:r>
      <w:r w:rsidRPr="009A23A1">
        <w:rPr>
          <w:sz w:val="24"/>
          <w:lang w:val="en-US"/>
        </w:rPr>
        <w:t xml:space="preserve"> risk of 0.05.</w:t>
      </w:r>
    </w:p>
    <w:p w14:paraId="099F3059" w14:textId="77777777" w:rsidR="001E7E42" w:rsidRPr="001E7E42" w:rsidRDefault="001E7E42" w:rsidP="006A6DEB">
      <w:pPr>
        <w:pStyle w:val="HTMLAddress"/>
        <w:spacing w:line="480" w:lineRule="auto"/>
        <w:jc w:val="both"/>
        <w:rPr>
          <w:lang w:val="en-US"/>
        </w:rPr>
      </w:pPr>
    </w:p>
    <w:p w14:paraId="3B0E8559" w14:textId="77777777" w:rsidR="00B35A7A" w:rsidRPr="009A23A1" w:rsidRDefault="00B35A7A" w:rsidP="006A6DEB">
      <w:pPr>
        <w:spacing w:line="480" w:lineRule="auto"/>
        <w:rPr>
          <w:lang w:val="en-US"/>
        </w:rPr>
      </w:pPr>
    </w:p>
    <w:p w14:paraId="371E77F5" w14:textId="77777777" w:rsidR="006A79B2" w:rsidRPr="009A23A1" w:rsidRDefault="006A79B2" w:rsidP="006A6DEB">
      <w:pPr>
        <w:spacing w:line="480" w:lineRule="auto"/>
        <w:rPr>
          <w:lang w:val="en-US"/>
        </w:rPr>
      </w:pPr>
    </w:p>
    <w:p w14:paraId="26ECB691" w14:textId="77777777" w:rsidR="006A79B2" w:rsidRPr="009A23A1" w:rsidRDefault="006A79B2" w:rsidP="006A6DEB">
      <w:pPr>
        <w:spacing w:line="480" w:lineRule="auto"/>
        <w:rPr>
          <w:lang w:val="en-US"/>
        </w:rPr>
      </w:pPr>
    </w:p>
    <w:p w14:paraId="622493DE" w14:textId="2A49940F" w:rsidR="007D7742" w:rsidRPr="007D7742" w:rsidRDefault="007D7742" w:rsidP="00570855">
      <w:pPr>
        <w:pStyle w:val="Heading1"/>
        <w:rPr>
          <w:lang w:val="en-US"/>
        </w:rPr>
      </w:pPr>
      <w:bookmarkStart w:id="7" w:name="_Toc482278814"/>
      <w:r w:rsidRPr="007D7742">
        <w:rPr>
          <w:lang w:val="en-US"/>
        </w:rPr>
        <w:t xml:space="preserve">Report of the </w:t>
      </w:r>
      <w:r w:rsidR="008F684B">
        <w:rPr>
          <w:lang w:val="en-US"/>
        </w:rPr>
        <w:t>m</w:t>
      </w:r>
      <w:r w:rsidRPr="007D7742">
        <w:rPr>
          <w:lang w:val="en-US"/>
        </w:rPr>
        <w:t xml:space="preserve">ethods </w:t>
      </w:r>
      <w:r w:rsidR="008F684B">
        <w:rPr>
          <w:lang w:val="en-US"/>
        </w:rPr>
        <w:t>used for</w:t>
      </w:r>
      <w:r w:rsidR="008F684B" w:rsidRPr="007D7742">
        <w:rPr>
          <w:lang w:val="en-US"/>
        </w:rPr>
        <w:t xml:space="preserve"> </w:t>
      </w:r>
      <w:r w:rsidRPr="007D7742">
        <w:rPr>
          <w:lang w:val="en-US"/>
        </w:rPr>
        <w:t>the meta-analysis following the PRISMA guideline</w:t>
      </w:r>
      <w:bookmarkEnd w:id="7"/>
      <w:r w:rsidRPr="007D7742">
        <w:rPr>
          <w:lang w:val="en-US"/>
        </w:rPr>
        <w:t xml:space="preserve"> </w:t>
      </w:r>
    </w:p>
    <w:p w14:paraId="30499885" w14:textId="77777777" w:rsidR="007D7742" w:rsidRDefault="007D7742" w:rsidP="000579A7">
      <w:pPr>
        <w:spacing w:line="480" w:lineRule="auto"/>
        <w:rPr>
          <w:sz w:val="24"/>
          <w:szCs w:val="24"/>
          <w:lang w:val="en-US"/>
        </w:rPr>
      </w:pPr>
    </w:p>
    <w:p w14:paraId="126CFD3D" w14:textId="77777777" w:rsidR="000579A7" w:rsidRPr="000579A7" w:rsidRDefault="000579A7" w:rsidP="000579A7">
      <w:pPr>
        <w:spacing w:line="480" w:lineRule="auto"/>
        <w:rPr>
          <w:sz w:val="24"/>
          <w:szCs w:val="24"/>
          <w:lang w:val="en-US"/>
        </w:rPr>
      </w:pPr>
      <w:r w:rsidRPr="000579A7">
        <w:rPr>
          <w:sz w:val="24"/>
          <w:szCs w:val="24"/>
          <w:lang w:val="en-US"/>
        </w:rPr>
        <w:t xml:space="preserve">A meta-analysis of randomized trials was performed to assess the external validity of the PORTO study. The decision to perform this meta-analysis was taken after completion of the PORTO study. </w:t>
      </w:r>
    </w:p>
    <w:p w14:paraId="7A3BB53E" w14:textId="77777777" w:rsidR="000579A7" w:rsidRPr="000579A7" w:rsidRDefault="000579A7" w:rsidP="000579A7">
      <w:pPr>
        <w:spacing w:line="480" w:lineRule="auto"/>
        <w:rPr>
          <w:sz w:val="24"/>
          <w:szCs w:val="24"/>
          <w:lang w:val="en-US"/>
        </w:rPr>
      </w:pPr>
      <w:r w:rsidRPr="000579A7">
        <w:rPr>
          <w:sz w:val="24"/>
          <w:szCs w:val="24"/>
          <w:lang w:val="en-US"/>
        </w:rPr>
        <w:t>We report here the methods of this meta-analysis as recommended by the PRISMA guidelines for the reporting of systematic reviews</w:t>
      </w:r>
      <w:r w:rsidR="00982AA3">
        <w:rPr>
          <w:sz w:val="24"/>
          <w:szCs w:val="24"/>
          <w:lang w:val="en-US"/>
        </w:rPr>
        <w:t>.</w:t>
      </w:r>
    </w:p>
    <w:p w14:paraId="5FA5128B" w14:textId="77777777" w:rsidR="000579A7" w:rsidRDefault="000579A7" w:rsidP="000579A7">
      <w:pPr>
        <w:spacing w:line="480" w:lineRule="auto"/>
        <w:rPr>
          <w:sz w:val="24"/>
          <w:szCs w:val="24"/>
          <w:lang w:val="en-US"/>
        </w:rPr>
      </w:pPr>
    </w:p>
    <w:p w14:paraId="5AC5449F" w14:textId="1EEBB636" w:rsidR="000579A7" w:rsidRPr="000579A7" w:rsidRDefault="000579A7" w:rsidP="000579A7">
      <w:pPr>
        <w:spacing w:line="480" w:lineRule="auto"/>
        <w:rPr>
          <w:sz w:val="24"/>
          <w:szCs w:val="24"/>
          <w:lang w:val="en-US"/>
        </w:rPr>
      </w:pPr>
      <w:r w:rsidRPr="00FE6C6C">
        <w:rPr>
          <w:b/>
          <w:sz w:val="24"/>
          <w:szCs w:val="24"/>
          <w:lang w:val="en-US"/>
        </w:rPr>
        <w:t>Protocol and registration</w:t>
      </w:r>
      <w:r w:rsidRPr="000579A7">
        <w:rPr>
          <w:sz w:val="24"/>
          <w:szCs w:val="24"/>
          <w:lang w:val="en-US"/>
        </w:rPr>
        <w:t xml:space="preserve">: </w:t>
      </w:r>
      <w:r w:rsidR="008F684B">
        <w:rPr>
          <w:sz w:val="24"/>
          <w:szCs w:val="24"/>
          <w:lang w:val="en-US"/>
        </w:rPr>
        <w:t>There was no</w:t>
      </w:r>
      <w:r w:rsidR="008F684B" w:rsidRPr="000579A7">
        <w:rPr>
          <w:sz w:val="24"/>
          <w:szCs w:val="24"/>
          <w:lang w:val="en-US"/>
        </w:rPr>
        <w:t xml:space="preserve"> </w:t>
      </w:r>
      <w:r w:rsidRPr="000579A7">
        <w:rPr>
          <w:sz w:val="24"/>
          <w:szCs w:val="24"/>
          <w:lang w:val="en-US"/>
        </w:rPr>
        <w:t>review protocol. However</w:t>
      </w:r>
      <w:r w:rsidR="008F684B">
        <w:rPr>
          <w:sz w:val="24"/>
          <w:szCs w:val="24"/>
          <w:lang w:val="en-US"/>
        </w:rPr>
        <w:t>, the</w:t>
      </w:r>
      <w:r w:rsidRPr="000579A7">
        <w:rPr>
          <w:sz w:val="24"/>
          <w:szCs w:val="24"/>
          <w:lang w:val="en-US"/>
        </w:rPr>
        <w:t xml:space="preserve"> methods of the analysis and</w:t>
      </w:r>
      <w:r w:rsidR="008F684B">
        <w:rPr>
          <w:sz w:val="24"/>
          <w:szCs w:val="24"/>
          <w:lang w:val="en-US"/>
        </w:rPr>
        <w:t xml:space="preserve"> the</w:t>
      </w:r>
      <w:r w:rsidRPr="000579A7">
        <w:rPr>
          <w:sz w:val="24"/>
          <w:szCs w:val="24"/>
          <w:lang w:val="en-US"/>
        </w:rPr>
        <w:t xml:space="preserve"> inclusion criteria were specified in advance.</w:t>
      </w:r>
    </w:p>
    <w:p w14:paraId="5CE677B4" w14:textId="53BA09E9" w:rsidR="000579A7" w:rsidRPr="00FE6C6C" w:rsidRDefault="008F684B" w:rsidP="000579A7">
      <w:pPr>
        <w:spacing w:line="480" w:lineRule="auto"/>
        <w:rPr>
          <w:b/>
          <w:sz w:val="24"/>
          <w:szCs w:val="24"/>
          <w:lang w:val="en-US"/>
        </w:rPr>
      </w:pPr>
      <w:r w:rsidRPr="00FE6C6C">
        <w:rPr>
          <w:b/>
          <w:sz w:val="24"/>
          <w:szCs w:val="24"/>
          <w:lang w:val="en-US"/>
        </w:rPr>
        <w:t xml:space="preserve">Eligibility </w:t>
      </w:r>
      <w:r w:rsidR="000579A7" w:rsidRPr="00FE6C6C">
        <w:rPr>
          <w:b/>
          <w:sz w:val="24"/>
          <w:szCs w:val="24"/>
          <w:lang w:val="en-US"/>
        </w:rPr>
        <w:t xml:space="preserve">criteria: </w:t>
      </w:r>
    </w:p>
    <w:p w14:paraId="108B1C78" w14:textId="77777777" w:rsidR="000579A7" w:rsidRPr="000579A7" w:rsidRDefault="000579A7" w:rsidP="000579A7">
      <w:pPr>
        <w:spacing w:line="480" w:lineRule="auto"/>
        <w:ind w:left="720"/>
        <w:rPr>
          <w:sz w:val="24"/>
          <w:szCs w:val="24"/>
          <w:lang w:val="en-US"/>
        </w:rPr>
      </w:pPr>
      <w:r>
        <w:rPr>
          <w:sz w:val="24"/>
          <w:szCs w:val="24"/>
          <w:lang w:val="en-US"/>
        </w:rPr>
        <w:t>Type of studies: Randomiz</w:t>
      </w:r>
      <w:r w:rsidRPr="000579A7">
        <w:rPr>
          <w:sz w:val="24"/>
          <w:szCs w:val="24"/>
          <w:lang w:val="en-US"/>
        </w:rPr>
        <w:t>ed clinical trials comparing a single preoperative tranexamic acid bolus with preoperative administration of tranexamic acid followed by perioperative tranexamic acid administration as a bolus or a continuous infusion. No language, publication date, or publication status restrictions were imposed</w:t>
      </w:r>
      <w:r w:rsidR="00982AA3">
        <w:rPr>
          <w:sz w:val="24"/>
          <w:szCs w:val="24"/>
          <w:lang w:val="en-US"/>
        </w:rPr>
        <w:t>.</w:t>
      </w:r>
    </w:p>
    <w:p w14:paraId="43CFE689" w14:textId="77777777" w:rsidR="000579A7" w:rsidRPr="000579A7" w:rsidRDefault="000579A7" w:rsidP="000579A7">
      <w:pPr>
        <w:spacing w:line="480" w:lineRule="auto"/>
        <w:ind w:left="720"/>
        <w:rPr>
          <w:sz w:val="24"/>
          <w:szCs w:val="24"/>
          <w:lang w:val="en-US"/>
        </w:rPr>
      </w:pPr>
      <w:r w:rsidRPr="000579A7">
        <w:rPr>
          <w:sz w:val="24"/>
          <w:szCs w:val="24"/>
          <w:lang w:val="en-US"/>
        </w:rPr>
        <w:t>Types of participants: Studies had to be performed in adults in primary hip arthroplasty</w:t>
      </w:r>
    </w:p>
    <w:p w14:paraId="19CBDF6D" w14:textId="77777777" w:rsidR="000579A7" w:rsidRPr="000579A7" w:rsidRDefault="000579A7" w:rsidP="000579A7">
      <w:pPr>
        <w:spacing w:line="480" w:lineRule="auto"/>
        <w:ind w:left="720"/>
        <w:rPr>
          <w:sz w:val="24"/>
          <w:szCs w:val="24"/>
          <w:lang w:val="en-US"/>
        </w:rPr>
      </w:pPr>
      <w:r w:rsidRPr="000579A7">
        <w:rPr>
          <w:sz w:val="24"/>
          <w:szCs w:val="24"/>
          <w:lang w:val="en-US"/>
        </w:rPr>
        <w:t>Type of intervention: Tranexamic acid had to be administered exclusively intravenously</w:t>
      </w:r>
    </w:p>
    <w:p w14:paraId="3D472147" w14:textId="7D41CC72" w:rsidR="000579A7" w:rsidRPr="000579A7" w:rsidRDefault="000579A7" w:rsidP="000579A7">
      <w:pPr>
        <w:spacing w:line="480" w:lineRule="auto"/>
        <w:ind w:left="720"/>
        <w:rPr>
          <w:sz w:val="24"/>
          <w:szCs w:val="24"/>
          <w:lang w:val="en-US"/>
        </w:rPr>
      </w:pPr>
      <w:r w:rsidRPr="000579A7">
        <w:rPr>
          <w:sz w:val="24"/>
          <w:szCs w:val="24"/>
          <w:lang w:val="en-US"/>
        </w:rPr>
        <w:t xml:space="preserve">Types of outcome measures: The primary outcome was perioperative blood loss defined as the sum of intraoperative and postoperative blood loss. Perioperative blood loss could be measured or calculated. The secondary outcome was the percentage of patients </w:t>
      </w:r>
      <w:r w:rsidRPr="000579A7">
        <w:rPr>
          <w:sz w:val="24"/>
          <w:szCs w:val="24"/>
          <w:lang w:val="en-US"/>
        </w:rPr>
        <w:lastRenderedPageBreak/>
        <w:t>requiring transfusion of at least 1 unit of allogeneic red blood cell</w:t>
      </w:r>
      <w:r w:rsidR="00574C13">
        <w:rPr>
          <w:sz w:val="24"/>
          <w:szCs w:val="24"/>
          <w:lang w:val="en-US"/>
        </w:rPr>
        <w:t>s</w:t>
      </w:r>
      <w:r w:rsidRPr="000579A7">
        <w:rPr>
          <w:sz w:val="24"/>
          <w:szCs w:val="24"/>
          <w:lang w:val="en-US"/>
        </w:rPr>
        <w:t xml:space="preserve"> during the perioperative period. There was no restriction for the length of follow up.</w:t>
      </w:r>
    </w:p>
    <w:p w14:paraId="6CD481F9" w14:textId="614474D4" w:rsidR="000579A7" w:rsidRPr="000579A7" w:rsidRDefault="000579A7" w:rsidP="000579A7">
      <w:pPr>
        <w:spacing w:line="480" w:lineRule="auto"/>
        <w:rPr>
          <w:sz w:val="24"/>
          <w:szCs w:val="24"/>
          <w:lang w:val="en-US"/>
        </w:rPr>
      </w:pPr>
      <w:r w:rsidRPr="00FE6C6C">
        <w:rPr>
          <w:b/>
          <w:sz w:val="24"/>
          <w:szCs w:val="24"/>
          <w:lang w:val="en-US"/>
        </w:rPr>
        <w:t>Information sources:</w:t>
      </w:r>
      <w:r w:rsidRPr="000579A7">
        <w:rPr>
          <w:sz w:val="24"/>
          <w:szCs w:val="24"/>
          <w:lang w:val="en-US"/>
        </w:rPr>
        <w:t xml:space="preserve"> Relevant trials were identified by a computerized search up to June 2016 in MEDLINE (PubMed) and the Cochrane Central Registry of Controlled Trials (Central). In addition, we checked </w:t>
      </w:r>
      <w:r w:rsidR="00574C13">
        <w:rPr>
          <w:sz w:val="24"/>
          <w:szCs w:val="24"/>
          <w:lang w:val="en-US"/>
        </w:rPr>
        <w:t xml:space="preserve">the </w:t>
      </w:r>
      <w:r w:rsidRPr="000579A7">
        <w:rPr>
          <w:sz w:val="24"/>
          <w:szCs w:val="24"/>
          <w:lang w:val="en-US"/>
        </w:rPr>
        <w:t xml:space="preserve">reference lists of </w:t>
      </w:r>
      <w:r w:rsidR="00574C13">
        <w:rPr>
          <w:sz w:val="24"/>
          <w:szCs w:val="24"/>
          <w:lang w:val="en-US"/>
        </w:rPr>
        <w:t xml:space="preserve">the </w:t>
      </w:r>
      <w:r w:rsidRPr="000579A7">
        <w:rPr>
          <w:sz w:val="24"/>
          <w:szCs w:val="24"/>
          <w:lang w:val="en-US"/>
        </w:rPr>
        <w:t>trials</w:t>
      </w:r>
      <w:r w:rsidR="00574C13">
        <w:rPr>
          <w:sz w:val="24"/>
          <w:szCs w:val="24"/>
          <w:lang w:val="en-US"/>
        </w:rPr>
        <w:t xml:space="preserve"> </w:t>
      </w:r>
      <w:r w:rsidR="00574C13" w:rsidRPr="000579A7">
        <w:rPr>
          <w:sz w:val="24"/>
          <w:szCs w:val="24"/>
          <w:lang w:val="en-US"/>
        </w:rPr>
        <w:t>selected</w:t>
      </w:r>
      <w:r w:rsidRPr="000579A7">
        <w:rPr>
          <w:sz w:val="24"/>
          <w:szCs w:val="24"/>
          <w:lang w:val="en-US"/>
        </w:rPr>
        <w:t>. Foreign papers were translated. The authors of the selected trials were contacted to supply missing information or clarification</w:t>
      </w:r>
      <w:r w:rsidR="00574C13">
        <w:rPr>
          <w:sz w:val="24"/>
          <w:szCs w:val="24"/>
          <w:lang w:val="en-US"/>
        </w:rPr>
        <w:t>s</w:t>
      </w:r>
      <w:r w:rsidRPr="000579A7">
        <w:rPr>
          <w:sz w:val="24"/>
          <w:szCs w:val="24"/>
          <w:lang w:val="en-US"/>
        </w:rPr>
        <w:t>. If a selected trial was published as an abstract, the author was asked if a full paper of the selected study had been published. Meeting abstracts were</w:t>
      </w:r>
      <w:r w:rsidR="00574C13">
        <w:rPr>
          <w:sz w:val="24"/>
          <w:szCs w:val="24"/>
          <w:lang w:val="en-US"/>
        </w:rPr>
        <w:t xml:space="preserve"> not</w:t>
      </w:r>
      <w:r w:rsidRPr="000579A7">
        <w:rPr>
          <w:sz w:val="24"/>
          <w:szCs w:val="24"/>
          <w:lang w:val="en-US"/>
        </w:rPr>
        <w:t xml:space="preserve">t searched. One reviewer (PJZ) developed and conducted the search. </w:t>
      </w:r>
    </w:p>
    <w:p w14:paraId="2F8B1DDA" w14:textId="0E14BEEA" w:rsidR="000579A7" w:rsidRPr="000579A7" w:rsidRDefault="000579A7" w:rsidP="000579A7">
      <w:pPr>
        <w:spacing w:line="480" w:lineRule="auto"/>
        <w:rPr>
          <w:sz w:val="24"/>
          <w:szCs w:val="24"/>
          <w:lang w:val="en-US"/>
        </w:rPr>
      </w:pPr>
      <w:r w:rsidRPr="00FE6C6C">
        <w:rPr>
          <w:b/>
          <w:sz w:val="24"/>
          <w:szCs w:val="24"/>
          <w:lang w:val="en-US"/>
        </w:rPr>
        <w:t>Search:</w:t>
      </w:r>
      <w:r w:rsidRPr="000579A7">
        <w:rPr>
          <w:sz w:val="24"/>
          <w:szCs w:val="24"/>
          <w:lang w:val="en-US"/>
        </w:rPr>
        <w:t xml:space="preserve"> The search strategy in PubMed and Central included the key words “tranexamic acid” and “hip”. In PubMed, the search was limited to randomized controlled trials with use of the article type search filter. In Central, the search was limited to trials with use of the search filter. The search detail in PubMed was:</w:t>
      </w:r>
    </w:p>
    <w:p w14:paraId="0704F95C" w14:textId="77777777" w:rsidR="000579A7" w:rsidRPr="000579A7" w:rsidRDefault="000579A7" w:rsidP="000579A7">
      <w:pPr>
        <w:spacing w:line="480" w:lineRule="auto"/>
        <w:rPr>
          <w:sz w:val="24"/>
          <w:szCs w:val="24"/>
          <w:lang w:val="en-US"/>
        </w:rPr>
      </w:pPr>
      <w:r w:rsidRPr="000579A7">
        <w:rPr>
          <w:sz w:val="24"/>
          <w:szCs w:val="24"/>
          <w:lang w:val="en-US"/>
        </w:rPr>
        <w:t>("tranexamic acid"[MeSH Terms] OR ("tranexamic"[All Fields] AND "acid"[All Fields]) OR "tranexamic acid"[All Fields]) AND ("hip"[MeSH Terms] OR "hip"[All Fields]) AND Randomized Controlled Trial[ptyp]</w:t>
      </w:r>
    </w:p>
    <w:p w14:paraId="55F60D1E" w14:textId="37777521" w:rsidR="000579A7" w:rsidRPr="000579A7" w:rsidRDefault="000579A7" w:rsidP="000579A7">
      <w:pPr>
        <w:spacing w:line="480" w:lineRule="auto"/>
        <w:rPr>
          <w:sz w:val="24"/>
          <w:szCs w:val="24"/>
          <w:lang w:val="en-US"/>
        </w:rPr>
      </w:pPr>
      <w:r w:rsidRPr="00FE6C6C">
        <w:rPr>
          <w:b/>
          <w:sz w:val="24"/>
          <w:szCs w:val="24"/>
          <w:lang w:val="en-US"/>
        </w:rPr>
        <w:t>Study selection:</w:t>
      </w:r>
      <w:r w:rsidRPr="000579A7">
        <w:rPr>
          <w:sz w:val="24"/>
          <w:szCs w:val="24"/>
          <w:lang w:val="en-US"/>
        </w:rPr>
        <w:t xml:space="preserve"> Studies were first screened on the basis of title and/or abstract by one reviewer (PJZ). Assessment for study eligibility and inclusion was performed by two reviewers (CC, PJZ). </w:t>
      </w:r>
      <w:r w:rsidR="00574C13">
        <w:rPr>
          <w:sz w:val="24"/>
          <w:szCs w:val="24"/>
          <w:lang w:val="en-US"/>
        </w:rPr>
        <w:t xml:space="preserve">The </w:t>
      </w:r>
      <w:r w:rsidRPr="000579A7">
        <w:rPr>
          <w:sz w:val="24"/>
          <w:szCs w:val="24"/>
          <w:lang w:val="en-US"/>
        </w:rPr>
        <w:t xml:space="preserve">study selection process </w:t>
      </w:r>
      <w:r w:rsidR="00574C13">
        <w:rPr>
          <w:sz w:val="24"/>
          <w:szCs w:val="24"/>
          <w:lang w:val="en-US"/>
        </w:rPr>
        <w:t>is</w:t>
      </w:r>
      <w:r w:rsidR="00574C13" w:rsidRPr="000579A7">
        <w:rPr>
          <w:sz w:val="24"/>
          <w:szCs w:val="24"/>
          <w:lang w:val="en-US"/>
        </w:rPr>
        <w:t xml:space="preserve"> </w:t>
      </w:r>
      <w:r w:rsidRPr="000579A7">
        <w:rPr>
          <w:sz w:val="24"/>
          <w:szCs w:val="24"/>
          <w:lang w:val="en-US"/>
        </w:rPr>
        <w:t xml:space="preserve">presented </w:t>
      </w:r>
      <w:r w:rsidR="00284BB3">
        <w:rPr>
          <w:sz w:val="24"/>
          <w:szCs w:val="24"/>
          <w:lang w:val="en-US"/>
        </w:rPr>
        <w:t xml:space="preserve">below </w:t>
      </w:r>
      <w:r w:rsidRPr="000579A7">
        <w:rPr>
          <w:sz w:val="24"/>
          <w:szCs w:val="24"/>
          <w:lang w:val="en-US"/>
        </w:rPr>
        <w:t xml:space="preserve">using the PRISMA flow </w:t>
      </w:r>
      <w:r w:rsidR="00574C13">
        <w:rPr>
          <w:sz w:val="24"/>
          <w:szCs w:val="24"/>
          <w:lang w:val="en-US"/>
        </w:rPr>
        <w:t>chart</w:t>
      </w:r>
      <w:r w:rsidRPr="000579A7">
        <w:rPr>
          <w:sz w:val="24"/>
          <w:szCs w:val="24"/>
          <w:lang w:val="en-US"/>
        </w:rPr>
        <w:t>.</w:t>
      </w:r>
      <w:r w:rsidRPr="00FE6C6C">
        <w:rPr>
          <w:b/>
          <w:sz w:val="24"/>
          <w:szCs w:val="24"/>
          <w:lang w:val="en-US"/>
        </w:rPr>
        <w:t>Data collection process:</w:t>
      </w:r>
      <w:r w:rsidRPr="000579A7">
        <w:rPr>
          <w:sz w:val="24"/>
          <w:szCs w:val="24"/>
          <w:lang w:val="en-US"/>
        </w:rPr>
        <w:t xml:space="preserve"> Data were extracted using a data extraction sheet designed for this review in Excel (Microsoft). One review author (PJZ) extracted the data from </w:t>
      </w:r>
      <w:r w:rsidR="00284BB3">
        <w:rPr>
          <w:sz w:val="24"/>
          <w:szCs w:val="24"/>
          <w:lang w:val="en-US"/>
        </w:rPr>
        <w:t xml:space="preserve">the </w:t>
      </w:r>
      <w:r w:rsidRPr="000579A7">
        <w:rPr>
          <w:sz w:val="24"/>
          <w:szCs w:val="24"/>
          <w:lang w:val="en-US"/>
        </w:rPr>
        <w:t xml:space="preserve">studies </w:t>
      </w:r>
      <w:r w:rsidR="00284BB3" w:rsidRPr="000579A7">
        <w:rPr>
          <w:sz w:val="24"/>
          <w:szCs w:val="24"/>
          <w:lang w:val="en-US"/>
        </w:rPr>
        <w:t xml:space="preserve">included </w:t>
      </w:r>
      <w:r w:rsidRPr="000579A7">
        <w:rPr>
          <w:sz w:val="24"/>
          <w:szCs w:val="24"/>
          <w:lang w:val="en-US"/>
        </w:rPr>
        <w:t xml:space="preserve">and a second </w:t>
      </w:r>
      <w:r w:rsidRPr="000579A7">
        <w:rPr>
          <w:sz w:val="24"/>
          <w:szCs w:val="24"/>
          <w:lang w:val="en-US"/>
        </w:rPr>
        <w:lastRenderedPageBreak/>
        <w:t xml:space="preserve">author (CC) checked the extracted data. In the event of a discrepancy with regard to either study selection or data extraction, the decision of a third author (SM) was final. We contacted all authors for further information in July 2016. A reminder was sent in August 2016. All </w:t>
      </w:r>
      <w:r w:rsidR="00284BB3">
        <w:rPr>
          <w:sz w:val="24"/>
          <w:szCs w:val="24"/>
          <w:lang w:val="en-US"/>
        </w:rPr>
        <w:t xml:space="preserve">but one </w:t>
      </w:r>
      <w:r w:rsidRPr="000579A7">
        <w:rPr>
          <w:sz w:val="24"/>
          <w:szCs w:val="24"/>
          <w:lang w:val="en-US"/>
        </w:rPr>
        <w:t xml:space="preserve">author answered. One author provided numerical data on the primary outcome that had only been presented graphically in the published paper. One study </w:t>
      </w:r>
      <w:r w:rsidR="00284BB3">
        <w:rPr>
          <w:sz w:val="24"/>
          <w:szCs w:val="24"/>
          <w:lang w:val="en-US"/>
        </w:rPr>
        <w:t xml:space="preserve">had also </w:t>
      </w:r>
      <w:r w:rsidRPr="000579A7">
        <w:rPr>
          <w:sz w:val="24"/>
          <w:szCs w:val="24"/>
          <w:lang w:val="en-US"/>
        </w:rPr>
        <w:t xml:space="preserve">analyzed the data </w:t>
      </w:r>
      <w:r w:rsidR="00284BB3">
        <w:rPr>
          <w:sz w:val="24"/>
          <w:szCs w:val="24"/>
          <w:lang w:val="en-US"/>
        </w:rPr>
        <w:t>concering</w:t>
      </w:r>
      <w:r w:rsidR="00284BB3" w:rsidRPr="000579A7">
        <w:rPr>
          <w:sz w:val="24"/>
          <w:szCs w:val="24"/>
          <w:lang w:val="en-US"/>
        </w:rPr>
        <w:t xml:space="preserve"> </w:t>
      </w:r>
      <w:r w:rsidRPr="000579A7">
        <w:rPr>
          <w:sz w:val="24"/>
          <w:szCs w:val="24"/>
          <w:lang w:val="en-US"/>
        </w:rPr>
        <w:t xml:space="preserve">the per-protocol population. The author provided numerical data on the primary and secondary outcome for all the available patients. One study </w:t>
      </w:r>
      <w:r w:rsidR="00284BB3">
        <w:rPr>
          <w:sz w:val="24"/>
          <w:szCs w:val="24"/>
          <w:lang w:val="en-US"/>
        </w:rPr>
        <w:t>had been</w:t>
      </w:r>
      <w:r w:rsidR="00284BB3" w:rsidRPr="000579A7">
        <w:rPr>
          <w:sz w:val="24"/>
          <w:szCs w:val="24"/>
          <w:lang w:val="en-US"/>
        </w:rPr>
        <w:t xml:space="preserve"> </w:t>
      </w:r>
      <w:r w:rsidRPr="000579A7">
        <w:rPr>
          <w:sz w:val="24"/>
          <w:szCs w:val="24"/>
          <w:lang w:val="en-US"/>
        </w:rPr>
        <w:t>published in Russian and translated. The author was contacted to provide additional data on study characteristics and methodology. This author provided another Russian article that had</w:t>
      </w:r>
      <w:r w:rsidR="00284BB3">
        <w:rPr>
          <w:sz w:val="24"/>
          <w:szCs w:val="24"/>
          <w:lang w:val="en-US"/>
        </w:rPr>
        <w:t xml:space="preserve"> not </w:t>
      </w:r>
      <w:r w:rsidRPr="000579A7">
        <w:rPr>
          <w:sz w:val="24"/>
          <w:szCs w:val="24"/>
          <w:lang w:val="en-US"/>
        </w:rPr>
        <w:t xml:space="preserve">been identified by the electronic search.  </w:t>
      </w:r>
      <w:r w:rsidR="00284BB3">
        <w:rPr>
          <w:sz w:val="24"/>
          <w:szCs w:val="24"/>
          <w:lang w:val="en-US"/>
        </w:rPr>
        <w:t>The a</w:t>
      </w:r>
      <w:r w:rsidR="00284BB3" w:rsidRPr="000579A7">
        <w:rPr>
          <w:sz w:val="24"/>
          <w:szCs w:val="24"/>
          <w:lang w:val="en-US"/>
        </w:rPr>
        <w:t xml:space="preserve">nalysis </w:t>
      </w:r>
      <w:r w:rsidRPr="000579A7">
        <w:rPr>
          <w:sz w:val="24"/>
          <w:szCs w:val="24"/>
          <w:lang w:val="en-US"/>
        </w:rPr>
        <w:t xml:space="preserve">in the latter study </w:t>
      </w:r>
      <w:r w:rsidR="00284BB3">
        <w:rPr>
          <w:sz w:val="24"/>
          <w:szCs w:val="24"/>
          <w:lang w:val="en-US"/>
        </w:rPr>
        <w:t>had been</w:t>
      </w:r>
      <w:r w:rsidR="00284BB3" w:rsidRPr="000579A7">
        <w:rPr>
          <w:sz w:val="24"/>
          <w:szCs w:val="24"/>
          <w:lang w:val="en-US"/>
        </w:rPr>
        <w:t xml:space="preserve"> </w:t>
      </w:r>
      <w:r w:rsidRPr="000579A7">
        <w:rPr>
          <w:sz w:val="24"/>
          <w:szCs w:val="24"/>
          <w:lang w:val="en-US"/>
        </w:rPr>
        <w:t>performed</w:t>
      </w:r>
      <w:r w:rsidR="00982AA3">
        <w:rPr>
          <w:sz w:val="24"/>
          <w:szCs w:val="24"/>
          <w:lang w:val="en-US"/>
        </w:rPr>
        <w:t xml:space="preserve"> on the per-protocol population</w:t>
      </w:r>
      <w:r w:rsidRPr="000579A7">
        <w:rPr>
          <w:sz w:val="24"/>
          <w:szCs w:val="24"/>
          <w:lang w:val="en-US"/>
        </w:rPr>
        <w:t>.</w:t>
      </w:r>
      <w:r w:rsidR="00982AA3">
        <w:rPr>
          <w:sz w:val="24"/>
          <w:szCs w:val="24"/>
          <w:lang w:val="en-US"/>
        </w:rPr>
        <w:t xml:space="preserve"> </w:t>
      </w:r>
      <w:r w:rsidRPr="000579A7">
        <w:rPr>
          <w:sz w:val="24"/>
          <w:szCs w:val="24"/>
          <w:lang w:val="en-US"/>
        </w:rPr>
        <w:t xml:space="preserve">The author provided the </w:t>
      </w:r>
      <w:r w:rsidR="00284BB3">
        <w:rPr>
          <w:sz w:val="24"/>
          <w:szCs w:val="24"/>
          <w:lang w:val="en-US"/>
        </w:rPr>
        <w:t xml:space="preserve">results of the </w:t>
      </w:r>
      <w:r w:rsidRPr="000579A7">
        <w:rPr>
          <w:sz w:val="24"/>
          <w:szCs w:val="24"/>
          <w:lang w:val="en-US"/>
        </w:rPr>
        <w:t xml:space="preserve">analysis </w:t>
      </w:r>
      <w:r w:rsidR="00284BB3">
        <w:rPr>
          <w:sz w:val="24"/>
          <w:szCs w:val="24"/>
          <w:lang w:val="en-US"/>
        </w:rPr>
        <w:t>on</w:t>
      </w:r>
      <w:r w:rsidR="00284BB3" w:rsidRPr="000579A7">
        <w:rPr>
          <w:sz w:val="24"/>
          <w:szCs w:val="24"/>
          <w:lang w:val="en-US"/>
        </w:rPr>
        <w:t xml:space="preserve"> </w:t>
      </w:r>
      <w:r w:rsidRPr="000579A7">
        <w:rPr>
          <w:sz w:val="24"/>
          <w:szCs w:val="24"/>
          <w:lang w:val="en-US"/>
        </w:rPr>
        <w:t>the intention-to-treat population and confirmed the accuracy of the information included in the review. This author is also an author of this manuscript (DB).</w:t>
      </w:r>
    </w:p>
    <w:p w14:paraId="5B6211D0" w14:textId="0BEB85EB" w:rsidR="000579A7" w:rsidRPr="000579A7" w:rsidRDefault="000579A7" w:rsidP="000579A7">
      <w:pPr>
        <w:spacing w:line="480" w:lineRule="auto"/>
        <w:rPr>
          <w:sz w:val="24"/>
          <w:szCs w:val="24"/>
          <w:lang w:val="en-US"/>
        </w:rPr>
      </w:pPr>
      <w:r w:rsidRPr="00FE6C6C">
        <w:rPr>
          <w:b/>
          <w:sz w:val="24"/>
          <w:szCs w:val="24"/>
          <w:lang w:val="en-US"/>
        </w:rPr>
        <w:t>Data items:</w:t>
      </w:r>
      <w:r w:rsidRPr="000579A7">
        <w:rPr>
          <w:sz w:val="24"/>
          <w:szCs w:val="24"/>
          <w:lang w:val="en-US"/>
        </w:rPr>
        <w:t xml:space="preserve"> “Information was extracted from each trial </w:t>
      </w:r>
      <w:r w:rsidR="00284BB3" w:rsidRPr="000579A7">
        <w:rPr>
          <w:sz w:val="24"/>
          <w:szCs w:val="24"/>
          <w:lang w:val="en-US"/>
        </w:rPr>
        <w:t xml:space="preserve">included </w:t>
      </w:r>
      <w:r w:rsidR="00284BB3">
        <w:rPr>
          <w:sz w:val="24"/>
          <w:szCs w:val="24"/>
          <w:lang w:val="en-US"/>
        </w:rPr>
        <w:t>with respect to</w:t>
      </w:r>
      <w:r w:rsidRPr="000579A7">
        <w:rPr>
          <w:sz w:val="24"/>
          <w:szCs w:val="24"/>
          <w:lang w:val="en-US"/>
        </w:rPr>
        <w:t xml:space="preserve">: (1) </w:t>
      </w:r>
      <w:r w:rsidR="00284BB3">
        <w:rPr>
          <w:sz w:val="24"/>
          <w:szCs w:val="24"/>
          <w:lang w:val="en-US"/>
        </w:rPr>
        <w:t xml:space="preserve">the </w:t>
      </w:r>
      <w:r w:rsidRPr="000579A7">
        <w:rPr>
          <w:sz w:val="24"/>
          <w:szCs w:val="24"/>
          <w:lang w:val="en-US"/>
        </w:rPr>
        <w:t xml:space="preserve">characteristics of trial participants (including age, weight, type of anesthesia, surgery and thromboprophylaxis </w:t>
      </w:r>
      <w:r w:rsidR="00284BB3">
        <w:rPr>
          <w:sz w:val="24"/>
          <w:szCs w:val="24"/>
          <w:lang w:val="en-US"/>
        </w:rPr>
        <w:t>implemented</w:t>
      </w:r>
      <w:r w:rsidRPr="000579A7">
        <w:rPr>
          <w:sz w:val="24"/>
          <w:szCs w:val="24"/>
          <w:lang w:val="en-US"/>
        </w:rPr>
        <w:t>); (2) regimen of tranexamic acid used (dose, type of administration (bolus or infusion), duration or number of administration</w:t>
      </w:r>
      <w:r w:rsidR="00284BB3">
        <w:rPr>
          <w:sz w:val="24"/>
          <w:szCs w:val="24"/>
          <w:lang w:val="en-US"/>
        </w:rPr>
        <w:t>s</w:t>
      </w:r>
      <w:r w:rsidRPr="000579A7">
        <w:rPr>
          <w:sz w:val="24"/>
          <w:szCs w:val="24"/>
          <w:lang w:val="en-US"/>
        </w:rPr>
        <w:t>); (3) type of outcome measure (including perioperative blood loss and the method used to measure this  outcome</w:t>
      </w:r>
      <w:r w:rsidR="00284BB3">
        <w:rPr>
          <w:sz w:val="24"/>
          <w:szCs w:val="24"/>
          <w:lang w:val="en-US"/>
        </w:rPr>
        <w:t>,</w:t>
      </w:r>
      <w:r w:rsidRPr="000579A7">
        <w:rPr>
          <w:sz w:val="24"/>
          <w:szCs w:val="24"/>
          <w:lang w:val="en-US"/>
        </w:rPr>
        <w:t xml:space="preserve"> and the proportion of patients transfused with allogeneic red blood cell</w:t>
      </w:r>
      <w:r w:rsidR="00284BB3">
        <w:rPr>
          <w:sz w:val="24"/>
          <w:szCs w:val="24"/>
          <w:lang w:val="en-US"/>
        </w:rPr>
        <w:t>s</w:t>
      </w:r>
      <w:r w:rsidRPr="000579A7">
        <w:rPr>
          <w:sz w:val="24"/>
          <w:szCs w:val="24"/>
          <w:lang w:val="en-US"/>
        </w:rPr>
        <w:t xml:space="preserve">); (4) the number of patients randomized and the number of patients available for analyses.  </w:t>
      </w:r>
    </w:p>
    <w:p w14:paraId="5C523134" w14:textId="34273DF2" w:rsidR="000579A7" w:rsidRPr="000579A7" w:rsidRDefault="000579A7" w:rsidP="000579A7">
      <w:pPr>
        <w:spacing w:line="480" w:lineRule="auto"/>
        <w:rPr>
          <w:sz w:val="24"/>
          <w:szCs w:val="24"/>
          <w:lang w:val="en-US"/>
        </w:rPr>
      </w:pPr>
      <w:r w:rsidRPr="00FE6C6C">
        <w:rPr>
          <w:b/>
          <w:sz w:val="24"/>
          <w:szCs w:val="24"/>
          <w:lang w:val="en-US"/>
        </w:rPr>
        <w:lastRenderedPageBreak/>
        <w:t>Risk of bias in individual studies:</w:t>
      </w:r>
      <w:r w:rsidRPr="000579A7">
        <w:rPr>
          <w:sz w:val="24"/>
          <w:szCs w:val="24"/>
          <w:lang w:val="en-US"/>
        </w:rPr>
        <w:t xml:space="preserve"> Studies were classified by consensual agreement of two authors (CC and PZ) as having a low risk of bias, an unclear risk of bias, or a high risk of bias</w:t>
      </w:r>
      <w:r w:rsidR="00284BB3">
        <w:rPr>
          <w:sz w:val="24"/>
          <w:szCs w:val="24"/>
          <w:lang w:val="en-US"/>
        </w:rPr>
        <w:t>,</w:t>
      </w:r>
      <w:r w:rsidRPr="000579A7">
        <w:rPr>
          <w:sz w:val="24"/>
          <w:szCs w:val="24"/>
          <w:lang w:val="en-US"/>
        </w:rPr>
        <w:t xml:space="preserve"> based on the Cochrane tool.</w:t>
      </w:r>
      <w:r w:rsidR="008E7C45">
        <w:rPr>
          <w:sz w:val="24"/>
          <w:szCs w:val="24"/>
          <w:lang w:val="en-US"/>
        </w:rPr>
        <w:fldChar w:fldCharType="begin"/>
      </w:r>
      <w:r w:rsidR="008E7C45">
        <w:rPr>
          <w:sz w:val="24"/>
          <w:szCs w:val="24"/>
          <w:lang w:val="en-US"/>
        </w:rPr>
        <w:instrText xml:space="preserve"> ADDIN ZOTERO_ITEM CSL_CITATION {"citationID":"2vzlC8fW","properties":{"formattedCitation":"{\\rtf \\super 16\\nosupersub{}}","plainCitation":"16"},"citationItems":[{"id":1771,"uris":["http://zotero.org/users/325870/items/UP8ECDEF"],"uri":["http://zotero.org/users/325870/items/UP8ECDEF"],"itemData":{"id":1771,"type":"article-journal","title":"The Cochrane Collaboration's tool for assessing risk of bias in randomised trials","container-title":"BMJ (Clinical research ed.)","page":"d5928","volume":"343","source":"PubMed","ISSN":"1756-1833","note":"PMID: 22008217\nPMCID: PMC3196245","journalAbbreviation":"BMJ","language":"eng","author":[{"family":"Higgins","given":"Julian P. T."},{"family":"Altman","given":"Douglas G."},{"family":"Gøtzsche","given":"Peter C."},{"family":"Jüni","given":"Peter"},{"family":"Moher","given":"David"},{"family":"Oxman","given":"Andrew D."},{"family":"Savovic","given":"Jelena"},{"family":"Schulz","given":"Kenneth F."},{"family":"Weeks","given":"Laura"},{"family":"Sterne","given":"Jonathan A. C."},{"literal":"Cochrane Bias Methods Group"},{"literal":"Cochrane Statistical Methods Group"}],"issued":{"date-parts":[["2011",10,18]]}}}],"schema":"https://github.com/citation-style-language/schema/raw/master/csl-citation.json"} </w:instrText>
      </w:r>
      <w:r w:rsidR="008E7C45">
        <w:rPr>
          <w:sz w:val="24"/>
          <w:szCs w:val="24"/>
          <w:lang w:val="en-US"/>
        </w:rPr>
        <w:fldChar w:fldCharType="separate"/>
      </w:r>
      <w:r w:rsidR="008E7C45" w:rsidRPr="008E7C45">
        <w:rPr>
          <w:sz w:val="24"/>
          <w:szCs w:val="24"/>
          <w:vertAlign w:val="superscript"/>
          <w:lang w:val="en-US"/>
        </w:rPr>
        <w:t>16</w:t>
      </w:r>
      <w:r w:rsidR="008E7C45">
        <w:rPr>
          <w:sz w:val="24"/>
          <w:szCs w:val="24"/>
          <w:lang w:val="en-US"/>
        </w:rPr>
        <w:fldChar w:fldCharType="end"/>
      </w:r>
      <w:r w:rsidR="008E7C45">
        <w:rPr>
          <w:sz w:val="24"/>
          <w:szCs w:val="24"/>
          <w:lang w:val="en-US"/>
        </w:rPr>
        <w:t xml:space="preserve"> </w:t>
      </w:r>
      <w:r w:rsidRPr="000579A7">
        <w:rPr>
          <w:sz w:val="24"/>
          <w:szCs w:val="24"/>
          <w:lang w:val="en-US"/>
        </w:rPr>
        <w:t xml:space="preserve">The Cochrane tool takes into account random sequence generation, concealment of the allocation sequence, blinding of participants and </w:t>
      </w:r>
      <w:r w:rsidR="00284BB3">
        <w:rPr>
          <w:sz w:val="24"/>
          <w:szCs w:val="24"/>
          <w:lang w:val="en-US"/>
        </w:rPr>
        <w:t xml:space="preserve">study </w:t>
      </w:r>
      <w:r w:rsidRPr="000579A7">
        <w:rPr>
          <w:sz w:val="24"/>
          <w:szCs w:val="24"/>
          <w:lang w:val="en-US"/>
        </w:rPr>
        <w:t xml:space="preserve">personnel, blinding of outcome assessment, incomplete outcome data, and selective reporting. </w:t>
      </w:r>
    </w:p>
    <w:p w14:paraId="58366D28" w14:textId="11E557E5" w:rsidR="000579A7" w:rsidRPr="000579A7" w:rsidRDefault="000579A7" w:rsidP="000579A7">
      <w:pPr>
        <w:spacing w:line="480" w:lineRule="auto"/>
        <w:rPr>
          <w:sz w:val="24"/>
          <w:szCs w:val="24"/>
          <w:lang w:val="en-US"/>
        </w:rPr>
      </w:pPr>
      <w:r w:rsidRPr="000579A7">
        <w:rPr>
          <w:sz w:val="24"/>
          <w:szCs w:val="24"/>
          <w:lang w:val="en-US"/>
        </w:rPr>
        <w:t>Summary measures: Data concerning the primary continuous outcome, perioperative blood loss, were pooled using the ratio of the means method.</w:t>
      </w:r>
      <w:r>
        <w:rPr>
          <w:sz w:val="24"/>
          <w:szCs w:val="24"/>
          <w:lang w:val="en-US"/>
        </w:rPr>
        <w:fldChar w:fldCharType="begin"/>
      </w:r>
      <w:r w:rsidR="008E7C45">
        <w:rPr>
          <w:sz w:val="24"/>
          <w:szCs w:val="24"/>
          <w:lang w:val="en-US"/>
        </w:rPr>
        <w:instrText xml:space="preserve"> ADDIN ZOTERO_ITEM CSL_CITATION {"citationID":"1MoRSYtx","properties":{"formattedCitation":"{\\rtf \\super 17\\nosupersub{}}","plainCitation":"17"},"citationItems":[{"id":356,"uris":["http://zotero.org/users/325870/items/IFQ9PJPF"],"uri":["http://zotero.org/users/325870/items/IFQ9PJPF"],"itemData":{"id":356,"type":"article-journal","title":"The ratio of means method as an alternative to mean differences for analyzing continuous outcome variables in meta-analysis: a simulation study","container-title":"BMC medical research methodology","page":"32","volume":"8","source":"PubMed","abstract":"BACKGROUND: Meta-analysis of continuous outcomes traditionally uses mean difference (MD) or standardized mean difference (SMD; mean difference in pooled standard deviation (SD) units). We recently used an alternative ratio of mean values (RoM) method, calculating RoM for each study and estimating its variance by the delta method. SMD and RoM allow pooling of outcomes expressed in different units and comparisons of effect sizes across interventions, but RoM interpretation does not require knowledge of the pooled SD, a quantity generally unknown to clinicians.\nOBJECTIVES AND METHODS: To evaluate performance characteristics of MD, SMD and RoM using simulated data sets and representative parameters.\nRESULTS: MD was relatively bias-free. SMD exhibited bias (~5%) towards no effect in scenarios with few patients per trial (n = 10). RoM was bias-free except for some scenarios with broad distributions (SD 70% of mean value) and medium-to-large effect sizes (0.5-0.8 pooled SD units), for which bias ranged from -4 to 2% (negative sign denotes bias towards no effect). Coverage was as expected for all effect measures in all scenarios with minimal bias. RoM scenarios with bias towards no effect exceeding 1.5% demonstrated lower coverage of the 95% confidence interval than MD (89-92% vs. 92-94%). Statistical power was similar. Compared to MD, simulated heterogeneity estimates for SMD and RoM were lower in scenarios with bias because of decreased weighting of extreme values. Otherwise, heterogeneity was similar among methods.\nCONCLUSION: Simulation suggests that RoM exhibits comparable performance characteristics to MD and SMD. Favourable statistical properties and potentially simplified clinical interpretation justify the ratio of means method as an option for pooling continuous outcomes.","DOI":"10.1186/1471-2288-8-32","ISSN":"1471-2288","note":"PMID: 18492289\nPMCID: PMC2430201","shortTitle":"The ratio of means method as an alternative to mean differences for analyzing continuous outcome variables in meta-analysis","journalAbbreviation":"BMC Med Res Methodol","language":"eng","author":[{"family":"Friedrich","given":"Jan O."},{"family":"Adhikari","given":"Neill K. J."},{"family":"Beyene","given":"Joseph"}],"issued":{"date-parts":[["2008"]]}}}],"schema":"https://github.com/citation-style-language/schema/raw/master/csl-citation.json"} </w:instrText>
      </w:r>
      <w:r>
        <w:rPr>
          <w:sz w:val="24"/>
          <w:szCs w:val="24"/>
          <w:lang w:val="en-US"/>
        </w:rPr>
        <w:fldChar w:fldCharType="separate"/>
      </w:r>
      <w:r w:rsidR="008E7C45" w:rsidRPr="008E7C45">
        <w:rPr>
          <w:sz w:val="24"/>
          <w:szCs w:val="24"/>
          <w:vertAlign w:val="superscript"/>
          <w:lang w:val="en-US"/>
        </w:rPr>
        <w:t>17</w:t>
      </w:r>
      <w:r>
        <w:rPr>
          <w:sz w:val="24"/>
          <w:szCs w:val="24"/>
          <w:lang w:val="en-US"/>
        </w:rPr>
        <w:fldChar w:fldCharType="end"/>
      </w:r>
      <w:r w:rsidRPr="000579A7">
        <w:rPr>
          <w:sz w:val="24"/>
          <w:szCs w:val="24"/>
          <w:lang w:val="en-US"/>
        </w:rPr>
        <w:t xml:space="preserve"> Data concerning the binary outcome, transfusion of at least 1 unit of allogeneic red blood cell</w:t>
      </w:r>
      <w:r w:rsidR="00284BB3">
        <w:rPr>
          <w:sz w:val="24"/>
          <w:szCs w:val="24"/>
          <w:lang w:val="en-US"/>
        </w:rPr>
        <w:t>s</w:t>
      </w:r>
      <w:r w:rsidRPr="000579A7">
        <w:rPr>
          <w:sz w:val="24"/>
          <w:szCs w:val="24"/>
          <w:lang w:val="en-US"/>
        </w:rPr>
        <w:t>, were pooled using the Mantel-Haenszel odds ratio method without corrections.</w:t>
      </w:r>
      <w:r w:rsidRPr="000579A7">
        <w:rPr>
          <w:sz w:val="24"/>
          <w:szCs w:val="24"/>
        </w:rPr>
        <w:fldChar w:fldCharType="begin"/>
      </w:r>
      <w:r w:rsidR="008E7C45">
        <w:rPr>
          <w:sz w:val="24"/>
          <w:szCs w:val="24"/>
          <w:lang w:val="en-US"/>
        </w:rPr>
        <w:instrText xml:space="preserve"> ADDIN ZOTERO_ITEM CSL_CITATION {"citationID":"C3RzM69a","properties":{"formattedCitation":"{\\rtf \\super 18\\nosupersub{}}","plainCitation":"18"},"citationItems":[{"id":446,"uris":["http://zotero.org/users/325870/items/N4BUI5BV"],"uri":["http://zotero.org/users/325870/items/N4BUI5BV"],"itemData":{"id":446,"type":"article-journal","title":"Much ado about nothing: a comparison of the performance of meta-analytical methods with rare events","container-title":"Statistics in Medicine","page":"53-77","volume":"26","issue":"1","source":"PubMed","abstract":"For rare outcomes, meta-analysis of randomized trials may be the only way to obtain reliable evidence of the effects of healthcare interventions. However, many methods of meta-analysis are based on large sample approximations, and may be unsuitable when events are rare. Through simulation, we evaluated the performance of 12 methods for pooling rare events, considering estimability, bias, coverage and statistical power. Simulations were based on data sets from three case studies with between five and 19 trials, using baseline event rates between 0.1 and 10 per cent and risk ratios of 1, 0.75, 0.5 and 0.2. We found that most of the commonly used meta-analytical methods were biased when data were sparse. The bias was greatest in inverse variance and DerSimonian and Laird odds ratio and risk difference methods, and the Mantel-Haenszel (MH) odds ratio method using a 0.5 zero-cell correction. Risk difference meta-analytical methods tended to show conservative confidence interval coverage and low statistical power at low event rates. At event rates below 1 per cent the Peto one-step odds ratio method was the least biased and most powerful method, and provided the best confidence interval coverage, provided there was no substantial imbalance between treatment and control group sizes within trials, and treatment effects were not exceptionally large. In other circumstances the MH OR without zero-cell corrections, logistic regression and the exact method performed similarly to each other, and were less biased than the Peto method.","DOI":"10.1002/sim.2528","ISSN":"0277-6715","note":"PMID: 16596572","shortTitle":"Much ado about nothing","journalAbbreviation":"Stat Med","language":"eng","author":[{"family":"Bradburn","given":"Michael J."},{"family":"Deeks","given":"Jonathan J."},{"family":"Berlin","given":"Jesse A."},{"family":"Russell Localio","given":"A."}],"issued":{"date-parts":[["2007",1,15]]}}}],"schema":"https://github.com/citation-style-language/schema/raw/master/csl-citation.json"} </w:instrText>
      </w:r>
      <w:r w:rsidRPr="000579A7">
        <w:rPr>
          <w:sz w:val="24"/>
          <w:szCs w:val="24"/>
        </w:rPr>
        <w:fldChar w:fldCharType="separate"/>
      </w:r>
      <w:r w:rsidR="008E7C45" w:rsidRPr="008E7C45">
        <w:rPr>
          <w:sz w:val="24"/>
          <w:szCs w:val="24"/>
          <w:vertAlign w:val="superscript"/>
          <w:lang w:val="en-US"/>
        </w:rPr>
        <w:t>18</w:t>
      </w:r>
      <w:r w:rsidRPr="000579A7">
        <w:rPr>
          <w:sz w:val="24"/>
          <w:szCs w:val="24"/>
        </w:rPr>
        <w:fldChar w:fldCharType="end"/>
      </w:r>
      <w:r w:rsidRPr="000579A7">
        <w:rPr>
          <w:sz w:val="24"/>
          <w:szCs w:val="24"/>
          <w:lang w:val="en-US"/>
        </w:rPr>
        <w:t xml:space="preserve"> </w:t>
      </w:r>
    </w:p>
    <w:p w14:paraId="3B068C7F" w14:textId="237C6DD8" w:rsidR="000579A7" w:rsidRDefault="000579A7" w:rsidP="000579A7">
      <w:pPr>
        <w:spacing w:line="480" w:lineRule="auto"/>
        <w:rPr>
          <w:sz w:val="24"/>
          <w:szCs w:val="24"/>
          <w:lang w:val="en-US"/>
        </w:rPr>
      </w:pPr>
      <w:r w:rsidRPr="00FE6C6C">
        <w:rPr>
          <w:b/>
          <w:sz w:val="24"/>
          <w:szCs w:val="24"/>
          <w:lang w:val="en-US"/>
        </w:rPr>
        <w:t>Planned methods of analysis:</w:t>
      </w:r>
      <w:r w:rsidRPr="000579A7">
        <w:rPr>
          <w:sz w:val="24"/>
          <w:szCs w:val="24"/>
          <w:lang w:val="en-US"/>
        </w:rPr>
        <w:t xml:space="preserve"> In trials with more than two intervention groups, it was planned to combine results for groups that received similar but non-identical interventions (as long as the group fulfilled </w:t>
      </w:r>
      <w:r w:rsidR="001A7F75">
        <w:rPr>
          <w:sz w:val="24"/>
          <w:szCs w:val="24"/>
          <w:lang w:val="en-US"/>
        </w:rPr>
        <w:t xml:space="preserve">the </w:t>
      </w:r>
      <w:r w:rsidRPr="000579A7">
        <w:rPr>
          <w:sz w:val="24"/>
          <w:szCs w:val="24"/>
          <w:lang w:val="en-US"/>
        </w:rPr>
        <w:t xml:space="preserve">criteria </w:t>
      </w:r>
      <w:r w:rsidR="001A7F75">
        <w:rPr>
          <w:sz w:val="24"/>
          <w:szCs w:val="24"/>
          <w:lang w:val="en-US"/>
        </w:rPr>
        <w:t xml:space="preserve">for eligibility, </w:t>
      </w:r>
      <w:r w:rsidRPr="000579A7">
        <w:rPr>
          <w:sz w:val="24"/>
          <w:szCs w:val="24"/>
          <w:lang w:val="en-US"/>
        </w:rPr>
        <w:t>as defined above) and it was planned not to include an intervention group if it did not match our inclusion criteria. Heterogeneity was explored by visual inspection of the forest plot, calculati</w:t>
      </w:r>
      <w:r w:rsidR="00514C71">
        <w:rPr>
          <w:sz w:val="24"/>
          <w:szCs w:val="24"/>
          <w:lang w:val="en-US"/>
        </w:rPr>
        <w:t>on of</w:t>
      </w:r>
      <w:r w:rsidRPr="000579A7">
        <w:rPr>
          <w:sz w:val="24"/>
          <w:szCs w:val="24"/>
          <w:lang w:val="en-US"/>
        </w:rPr>
        <w:t xml:space="preserve"> the Cochran Q heterogeneity statistic and calculati</w:t>
      </w:r>
      <w:r w:rsidR="00514C71">
        <w:rPr>
          <w:sz w:val="24"/>
          <w:szCs w:val="24"/>
          <w:lang w:val="en-US"/>
        </w:rPr>
        <w:t>on of</w:t>
      </w:r>
      <w:r w:rsidRPr="000579A7">
        <w:rPr>
          <w:sz w:val="24"/>
          <w:szCs w:val="24"/>
          <w:lang w:val="en-US"/>
        </w:rPr>
        <w:t xml:space="preserve"> the I</w:t>
      </w:r>
      <w:r w:rsidRPr="000579A7">
        <w:rPr>
          <w:sz w:val="24"/>
          <w:szCs w:val="24"/>
          <w:vertAlign w:val="superscript"/>
          <w:lang w:val="en-US"/>
        </w:rPr>
        <w:t>2</w:t>
      </w:r>
      <w:r w:rsidRPr="000579A7">
        <w:rPr>
          <w:sz w:val="24"/>
          <w:szCs w:val="24"/>
          <w:lang w:val="en-US"/>
        </w:rPr>
        <w:t xml:space="preserve"> statistic.  A fixed-effect model was planned in the absence of heterogeneity</w:t>
      </w:r>
      <w:r w:rsidR="00514C71">
        <w:rPr>
          <w:sz w:val="24"/>
          <w:szCs w:val="24"/>
          <w:lang w:val="en-US"/>
        </w:rPr>
        <w:t>,</w:t>
      </w:r>
      <w:r w:rsidRPr="000579A7">
        <w:rPr>
          <w:sz w:val="24"/>
          <w:szCs w:val="24"/>
          <w:lang w:val="en-US"/>
        </w:rPr>
        <w:t xml:space="preserve"> defined by a p value &gt; 0.10 for the Cochran Q heterogeneity statistic and a</w:t>
      </w:r>
      <w:r w:rsidR="00514C71">
        <w:rPr>
          <w:sz w:val="24"/>
          <w:szCs w:val="24"/>
          <w:lang w:val="en-US"/>
        </w:rPr>
        <w:t>n</w:t>
      </w:r>
      <w:r w:rsidRPr="000579A7">
        <w:rPr>
          <w:sz w:val="24"/>
          <w:szCs w:val="24"/>
          <w:lang w:val="en-US"/>
        </w:rPr>
        <w:t xml:space="preserve"> I</w:t>
      </w:r>
      <w:r w:rsidRPr="000579A7">
        <w:rPr>
          <w:sz w:val="24"/>
          <w:szCs w:val="24"/>
          <w:vertAlign w:val="superscript"/>
          <w:lang w:val="en-US"/>
        </w:rPr>
        <w:t xml:space="preserve">2 </w:t>
      </w:r>
      <w:r w:rsidRPr="000579A7">
        <w:rPr>
          <w:sz w:val="24"/>
          <w:szCs w:val="24"/>
          <w:lang w:val="en-US"/>
        </w:rPr>
        <w:t>value &lt; 25%. The random-effects model approach is also presented.</w:t>
      </w:r>
    </w:p>
    <w:p w14:paraId="0548AC5F" w14:textId="77777777" w:rsidR="000579A7" w:rsidRDefault="000579A7" w:rsidP="000579A7">
      <w:pPr>
        <w:spacing w:line="480" w:lineRule="auto"/>
        <w:rPr>
          <w:sz w:val="24"/>
          <w:szCs w:val="24"/>
          <w:lang w:val="en-US"/>
        </w:rPr>
      </w:pPr>
      <w:r w:rsidRPr="00FE6C6C">
        <w:rPr>
          <w:b/>
          <w:sz w:val="24"/>
          <w:szCs w:val="24"/>
          <w:lang w:val="en-US"/>
        </w:rPr>
        <w:t>Risk of bias across studies:</w:t>
      </w:r>
      <w:r w:rsidRPr="000579A7">
        <w:rPr>
          <w:sz w:val="24"/>
          <w:szCs w:val="24"/>
          <w:lang w:val="en-US"/>
        </w:rPr>
        <w:t xml:space="preserve"> The risk of publication bias was checked using the funnel plot technique for the primary outcome.</w:t>
      </w:r>
    </w:p>
    <w:p w14:paraId="50096FE2" w14:textId="778EAC5D" w:rsidR="000579A7" w:rsidRDefault="000579A7" w:rsidP="000579A7">
      <w:pPr>
        <w:spacing w:line="480" w:lineRule="auto"/>
        <w:rPr>
          <w:sz w:val="24"/>
          <w:szCs w:val="24"/>
          <w:lang w:val="en-US"/>
        </w:rPr>
      </w:pPr>
      <w:r w:rsidRPr="00FE6C6C">
        <w:rPr>
          <w:b/>
          <w:sz w:val="24"/>
          <w:szCs w:val="24"/>
          <w:lang w:val="en-US"/>
        </w:rPr>
        <w:t>Additional analyses:</w:t>
      </w:r>
      <w:r w:rsidRPr="000579A7">
        <w:rPr>
          <w:sz w:val="24"/>
          <w:szCs w:val="24"/>
          <w:lang w:val="en-US"/>
        </w:rPr>
        <w:t xml:space="preserve">  A sensitivity analysis was performed by </w:t>
      </w:r>
      <w:r w:rsidR="00514C71">
        <w:rPr>
          <w:sz w:val="24"/>
          <w:szCs w:val="24"/>
          <w:lang w:val="en-US"/>
        </w:rPr>
        <w:t>restricting</w:t>
      </w:r>
      <w:r w:rsidR="00514C71" w:rsidRPr="000579A7">
        <w:rPr>
          <w:sz w:val="24"/>
          <w:szCs w:val="24"/>
          <w:lang w:val="en-US"/>
        </w:rPr>
        <w:t xml:space="preserve"> </w:t>
      </w:r>
      <w:r w:rsidRPr="000579A7">
        <w:rPr>
          <w:sz w:val="24"/>
          <w:szCs w:val="24"/>
          <w:lang w:val="en-US"/>
        </w:rPr>
        <w:t xml:space="preserve">the </w:t>
      </w:r>
      <w:r w:rsidR="00514C71">
        <w:rPr>
          <w:sz w:val="24"/>
          <w:szCs w:val="24"/>
          <w:lang w:val="en-US"/>
        </w:rPr>
        <w:t>meta-</w:t>
      </w:r>
      <w:r w:rsidRPr="000579A7">
        <w:rPr>
          <w:sz w:val="24"/>
          <w:szCs w:val="24"/>
          <w:lang w:val="en-US"/>
        </w:rPr>
        <w:t>analysis to studies considered at low risk of bias</w:t>
      </w:r>
      <w:r w:rsidR="00514C71">
        <w:rPr>
          <w:sz w:val="24"/>
          <w:szCs w:val="24"/>
          <w:lang w:val="en-US"/>
        </w:rPr>
        <w:t xml:space="preserve"> (data not shown)</w:t>
      </w:r>
      <w:r w:rsidRPr="000579A7">
        <w:rPr>
          <w:sz w:val="24"/>
          <w:szCs w:val="24"/>
          <w:lang w:val="en-US"/>
        </w:rPr>
        <w:t>.</w:t>
      </w:r>
    </w:p>
    <w:p w14:paraId="151613DC" w14:textId="77777777" w:rsidR="000579A7" w:rsidRPr="000579A7" w:rsidRDefault="000579A7" w:rsidP="000579A7">
      <w:pPr>
        <w:spacing w:line="480" w:lineRule="auto"/>
        <w:rPr>
          <w:b/>
          <w:sz w:val="24"/>
          <w:szCs w:val="24"/>
          <w:lang w:val="en-US"/>
        </w:rPr>
      </w:pPr>
      <w:r w:rsidRPr="00FE6C6C">
        <w:rPr>
          <w:b/>
          <w:sz w:val="24"/>
          <w:szCs w:val="24"/>
          <w:lang w:val="en-US"/>
        </w:rPr>
        <w:lastRenderedPageBreak/>
        <w:t>Software:</w:t>
      </w:r>
      <w:r w:rsidRPr="000579A7">
        <w:rPr>
          <w:sz w:val="24"/>
          <w:szCs w:val="24"/>
          <w:lang w:val="en-US"/>
        </w:rPr>
        <w:t xml:space="preserve"> The meta-analysis w</w:t>
      </w:r>
      <w:r w:rsidR="00982AA3">
        <w:rPr>
          <w:sz w:val="24"/>
          <w:szCs w:val="24"/>
          <w:lang w:val="en-US"/>
        </w:rPr>
        <w:t>as performed using R software (</w:t>
      </w:r>
      <w:r w:rsidRPr="000579A7">
        <w:rPr>
          <w:sz w:val="24"/>
          <w:szCs w:val="24"/>
          <w:lang w:val="en-US"/>
        </w:rPr>
        <w:t xml:space="preserve">meta package, version 2.15.1; downloaded from </w:t>
      </w:r>
      <w:hyperlink r:id="rId8" w:history="1">
        <w:r w:rsidRPr="000579A7">
          <w:rPr>
            <w:sz w:val="24"/>
            <w:szCs w:val="24"/>
            <w:lang w:val="en-US"/>
          </w:rPr>
          <w:t>www.r-project.org</w:t>
        </w:r>
      </w:hyperlink>
      <w:r w:rsidRPr="000579A7">
        <w:rPr>
          <w:sz w:val="24"/>
          <w:szCs w:val="24"/>
          <w:lang w:val="en-US"/>
        </w:rPr>
        <w:t xml:space="preserve">). Computation was performed by one review author (CC). </w:t>
      </w:r>
    </w:p>
    <w:p w14:paraId="0B04A1D6" w14:textId="77777777" w:rsidR="003E6D3C" w:rsidRDefault="003E6D3C">
      <w:pPr>
        <w:autoSpaceDE/>
        <w:autoSpaceDN/>
        <w:spacing w:after="200" w:line="276" w:lineRule="auto"/>
        <w:rPr>
          <w:sz w:val="24"/>
          <w:szCs w:val="24"/>
          <w:lang w:val="en-US"/>
        </w:rPr>
      </w:pPr>
      <w:r>
        <w:rPr>
          <w:sz w:val="24"/>
          <w:szCs w:val="24"/>
          <w:lang w:val="en-US"/>
        </w:rPr>
        <w:br w:type="page"/>
      </w:r>
    </w:p>
    <w:p w14:paraId="4BC14A16" w14:textId="1AF0AB5D" w:rsidR="003E6D3C" w:rsidRDefault="003E6D3C" w:rsidP="00570855">
      <w:pPr>
        <w:pStyle w:val="Heading1"/>
        <w:rPr>
          <w:lang w:val="en-US"/>
        </w:rPr>
      </w:pPr>
      <w:bookmarkStart w:id="8" w:name="_Toc482278815"/>
      <w:r w:rsidRPr="003E6D3C">
        <w:rPr>
          <w:lang w:val="en-US"/>
        </w:rPr>
        <w:lastRenderedPageBreak/>
        <w:t xml:space="preserve">Flow </w:t>
      </w:r>
      <w:r w:rsidR="00514C71">
        <w:rPr>
          <w:lang w:val="en-US"/>
        </w:rPr>
        <w:t>chart</w:t>
      </w:r>
      <w:r w:rsidR="00514C71" w:rsidRPr="003E6D3C">
        <w:rPr>
          <w:lang w:val="en-US"/>
        </w:rPr>
        <w:t xml:space="preserve"> </w:t>
      </w:r>
      <w:r w:rsidRPr="003E6D3C">
        <w:rPr>
          <w:lang w:val="en-US"/>
        </w:rPr>
        <w:t xml:space="preserve">of </w:t>
      </w:r>
      <w:r w:rsidR="00514C71">
        <w:rPr>
          <w:lang w:val="en-US"/>
        </w:rPr>
        <w:t xml:space="preserve">the </w:t>
      </w:r>
      <w:r w:rsidRPr="003E6D3C">
        <w:rPr>
          <w:lang w:val="en-US"/>
        </w:rPr>
        <w:t xml:space="preserve">study selection </w:t>
      </w:r>
      <w:r w:rsidR="00514C71">
        <w:rPr>
          <w:lang w:val="en-US"/>
        </w:rPr>
        <w:t>process</w:t>
      </w:r>
      <w:bookmarkEnd w:id="8"/>
    </w:p>
    <w:p w14:paraId="59B156AE" w14:textId="77777777" w:rsidR="00DD1919" w:rsidRDefault="00DD1919" w:rsidP="00570855">
      <w:pPr>
        <w:rPr>
          <w:lang w:val="en-US"/>
        </w:rPr>
      </w:pPr>
    </w:p>
    <w:p w14:paraId="03572FD9" w14:textId="77777777" w:rsidR="00DD1919" w:rsidRPr="00570855" w:rsidRDefault="00DD1919" w:rsidP="00570855">
      <w:pPr>
        <w:rPr>
          <w:lang w:val="en-US"/>
        </w:rPr>
      </w:pPr>
    </w:p>
    <w:p w14:paraId="51440270" w14:textId="77777777" w:rsidR="008622F7" w:rsidRDefault="008622F7">
      <w:pPr>
        <w:autoSpaceDE/>
        <w:autoSpaceDN/>
        <w:spacing w:after="200" w:line="276" w:lineRule="auto"/>
        <w:rPr>
          <w:b/>
          <w:sz w:val="24"/>
          <w:szCs w:val="24"/>
          <w:lang w:val="en-US"/>
        </w:rPr>
      </w:pPr>
      <w:r>
        <w:rPr>
          <w:b/>
          <w:noProof/>
          <w:sz w:val="24"/>
          <w:szCs w:val="24"/>
          <w:lang w:val="en-US" w:eastAsia="en-US"/>
        </w:rPr>
        <mc:AlternateContent>
          <mc:Choice Requires="wps">
            <w:drawing>
              <wp:anchor distT="0" distB="0" distL="114300" distR="114300" simplePos="0" relativeHeight="251659264" behindDoc="0" locked="0" layoutInCell="1" allowOverlap="1" wp14:anchorId="33BEB5B4" wp14:editId="06E02C46">
                <wp:simplePos x="0" y="0"/>
                <wp:positionH relativeFrom="column">
                  <wp:posOffset>-146964</wp:posOffset>
                </wp:positionH>
                <wp:positionV relativeFrom="paragraph">
                  <wp:posOffset>121666</wp:posOffset>
                </wp:positionV>
                <wp:extent cx="5888634" cy="3630304"/>
                <wp:effectExtent l="0" t="0" r="17145" b="27305"/>
                <wp:wrapNone/>
                <wp:docPr id="1" name="Zone de texte 1"/>
                <wp:cNvGraphicFramePr/>
                <a:graphic xmlns:a="http://schemas.openxmlformats.org/drawingml/2006/main">
                  <a:graphicData uri="http://schemas.microsoft.com/office/word/2010/wordprocessingShape">
                    <wps:wsp>
                      <wps:cNvSpPr txBox="1"/>
                      <wps:spPr>
                        <a:xfrm>
                          <a:off x="0" y="0"/>
                          <a:ext cx="5888634" cy="3630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97DA12" w14:textId="77777777" w:rsidR="008622F7" w:rsidRDefault="008622F7">
                            <w:r w:rsidRPr="008622F7">
                              <w:rPr>
                                <w:noProof/>
                                <w:lang w:val="en-US" w:eastAsia="en-US"/>
                              </w:rPr>
                              <w:drawing>
                                <wp:inline distT="0" distB="0" distL="0" distR="0" wp14:anchorId="3DDA8951" wp14:editId="418F83BA">
                                  <wp:extent cx="5637603" cy="3379623"/>
                                  <wp:effectExtent l="0" t="0" r="127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1288" cy="33818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EB5B4" id="_x0000_t202" coordsize="21600,21600" o:spt="202" path="m,l,21600r21600,l21600,xe">
                <v:stroke joinstyle="miter"/>
                <v:path gradientshapeok="t" o:connecttype="rect"/>
              </v:shapetype>
              <v:shape id="Zone de texte 1" o:spid="_x0000_s1026" type="#_x0000_t202" style="position:absolute;margin-left:-11.55pt;margin-top:9.6pt;width:463.65pt;height:28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" fillcolor="white [3201]" strokeweight=".5pt">
                <v:textbox>
                  <w:txbxContent>
                    <w:p w14:paraId="4797DA12" w14:textId="77777777" w:rsidR="008622F7" w:rsidRDefault="008622F7">
                      <w:r w:rsidRPr="008622F7">
                        <w:rPr>
                          <w:noProof/>
                          <w:lang w:val="en-US" w:eastAsia="en-US"/>
                        </w:rPr>
                        <w:drawing>
                          <wp:inline distT="0" distB="0" distL="0" distR="0" wp14:anchorId="3DDA8951" wp14:editId="418F83BA">
                            <wp:extent cx="5637603" cy="3379623"/>
                            <wp:effectExtent l="0" t="0" r="127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1288" cy="3381832"/>
                                    </a:xfrm>
                                    <a:prstGeom prst="rect">
                                      <a:avLst/>
                                    </a:prstGeom>
                                    <a:noFill/>
                                    <a:ln>
                                      <a:noFill/>
                                    </a:ln>
                                  </pic:spPr>
                                </pic:pic>
                              </a:graphicData>
                            </a:graphic>
                          </wp:inline>
                        </w:drawing>
                      </w:r>
                    </w:p>
                  </w:txbxContent>
                </v:textbox>
              </v:shape>
            </w:pict>
          </mc:Fallback>
        </mc:AlternateContent>
      </w:r>
      <w:r w:rsidRPr="008622F7">
        <w:rPr>
          <w:b/>
          <w:sz w:val="24"/>
          <w:szCs w:val="24"/>
          <w:lang w:val="en-US"/>
        </w:rPr>
        <w:t xml:space="preserve"> </w:t>
      </w:r>
    </w:p>
    <w:p w14:paraId="391E515D" w14:textId="77777777" w:rsidR="008622F7" w:rsidRDefault="008622F7">
      <w:pPr>
        <w:autoSpaceDE/>
        <w:autoSpaceDN/>
        <w:spacing w:after="200" w:line="276" w:lineRule="auto"/>
        <w:rPr>
          <w:b/>
          <w:sz w:val="24"/>
          <w:szCs w:val="24"/>
          <w:lang w:val="en-US"/>
        </w:rPr>
      </w:pPr>
    </w:p>
    <w:p w14:paraId="5B242BFC" w14:textId="77777777" w:rsidR="008622F7" w:rsidRDefault="008622F7">
      <w:pPr>
        <w:autoSpaceDE/>
        <w:autoSpaceDN/>
        <w:spacing w:after="200" w:line="276" w:lineRule="auto"/>
        <w:rPr>
          <w:b/>
          <w:sz w:val="24"/>
          <w:szCs w:val="24"/>
          <w:lang w:val="en-US"/>
        </w:rPr>
      </w:pPr>
    </w:p>
    <w:p w14:paraId="15B83C2A" w14:textId="77777777" w:rsidR="008622F7" w:rsidRDefault="008622F7">
      <w:pPr>
        <w:autoSpaceDE/>
        <w:autoSpaceDN/>
        <w:spacing w:after="200" w:line="276" w:lineRule="auto"/>
        <w:rPr>
          <w:b/>
          <w:sz w:val="24"/>
          <w:szCs w:val="24"/>
          <w:lang w:val="en-US"/>
        </w:rPr>
      </w:pPr>
    </w:p>
    <w:p w14:paraId="57E8D406" w14:textId="77777777" w:rsidR="008622F7" w:rsidRDefault="008622F7">
      <w:pPr>
        <w:autoSpaceDE/>
        <w:autoSpaceDN/>
        <w:spacing w:after="200" w:line="276" w:lineRule="auto"/>
        <w:rPr>
          <w:b/>
          <w:sz w:val="24"/>
          <w:szCs w:val="24"/>
          <w:lang w:val="en-US"/>
        </w:rPr>
      </w:pPr>
    </w:p>
    <w:p w14:paraId="1A1ACFEF" w14:textId="77777777" w:rsidR="008622F7" w:rsidRDefault="008622F7">
      <w:pPr>
        <w:autoSpaceDE/>
        <w:autoSpaceDN/>
        <w:spacing w:after="200" w:line="276" w:lineRule="auto"/>
        <w:rPr>
          <w:b/>
          <w:sz w:val="24"/>
          <w:szCs w:val="24"/>
          <w:lang w:val="en-US"/>
        </w:rPr>
      </w:pPr>
    </w:p>
    <w:p w14:paraId="11A7D0EE" w14:textId="77777777" w:rsidR="008622F7" w:rsidRDefault="008622F7">
      <w:pPr>
        <w:autoSpaceDE/>
        <w:autoSpaceDN/>
        <w:spacing w:after="200" w:line="276" w:lineRule="auto"/>
        <w:rPr>
          <w:b/>
          <w:sz w:val="24"/>
          <w:szCs w:val="24"/>
          <w:lang w:val="en-US"/>
        </w:rPr>
      </w:pPr>
    </w:p>
    <w:p w14:paraId="6E06EA6A" w14:textId="77777777" w:rsidR="008622F7" w:rsidRDefault="008622F7">
      <w:pPr>
        <w:autoSpaceDE/>
        <w:autoSpaceDN/>
        <w:spacing w:after="200" w:line="276" w:lineRule="auto"/>
        <w:rPr>
          <w:b/>
          <w:sz w:val="24"/>
          <w:szCs w:val="24"/>
          <w:lang w:val="en-US"/>
        </w:rPr>
      </w:pPr>
    </w:p>
    <w:p w14:paraId="1A5BC7F1" w14:textId="77777777" w:rsidR="008622F7" w:rsidRDefault="008622F7">
      <w:pPr>
        <w:autoSpaceDE/>
        <w:autoSpaceDN/>
        <w:spacing w:after="200" w:line="276" w:lineRule="auto"/>
        <w:rPr>
          <w:b/>
          <w:sz w:val="24"/>
          <w:szCs w:val="24"/>
          <w:lang w:val="en-US"/>
        </w:rPr>
      </w:pPr>
    </w:p>
    <w:p w14:paraId="4E121D86" w14:textId="77777777" w:rsidR="008622F7" w:rsidRDefault="008622F7">
      <w:pPr>
        <w:autoSpaceDE/>
        <w:autoSpaceDN/>
        <w:spacing w:after="200" w:line="276" w:lineRule="auto"/>
        <w:rPr>
          <w:b/>
          <w:sz w:val="24"/>
          <w:szCs w:val="24"/>
          <w:lang w:val="en-US"/>
        </w:rPr>
      </w:pPr>
    </w:p>
    <w:p w14:paraId="280387A1" w14:textId="77777777" w:rsidR="008622F7" w:rsidRDefault="008622F7">
      <w:pPr>
        <w:autoSpaceDE/>
        <w:autoSpaceDN/>
        <w:spacing w:after="200" w:line="276" w:lineRule="auto"/>
        <w:rPr>
          <w:b/>
          <w:sz w:val="24"/>
          <w:szCs w:val="24"/>
          <w:lang w:val="en-US"/>
        </w:rPr>
      </w:pPr>
    </w:p>
    <w:p w14:paraId="2A76FF2F" w14:textId="77777777" w:rsidR="008622F7" w:rsidRDefault="008622F7">
      <w:pPr>
        <w:autoSpaceDE/>
        <w:autoSpaceDN/>
        <w:spacing w:after="200" w:line="276" w:lineRule="auto"/>
        <w:rPr>
          <w:b/>
          <w:sz w:val="24"/>
          <w:szCs w:val="24"/>
          <w:lang w:val="en-US"/>
        </w:rPr>
      </w:pPr>
    </w:p>
    <w:p w14:paraId="322883CB" w14:textId="77777777" w:rsidR="008622F7" w:rsidRDefault="008622F7">
      <w:pPr>
        <w:autoSpaceDE/>
        <w:autoSpaceDN/>
        <w:spacing w:after="200" w:line="276" w:lineRule="auto"/>
        <w:rPr>
          <w:b/>
          <w:sz w:val="24"/>
          <w:szCs w:val="24"/>
          <w:lang w:val="en-US"/>
        </w:rPr>
      </w:pPr>
    </w:p>
    <w:p w14:paraId="5754D4CB" w14:textId="38D5FB48" w:rsidR="003E6D3C" w:rsidRPr="008622F7" w:rsidRDefault="008622F7" w:rsidP="00992623">
      <w:pPr>
        <w:autoSpaceDE/>
        <w:autoSpaceDN/>
        <w:spacing w:after="200" w:line="480" w:lineRule="auto"/>
        <w:rPr>
          <w:sz w:val="24"/>
          <w:szCs w:val="24"/>
          <w:lang w:val="en-US"/>
        </w:rPr>
      </w:pPr>
      <w:r>
        <w:rPr>
          <w:color w:val="231F20"/>
          <w:sz w:val="24"/>
          <w:szCs w:val="24"/>
          <w:lang w:val="en-US"/>
        </w:rPr>
        <w:t>Five</w:t>
      </w:r>
      <w:r w:rsidRPr="008622F7">
        <w:rPr>
          <w:color w:val="231F20"/>
          <w:sz w:val="24"/>
          <w:szCs w:val="24"/>
          <w:lang w:val="en-US"/>
        </w:rPr>
        <w:t xml:space="preserve"> studies were included in addition to the current trial</w:t>
      </w:r>
      <w:r>
        <w:rPr>
          <w:color w:val="231F20"/>
          <w:sz w:val="24"/>
          <w:szCs w:val="24"/>
          <w:lang w:val="en-US"/>
        </w:rPr>
        <w:t xml:space="preserve">. </w:t>
      </w:r>
      <w:r w:rsidR="00274C0B">
        <w:rPr>
          <w:color w:val="231F20"/>
          <w:sz w:val="24"/>
          <w:szCs w:val="24"/>
          <w:lang w:val="en-US"/>
        </w:rPr>
        <w:t>Two</w:t>
      </w:r>
      <w:r>
        <w:rPr>
          <w:color w:val="231F20"/>
          <w:sz w:val="24"/>
          <w:szCs w:val="24"/>
          <w:lang w:val="en-US"/>
        </w:rPr>
        <w:t xml:space="preserve"> </w:t>
      </w:r>
      <w:r w:rsidR="00274C0B">
        <w:rPr>
          <w:color w:val="231F20"/>
          <w:sz w:val="24"/>
          <w:szCs w:val="24"/>
          <w:lang w:val="en-US"/>
        </w:rPr>
        <w:t>were</w:t>
      </w:r>
      <w:r>
        <w:rPr>
          <w:color w:val="231F20"/>
          <w:sz w:val="24"/>
          <w:szCs w:val="24"/>
          <w:lang w:val="en-US"/>
        </w:rPr>
        <w:t xml:space="preserve"> identified in CENTRAL,</w:t>
      </w:r>
      <w:r w:rsidR="00E209AD">
        <w:rPr>
          <w:color w:val="231F20"/>
          <w:sz w:val="24"/>
          <w:szCs w:val="24"/>
          <w:lang w:val="en-US"/>
        </w:rPr>
        <w:fldChar w:fldCharType="begin"/>
      </w:r>
      <w:r w:rsidR="008E7C45">
        <w:rPr>
          <w:color w:val="231F20"/>
          <w:sz w:val="24"/>
          <w:szCs w:val="24"/>
          <w:lang w:val="en-US"/>
        </w:rPr>
        <w:instrText xml:space="preserve"> ADDIN ZOTERO_ITEM CSL_CITATION {"citationID":"VZmnnqUd","properties":{"formattedCitation":"{\\rtf \\super 19\\nosupersub{}}","plainCitation":"19"},"citationItems":[{"id":405,"uris":["http://zotero.org/users/325870/items/KN2N9M5A"],"uri":["http://zotero.org/users/325870/items/KN2N9M5A"],"itemData":{"id":405,"type":"article-journal","title":"Reduction of perioperative blood loss during endoprosthetic replacement of large joints","container-title":"General Reanimatology","page":"34-37","volume":"7","issue":"4","archive_location":"CN-01034749","abstract":"to  define  the optimal  tranexamic  acid\n  dosage\n regimen  to reduce perioperative  blood\n  loss\n during  total endo-\nprosthetic  hip joint  replacement\n  (TEHJR).\n  Subjects\n  and\n  methods.\n  A  randomized  controlled  trial  enrolled  90  patients\nadmitted  for\n  elective\n  primary  cementless  TEHJR. Prior  to\n  surgery,\n  all  the patients\n  were\n given\n  an  intravenous   bolus\ninjection  of  tranexamic  acid  in  a  dose  of  1 g.  A  day  before\n  surgery,\n  the patients\n  were\n divided\n into  3 groups  of  30  sub-\njects\n  each.  In Group  1, tranexamic  acid  was  administered  only  before  incision  of the\n skin.\n  In Group 2, a second  bolus\nof  tranexamic  acid  1 g  was  injected  3  hours  after  start  of\n  surgery.\n  In Group 3,  1 g  of  tranexamic  acid  was  readminis-\ntered  6 hours\n following\n surgery\n  if drainage  blood\n loss\n volume  exceeded  200  ml.\n Results.\n  No\n statistically\n significant\n   dif-\nferences\n  were\n found  between  the  study  patient groups  in terms  of the  amount  of  blood\n  loss,\n the  blood\n  levels\n  of hemo-\nglobin,\n  needs  for  hemotransfusion   therapy,  and the  frequency   of  postoperative  complications.\n  Conclusion.\n  A  second\nbolus  of tranexamic  acid  1 g does  not reduce  the amount  of  blood\n  loss\n as  compared  to a\n single\n preoperative  bolus  dose\nof  tranexamic  acid  1  g  during\n  elective\n  primary  cementless\n  TEHJP.\n  Key\n  words:\n  tranexamic  acid,  endoprosthetic  hip\njoint  replacement,  blood\n  loss.","DOI":"http://dx.doi.org/10.15360/1813-9779-2011-4-34","author":[{"family":"Borisov","given":"D.B."},{"family":"Yudin","given":"S.V."},{"family":"Krylov","given":"O.V."},{"family":"Markov","given":"B.B."},{"family":"Istomina","given":"N.A."}],"issued":{"date-parts":[["2011"]]}}}],"schema":"https://github.com/citation-style-language/schema/raw/master/csl-citation.json"} </w:instrText>
      </w:r>
      <w:r w:rsidR="00E209AD">
        <w:rPr>
          <w:color w:val="231F20"/>
          <w:sz w:val="24"/>
          <w:szCs w:val="24"/>
          <w:lang w:val="en-US"/>
        </w:rPr>
        <w:fldChar w:fldCharType="separate"/>
      </w:r>
      <w:r w:rsidR="008E7C45" w:rsidRPr="00062E34">
        <w:rPr>
          <w:sz w:val="24"/>
          <w:szCs w:val="24"/>
          <w:vertAlign w:val="superscript"/>
          <w:lang w:val="en-US"/>
        </w:rPr>
        <w:t>19</w:t>
      </w:r>
      <w:r w:rsidR="00E209AD">
        <w:rPr>
          <w:color w:val="231F20"/>
          <w:sz w:val="24"/>
          <w:szCs w:val="24"/>
          <w:lang w:val="en-US"/>
        </w:rPr>
        <w:fldChar w:fldCharType="end"/>
      </w:r>
      <w:r w:rsidR="00062E34" w:rsidRPr="00062E34">
        <w:rPr>
          <w:color w:val="231F20"/>
          <w:sz w:val="24"/>
          <w:szCs w:val="24"/>
          <w:vertAlign w:val="superscript"/>
          <w:lang w:val="en-US"/>
        </w:rPr>
        <w:t>,</w:t>
      </w:r>
      <w:r w:rsidR="00E209AD">
        <w:rPr>
          <w:color w:val="231F20"/>
          <w:sz w:val="24"/>
          <w:szCs w:val="24"/>
          <w:lang w:val="en-US"/>
        </w:rPr>
        <w:fldChar w:fldCharType="begin"/>
      </w:r>
      <w:r w:rsidR="008E7C45">
        <w:rPr>
          <w:color w:val="231F20"/>
          <w:sz w:val="24"/>
          <w:szCs w:val="24"/>
          <w:lang w:val="en-US"/>
        </w:rPr>
        <w:instrText xml:space="preserve"> ADDIN ZOTERO_ITEM CSL_CITATION {"citationID":"c5h8qEOE","properties":{"formattedCitation":"{\\rtf \\super 20\\nosupersub{}}","plainCitation":"20"},"citationItems":[{"id":1767,"uris":["http://zotero.org/users/325870/items/4X6DXB6J"],"uri":["http://zotero.org/users/325870/items/4X6DXB6J"],"itemData":{"id":1767,"type":"article-journal","title":"Tranexamic acid for reduction of blood loss during total hip arthroplasty","container-title":"The Journal of Arthroplasty","page":"1838-1843","volume":"27","issue":"10","source":"PubMed","abstract":"In this study, we evaluated the hemostatic effects of tranexamic acid (TNA), an antifibrinolytic drug, by examining the timing of its administration during total hip arthroplasty. One hundred seven patients being treated for osteoarthritis of the hip joint were randomly divided into 5 groups based on the timing of TNA administration. The intraoperative blood loss, postoperative blood loss, and hemoglobin of these patients who received TNA at different times during the procedure were monitored. We found that the intraoperative blood loss in the preoperative TNA administration groups was significantly lower than both control and postoperative TNA administration groups. Furthermore, 1 g TNA 10 minutes before surgery and 6 hours after the first administration was most effective for the reduction of blood loss during total hip arthroplasty.","DOI":"10.1016/j.arth.2012.04.024","ISSN":"1532-8406","note":"PMID: 22704229","journalAbbreviation":"J Arthroplasty","language":"eng","author":[{"family":"Imai","given":"Norio"},{"family":"Dohmae","given":"Yoichiro"},{"family":"Suda","given":"Ken"},{"family":"Miyasaka","given":"Dai"},{"family":"Ito","given":"Tomoyuki"},{"family":"Endo","given":"Naoto"}],"issued":{"date-parts":[["2012",12]]}}}],"schema":"https://github.com/citation-style-language/schema/raw/master/csl-citation.json"} </w:instrText>
      </w:r>
      <w:r w:rsidR="00E209AD">
        <w:rPr>
          <w:color w:val="231F20"/>
          <w:sz w:val="24"/>
          <w:szCs w:val="24"/>
          <w:lang w:val="en-US"/>
        </w:rPr>
        <w:fldChar w:fldCharType="separate"/>
      </w:r>
      <w:r w:rsidR="008E7C45" w:rsidRPr="008E7C45">
        <w:rPr>
          <w:sz w:val="24"/>
          <w:szCs w:val="24"/>
          <w:vertAlign w:val="superscript"/>
        </w:rPr>
        <w:t>20</w:t>
      </w:r>
      <w:r w:rsidR="00E209AD">
        <w:rPr>
          <w:color w:val="231F20"/>
          <w:sz w:val="24"/>
          <w:szCs w:val="24"/>
          <w:lang w:val="en-US"/>
        </w:rPr>
        <w:fldChar w:fldCharType="end"/>
      </w:r>
      <w:r>
        <w:rPr>
          <w:color w:val="231F20"/>
          <w:sz w:val="24"/>
          <w:szCs w:val="24"/>
          <w:lang w:val="en-US"/>
        </w:rPr>
        <w:t xml:space="preserve"> one in MEDLINE,</w:t>
      </w:r>
      <w:r w:rsidR="00E209AD">
        <w:rPr>
          <w:color w:val="231F20"/>
          <w:sz w:val="24"/>
          <w:szCs w:val="24"/>
          <w:lang w:val="en-US"/>
        </w:rPr>
        <w:fldChar w:fldCharType="begin"/>
      </w:r>
      <w:r w:rsidR="008E7C45">
        <w:rPr>
          <w:color w:val="231F20"/>
          <w:sz w:val="24"/>
          <w:szCs w:val="24"/>
          <w:lang w:val="en-US"/>
        </w:rPr>
        <w:instrText xml:space="preserve"> ADDIN ZOTERO_ITEM CSL_CITATION {"citationID":"AuQqkkp3","properties":{"formattedCitation":"{\\rtf \\super 21\\nosupersub{}}","plainCitation":"21"},"citationItems":[{"id":157,"uris":["http://zotero.org/users/325870/items/9V8WSMZH"],"uri":["http://zotero.org/users/325870/items/9V8WSMZH"],"itemData":{"id":157,"type":"article-journal","title":"Tranexamic acid compared with placebo for reducing total blood loss in hip replacement surgery: a randomized clinical trial","container-title":"Anesthesia &amp; Analgesia","page":"986-995","volume":"122","issue":"4","source":"CrossRef","DOI":"10.1213/ANE.0000000000001159","ISSN":"0003-2999","shortTitle":"Tranexamic Acid Compared with Placebo for Reducing Total Blood Loss in Hip Replacement Surgery","language":"en","author":[{"family":"Barrachina","given":"Borja"},{"family":"Lopez-Picado","given":"Amanda"},{"family":"Remon","given":"Maria"},{"family":"Fondarella","given":"Ana"},{"family":"Iriarte","given":"Ibai"},{"family":"Bastida","given":"Rebeca"},{"family":"Rodríguez-Gascón","given":"Alicia"},{"family":"Achaerandio","given":"Maria Aranzazu"},{"family":"Iturricastillo","given":"Maria Carmen"},{"family":"Aizpuru","given":"Felipe"},{"family":"Valero","given":"Cesar Augusto"},{"family":"Tobalina","given":"Ricardo"},{"family":"Hernanz","given":"Roberto"}],"issued":{"date-parts":[["2016",4]]}}}],"schema":"https://github.com/citation-style-language/schema/raw/master/csl-citation.json"} </w:instrText>
      </w:r>
      <w:r w:rsidR="00E209AD">
        <w:rPr>
          <w:color w:val="231F20"/>
          <w:sz w:val="24"/>
          <w:szCs w:val="24"/>
          <w:lang w:val="en-US"/>
        </w:rPr>
        <w:fldChar w:fldCharType="separate"/>
      </w:r>
      <w:r w:rsidR="008E7C45" w:rsidRPr="008E7C45">
        <w:rPr>
          <w:sz w:val="24"/>
          <w:szCs w:val="24"/>
          <w:vertAlign w:val="superscript"/>
        </w:rPr>
        <w:t>21</w:t>
      </w:r>
      <w:r w:rsidR="00E209AD">
        <w:rPr>
          <w:color w:val="231F20"/>
          <w:sz w:val="24"/>
          <w:szCs w:val="24"/>
          <w:lang w:val="en-US"/>
        </w:rPr>
        <w:fldChar w:fldCharType="end"/>
      </w:r>
      <w:r>
        <w:rPr>
          <w:color w:val="231F20"/>
          <w:sz w:val="24"/>
          <w:szCs w:val="24"/>
          <w:lang w:val="en-US"/>
        </w:rPr>
        <w:t xml:space="preserve"> </w:t>
      </w:r>
      <w:r w:rsidR="00E209AD">
        <w:rPr>
          <w:color w:val="231F20"/>
          <w:sz w:val="24"/>
          <w:szCs w:val="24"/>
          <w:lang w:val="en-US"/>
        </w:rPr>
        <w:t>one</w:t>
      </w:r>
      <w:r>
        <w:rPr>
          <w:color w:val="231F20"/>
          <w:sz w:val="24"/>
          <w:szCs w:val="24"/>
          <w:lang w:val="en-US"/>
        </w:rPr>
        <w:t xml:space="preserve"> in MEDLINE and CENTRAL</w:t>
      </w:r>
      <w:r w:rsidR="00E209AD">
        <w:rPr>
          <w:color w:val="231F20"/>
          <w:sz w:val="24"/>
          <w:szCs w:val="24"/>
          <w:lang w:val="en-US"/>
        </w:rPr>
        <w:t xml:space="preserve"> </w:t>
      </w:r>
      <w:r w:rsidR="00F12B3C">
        <w:rPr>
          <w:color w:val="231F20"/>
          <w:sz w:val="24"/>
          <w:szCs w:val="24"/>
          <w:lang w:val="en-US"/>
        </w:rPr>
        <w:fldChar w:fldCharType="begin"/>
      </w:r>
      <w:r w:rsidR="008E7C45">
        <w:rPr>
          <w:color w:val="231F20"/>
          <w:sz w:val="24"/>
          <w:szCs w:val="24"/>
          <w:lang w:val="en-US"/>
        </w:rPr>
        <w:instrText xml:space="preserve"> ADDIN ZOTERO_ITEM CSL_CITATION {"citationID":"5NsJkEt5","properties":{"formattedCitation":"{\\rtf \\super 22\\nosupersub{}}","plainCitation":"22"},"citationItems":[{"id":429,"uris":["http://zotero.org/users/325870/items/MG3ZH84I"],"uri":["http://zotero.org/users/325870/items/MG3ZH84I"],"itemData":{"id":429,"type":"article-journal","title":"Single tranexamic acid dose to reduce perioperative morbidity in primary total hip replacement: a randomised clinical trial","container-title":"Hip Int","page":"63-68","volume":"24","issue":"1","source":"PubMed","abstract":"INTRODUCTION: Although prophylactic tranexamic acid (TXA) is a safe, low-cost option to reduce bleeding in patients undergoing total hip replacement (THR), its optimal dose and duration is unknown. We compared the safety and effectiveness of TXA given as either a single injection or continuous infusion in THR patients, hypothesising that a second TXA dose would not offer any clinical advantages over the single injection.\nMATERIALS AND METHODS: One hundred and sixty-four patients undergoing unilateral THR were randomised. Exclusion criteria were history of thromboembolic events (TE), epilepsy, thrombophilia, and severe chronic renal failure. Patients received either a single dose of 30 mg/kg TXA on induction of surgery (one shot [OS] group), or a loading dose of 10 mg/kg TXA followed two hours later by a continuous infusion of 2 mg/kg per hour for 20 hours (one day [OD] group). The primary outcome was blood loss (BL) calculated from haematocrit levels. Secondary outcomes were mortality and TE events within 90 days postoperatively.\nRESULTS: All patients completed treatment, with none lost to follow-up. Mean BL was 1107 ± 508 ml in Group OS and 1047 ± 442 ml in Group OD (p = 0.43). No patients were transfused prior to Day 10 postoperatively. At final follow-up, no patients had died, and there were no occurrences of major TE.\nCONCLUSION: The 30 mg/kg TXA single shot was as safe as continuous infusion. As it is also less cumbersome, we recommend it as part of routine care in THR patients.","DOI":"10.5301/hipint.5000090","ISSN":"1724-6067","note":"PMID: 24062227","shortTitle":"Single tranexamic acid dose to reduce perioperative morbidity in primary total hip replacement","journalAbbreviation":"Hip Int","language":"eng","author":[{"family":"Hourlier","given":"Hervé"},{"family":"Fennema","given":"Peter"}],"issued":{"date-parts":[["2014",2]]}}}],"schema":"https://github.com/citation-style-language/schema/raw/master/csl-citation.json"} </w:instrText>
      </w:r>
      <w:r w:rsidR="00F12B3C">
        <w:rPr>
          <w:color w:val="231F20"/>
          <w:sz w:val="24"/>
          <w:szCs w:val="24"/>
          <w:lang w:val="en-US"/>
        </w:rPr>
        <w:fldChar w:fldCharType="separate"/>
      </w:r>
      <w:r w:rsidR="008E7C45" w:rsidRPr="00062E34">
        <w:rPr>
          <w:sz w:val="24"/>
          <w:szCs w:val="24"/>
          <w:vertAlign w:val="superscript"/>
          <w:lang w:val="en-US"/>
        </w:rPr>
        <w:t>22</w:t>
      </w:r>
      <w:r w:rsidR="00F12B3C">
        <w:rPr>
          <w:color w:val="231F20"/>
          <w:sz w:val="24"/>
          <w:szCs w:val="24"/>
          <w:lang w:val="en-US"/>
        </w:rPr>
        <w:fldChar w:fldCharType="end"/>
      </w:r>
      <w:r>
        <w:rPr>
          <w:color w:val="231F20"/>
          <w:sz w:val="24"/>
          <w:szCs w:val="24"/>
          <w:lang w:val="en-US"/>
        </w:rPr>
        <w:t xml:space="preserve"> and one w</w:t>
      </w:r>
      <w:r w:rsidR="00E209AD">
        <w:rPr>
          <w:color w:val="231F20"/>
          <w:sz w:val="24"/>
          <w:szCs w:val="24"/>
          <w:lang w:val="en-US"/>
        </w:rPr>
        <w:t xml:space="preserve">as </w:t>
      </w:r>
      <w:r w:rsidR="0033004F">
        <w:rPr>
          <w:color w:val="231F20"/>
          <w:sz w:val="24"/>
          <w:szCs w:val="24"/>
          <w:lang w:val="en-US"/>
        </w:rPr>
        <w:t>provided by a study investigator.</w:t>
      </w:r>
      <w:r w:rsidR="0033004F">
        <w:rPr>
          <w:color w:val="231F20"/>
          <w:sz w:val="24"/>
          <w:szCs w:val="24"/>
          <w:lang w:val="en-US"/>
        </w:rPr>
        <w:fldChar w:fldCharType="begin"/>
      </w:r>
      <w:r w:rsidR="008E7C45">
        <w:rPr>
          <w:color w:val="231F20"/>
          <w:sz w:val="24"/>
          <w:szCs w:val="24"/>
          <w:lang w:val="en-US"/>
        </w:rPr>
        <w:instrText xml:space="preserve"> ADDIN ZOTERO_ITEM CSL_CITATION {"citationID":"GH9WFJkG","properties":{"formattedCitation":"{\\rtf \\super 23\\nosupersub{}}","plainCitation":"23"},"citationItems":[{"id":401,"uris":["http://zotero.org/users/325870/items/KGVWIX8J"],"uri":["http://zotero.org/users/325870/items/KGVWIX8J"],"itemData":{"id":401,"type":"article-journal","title":"Choice of a tranexamic acid dose regimen during endoprosthetic replacement of joints","container-title":"Messenger of Anesthesiology and Resuscitation","page":"41-44","volume":"8","issue":"5","abstract":"A randomized controlled study has established that during primary uncemented total hip replacement, continuous maintenance infusion of tranexamic acid after preoperative bolus injection of the agent allows a reduction in drainage blood loss as compared to a single injection of tranexamic acid prior to skin incision","ISSN":"ISSN 2078-5658","author":[{"family":"Borisov","given":"D.B."},{"family":"Yudin","given":"S.V."},{"family":"Lebedev","given":"L.A."},{"family":"Vardanashvili","given":"V.K."},{"family":"Istomina","given":"N.A."}],"issued":{"date-parts":[["2011"]]}}}],"schema":"https://github.com/citation-style-language/schema/raw/master/csl-citation.json"} </w:instrText>
      </w:r>
      <w:r w:rsidR="0033004F">
        <w:rPr>
          <w:color w:val="231F20"/>
          <w:sz w:val="24"/>
          <w:szCs w:val="24"/>
          <w:lang w:val="en-US"/>
        </w:rPr>
        <w:fldChar w:fldCharType="separate"/>
      </w:r>
      <w:r w:rsidR="008E7C45" w:rsidRPr="00062E34">
        <w:rPr>
          <w:sz w:val="24"/>
          <w:szCs w:val="24"/>
          <w:vertAlign w:val="superscript"/>
          <w:lang w:val="en-US"/>
        </w:rPr>
        <w:t>23</w:t>
      </w:r>
      <w:r w:rsidR="0033004F">
        <w:rPr>
          <w:color w:val="231F20"/>
          <w:sz w:val="24"/>
          <w:szCs w:val="24"/>
          <w:lang w:val="en-US"/>
        </w:rPr>
        <w:fldChar w:fldCharType="end"/>
      </w:r>
    </w:p>
    <w:p w14:paraId="6C74459D" w14:textId="77777777" w:rsidR="00405CF3" w:rsidRDefault="00405CF3">
      <w:pPr>
        <w:autoSpaceDE/>
        <w:autoSpaceDN/>
        <w:spacing w:after="200" w:line="276" w:lineRule="auto"/>
        <w:rPr>
          <w:b/>
          <w:sz w:val="24"/>
          <w:szCs w:val="24"/>
          <w:lang w:val="en-US"/>
        </w:rPr>
      </w:pPr>
      <w:r>
        <w:rPr>
          <w:b/>
          <w:sz w:val="24"/>
          <w:szCs w:val="24"/>
          <w:lang w:val="en-US"/>
        </w:rPr>
        <w:br w:type="page"/>
      </w:r>
    </w:p>
    <w:p w14:paraId="439F7805" w14:textId="77777777" w:rsidR="00405CF3" w:rsidRDefault="00405CF3" w:rsidP="00B625C2">
      <w:pPr>
        <w:pStyle w:val="Heading1"/>
        <w:rPr>
          <w:szCs w:val="24"/>
          <w:lang w:val="en-US"/>
        </w:rPr>
      </w:pPr>
      <w:bookmarkStart w:id="9" w:name="_Toc482278816"/>
      <w:r w:rsidRPr="00405CF3">
        <w:rPr>
          <w:lang w:val="en-US"/>
        </w:rPr>
        <w:lastRenderedPageBreak/>
        <w:t>Summarized results of individual studies included in the meta-analysis</w:t>
      </w:r>
      <w:bookmarkEnd w:id="9"/>
      <w:r w:rsidRPr="00405CF3">
        <w:rPr>
          <w:szCs w:val="24"/>
          <w:lang w:val="en-US"/>
        </w:rPr>
        <w:t xml:space="preserve"> </w:t>
      </w:r>
    </w:p>
    <w:p w14:paraId="63D1922B" w14:textId="77777777" w:rsidR="00B625C2" w:rsidRPr="00B625C2" w:rsidRDefault="00B625C2" w:rsidP="00B625C2">
      <w:pPr>
        <w:rPr>
          <w:lang w:val="en-US"/>
        </w:rPr>
      </w:pPr>
    </w:p>
    <w:p w14:paraId="57CC2584" w14:textId="77777777" w:rsidR="00405CF3" w:rsidRPr="00364598" w:rsidRDefault="00405CF3" w:rsidP="00405CF3">
      <w:pPr>
        <w:spacing w:line="480" w:lineRule="auto"/>
        <w:rPr>
          <w:sz w:val="24"/>
          <w:lang w:val="en-US"/>
        </w:rPr>
      </w:pPr>
      <w:r w:rsidRPr="00364598">
        <w:rPr>
          <w:sz w:val="24"/>
          <w:vertAlign w:val="superscript"/>
          <w:lang w:val="en-US"/>
        </w:rPr>
        <w:t>*</w:t>
      </w:r>
      <w:r>
        <w:rPr>
          <w:sz w:val="24"/>
          <w:lang w:val="en-US"/>
        </w:rPr>
        <w:t xml:space="preserve">One patient did not undergo surgery; </w:t>
      </w:r>
      <w:r w:rsidRPr="00364598">
        <w:rPr>
          <w:sz w:val="24"/>
          <w:vertAlign w:val="superscript"/>
          <w:lang w:val="en-US"/>
        </w:rPr>
        <w:t>%</w:t>
      </w:r>
      <w:r>
        <w:rPr>
          <w:sz w:val="24"/>
          <w:lang w:val="en-US"/>
        </w:rPr>
        <w:t xml:space="preserve">one patient </w:t>
      </w:r>
      <w:r w:rsidRPr="00364598">
        <w:rPr>
          <w:sz w:val="24"/>
          <w:lang w:val="en-US"/>
        </w:rPr>
        <w:t>withdrew his consent and refused participation.</w:t>
      </w:r>
    </w:p>
    <w:p w14:paraId="4DC820A7" w14:textId="77777777" w:rsidR="00405CF3" w:rsidRDefault="00405CF3" w:rsidP="00405CF3">
      <w:pPr>
        <w:rPr>
          <w:sz w:val="24"/>
          <w:lang w:val="en-US"/>
        </w:rPr>
      </w:pPr>
    </w:p>
    <w:tbl>
      <w:tblPr>
        <w:tblpPr w:leftFromText="180" w:rightFromText="180" w:vertAnchor="page" w:horzAnchor="margin" w:tblpY="3533"/>
        <w:tblW w:w="9356" w:type="dxa"/>
        <w:tblLayout w:type="fixed"/>
        <w:tblCellMar>
          <w:left w:w="0" w:type="dxa"/>
          <w:right w:w="0" w:type="dxa"/>
        </w:tblCellMar>
        <w:tblLook w:val="0000" w:firstRow="0" w:lastRow="0" w:firstColumn="0" w:lastColumn="0" w:noHBand="0" w:noVBand="0"/>
      </w:tblPr>
      <w:tblGrid>
        <w:gridCol w:w="1225"/>
        <w:gridCol w:w="522"/>
        <w:gridCol w:w="1268"/>
        <w:gridCol w:w="1268"/>
        <w:gridCol w:w="1268"/>
        <w:gridCol w:w="1268"/>
        <w:gridCol w:w="1268"/>
        <w:gridCol w:w="1269"/>
      </w:tblGrid>
      <w:tr w:rsidR="00405CF3" w:rsidRPr="000A6D40" w14:paraId="5454A187" w14:textId="77777777" w:rsidTr="00405CF3">
        <w:trPr>
          <w:trHeight w:val="243"/>
        </w:trPr>
        <w:tc>
          <w:tcPr>
            <w:tcW w:w="1225" w:type="dxa"/>
            <w:tcBorders>
              <w:top w:val="single" w:sz="4" w:space="0" w:color="auto"/>
              <w:bottom w:val="single" w:sz="4" w:space="0" w:color="auto"/>
            </w:tcBorders>
          </w:tcPr>
          <w:p w14:paraId="11998F7F" w14:textId="77777777" w:rsidR="00405CF3" w:rsidRPr="007D59DC" w:rsidRDefault="00405CF3" w:rsidP="00B625C2">
            <w:pPr>
              <w:rPr>
                <w:rFonts w:eastAsia="Arial Unicode MS"/>
                <w:lang w:val="en-US"/>
              </w:rPr>
            </w:pPr>
            <w:r w:rsidRPr="007D59DC">
              <w:rPr>
                <w:lang w:val="en-US"/>
              </w:rPr>
              <w:t>Reference</w:t>
            </w:r>
          </w:p>
        </w:tc>
        <w:tc>
          <w:tcPr>
            <w:tcW w:w="522" w:type="dxa"/>
            <w:tcBorders>
              <w:top w:val="single" w:sz="4" w:space="0" w:color="auto"/>
              <w:bottom w:val="single" w:sz="4" w:space="0" w:color="auto"/>
            </w:tcBorders>
          </w:tcPr>
          <w:p w14:paraId="4B22B308" w14:textId="77777777" w:rsidR="00405CF3" w:rsidRPr="007D59DC" w:rsidRDefault="00405CF3" w:rsidP="00B625C2">
            <w:pPr>
              <w:jc w:val="center"/>
              <w:rPr>
                <w:rFonts w:eastAsia="Arial Unicode MS"/>
                <w:kern w:val="28"/>
                <w:lang w:val="en-US"/>
              </w:rPr>
            </w:pPr>
            <w:r w:rsidRPr="007D59DC">
              <w:rPr>
                <w:kern w:val="28"/>
                <w:lang w:val="en-US"/>
              </w:rPr>
              <w:t>Year</w:t>
            </w:r>
          </w:p>
        </w:tc>
        <w:tc>
          <w:tcPr>
            <w:tcW w:w="2536" w:type="dxa"/>
            <w:gridSpan w:val="2"/>
            <w:tcBorders>
              <w:top w:val="single" w:sz="4" w:space="0" w:color="auto"/>
              <w:bottom w:val="single" w:sz="4" w:space="0" w:color="auto"/>
            </w:tcBorders>
          </w:tcPr>
          <w:p w14:paraId="0D3B2715" w14:textId="77777777" w:rsidR="00405CF3" w:rsidRPr="007D59DC" w:rsidRDefault="00405CF3" w:rsidP="00B625C2">
            <w:pPr>
              <w:jc w:val="center"/>
              <w:rPr>
                <w:rFonts w:eastAsia="Arial Unicode MS"/>
                <w:kern w:val="28"/>
                <w:lang w:val="en-US"/>
              </w:rPr>
            </w:pPr>
            <w:r w:rsidRPr="007D59DC">
              <w:rPr>
                <w:lang w:val="en-US"/>
              </w:rPr>
              <w:t>Number of patients available for analysis/ Number of patients randomized</w:t>
            </w:r>
          </w:p>
        </w:tc>
        <w:tc>
          <w:tcPr>
            <w:tcW w:w="2536" w:type="dxa"/>
            <w:gridSpan w:val="2"/>
            <w:tcBorders>
              <w:top w:val="single" w:sz="4" w:space="0" w:color="auto"/>
              <w:bottom w:val="single" w:sz="4" w:space="0" w:color="auto"/>
            </w:tcBorders>
          </w:tcPr>
          <w:p w14:paraId="3156F6B2" w14:textId="79E15502" w:rsidR="00405CF3" w:rsidRDefault="00405CF3" w:rsidP="00B625C2">
            <w:pPr>
              <w:jc w:val="center"/>
              <w:rPr>
                <w:lang w:val="en-US"/>
              </w:rPr>
            </w:pPr>
            <w:r w:rsidRPr="007D59DC">
              <w:rPr>
                <w:lang w:val="en-US"/>
              </w:rPr>
              <w:t>Perioperative</w:t>
            </w:r>
          </w:p>
          <w:p w14:paraId="7042C8A1" w14:textId="77777777" w:rsidR="00405CF3" w:rsidRPr="007D59DC" w:rsidRDefault="00405CF3" w:rsidP="00B625C2">
            <w:pPr>
              <w:jc w:val="center"/>
              <w:rPr>
                <w:lang w:val="en-US"/>
              </w:rPr>
            </w:pPr>
            <w:r w:rsidRPr="007D59DC">
              <w:rPr>
                <w:lang w:val="en-US"/>
              </w:rPr>
              <w:t>blood loss (ml)</w:t>
            </w:r>
          </w:p>
          <w:p w14:paraId="4D17AAA5" w14:textId="77777777" w:rsidR="00405CF3" w:rsidRPr="007D59DC" w:rsidRDefault="00405CF3" w:rsidP="00B625C2">
            <w:pPr>
              <w:jc w:val="center"/>
              <w:rPr>
                <w:lang w:val="en-US"/>
              </w:rPr>
            </w:pPr>
            <w:r w:rsidRPr="007D59DC">
              <w:rPr>
                <w:lang w:val="en-US"/>
              </w:rPr>
              <w:t>Mean (SD)</w:t>
            </w:r>
          </w:p>
          <w:p w14:paraId="1FFA53FC" w14:textId="77777777" w:rsidR="00405CF3" w:rsidRPr="007D59DC" w:rsidRDefault="00405CF3" w:rsidP="00B625C2">
            <w:pPr>
              <w:jc w:val="center"/>
              <w:rPr>
                <w:lang w:val="en-US"/>
              </w:rPr>
            </w:pPr>
          </w:p>
        </w:tc>
        <w:tc>
          <w:tcPr>
            <w:tcW w:w="2537" w:type="dxa"/>
            <w:gridSpan w:val="2"/>
            <w:tcBorders>
              <w:top w:val="single" w:sz="4" w:space="0" w:color="auto"/>
              <w:bottom w:val="single" w:sz="4" w:space="0" w:color="auto"/>
            </w:tcBorders>
          </w:tcPr>
          <w:p w14:paraId="6174AE6E" w14:textId="77777777" w:rsidR="00405CF3" w:rsidRPr="007D59DC" w:rsidRDefault="00405CF3" w:rsidP="00B625C2">
            <w:pPr>
              <w:jc w:val="center"/>
              <w:rPr>
                <w:lang w:val="en-US"/>
              </w:rPr>
            </w:pPr>
            <w:r w:rsidRPr="007D59DC">
              <w:rPr>
                <w:lang w:val="en-US"/>
              </w:rPr>
              <w:t>Number of patients transfused with allogeneic red blood cell</w:t>
            </w:r>
          </w:p>
        </w:tc>
      </w:tr>
      <w:tr w:rsidR="00405CF3" w:rsidRPr="007D59DC" w14:paraId="3C4A3A3D" w14:textId="77777777" w:rsidTr="00405CF3">
        <w:trPr>
          <w:trHeight w:val="243"/>
        </w:trPr>
        <w:tc>
          <w:tcPr>
            <w:tcW w:w="1225" w:type="dxa"/>
            <w:tcBorders>
              <w:top w:val="single" w:sz="4" w:space="0" w:color="auto"/>
              <w:bottom w:val="single" w:sz="4" w:space="0" w:color="auto"/>
            </w:tcBorders>
          </w:tcPr>
          <w:p w14:paraId="4DC5A3A4" w14:textId="77777777" w:rsidR="00405CF3" w:rsidRPr="007D59DC" w:rsidRDefault="00405CF3" w:rsidP="00B625C2">
            <w:pPr>
              <w:rPr>
                <w:lang w:val="en-US"/>
              </w:rPr>
            </w:pPr>
          </w:p>
        </w:tc>
        <w:tc>
          <w:tcPr>
            <w:tcW w:w="522" w:type="dxa"/>
            <w:tcBorders>
              <w:top w:val="single" w:sz="4" w:space="0" w:color="auto"/>
              <w:bottom w:val="single" w:sz="4" w:space="0" w:color="auto"/>
            </w:tcBorders>
          </w:tcPr>
          <w:p w14:paraId="32239E20" w14:textId="77777777" w:rsidR="00405CF3" w:rsidRPr="007D59DC" w:rsidRDefault="00405CF3" w:rsidP="00B625C2">
            <w:pPr>
              <w:jc w:val="center"/>
              <w:rPr>
                <w:kern w:val="28"/>
                <w:lang w:val="en-US"/>
              </w:rPr>
            </w:pPr>
          </w:p>
        </w:tc>
        <w:tc>
          <w:tcPr>
            <w:tcW w:w="1268" w:type="dxa"/>
            <w:tcBorders>
              <w:top w:val="single" w:sz="4" w:space="0" w:color="auto"/>
              <w:bottom w:val="single" w:sz="4" w:space="0" w:color="auto"/>
            </w:tcBorders>
          </w:tcPr>
          <w:p w14:paraId="1B75F969" w14:textId="77777777" w:rsidR="00405CF3" w:rsidRPr="007D59DC" w:rsidRDefault="00405CF3" w:rsidP="00B625C2">
            <w:pPr>
              <w:jc w:val="center"/>
              <w:rPr>
                <w:lang w:val="en-US"/>
              </w:rPr>
            </w:pPr>
            <w:r w:rsidRPr="007D59DC">
              <w:rPr>
                <w:lang w:val="en-US"/>
              </w:rPr>
              <w:t>Peri</w:t>
            </w:r>
            <w:r>
              <w:rPr>
                <w:lang w:val="en-US"/>
              </w:rPr>
              <w:t>operative</w:t>
            </w:r>
            <w:r w:rsidRPr="007D59DC">
              <w:rPr>
                <w:lang w:val="en-US"/>
              </w:rPr>
              <w:t xml:space="preserve"> group</w:t>
            </w:r>
          </w:p>
          <w:p w14:paraId="17EDE513" w14:textId="77777777" w:rsidR="00405CF3" w:rsidRPr="007D59DC" w:rsidRDefault="00405CF3" w:rsidP="00B625C2">
            <w:pPr>
              <w:jc w:val="center"/>
              <w:rPr>
                <w:kern w:val="28"/>
                <w:lang w:val="en-US"/>
              </w:rPr>
            </w:pPr>
          </w:p>
        </w:tc>
        <w:tc>
          <w:tcPr>
            <w:tcW w:w="1268" w:type="dxa"/>
            <w:tcBorders>
              <w:top w:val="single" w:sz="4" w:space="0" w:color="auto"/>
              <w:bottom w:val="single" w:sz="4" w:space="0" w:color="auto"/>
            </w:tcBorders>
          </w:tcPr>
          <w:p w14:paraId="1C79B8A9" w14:textId="77777777" w:rsidR="00405CF3" w:rsidRPr="007D59DC" w:rsidRDefault="00405CF3" w:rsidP="00B625C2">
            <w:pPr>
              <w:jc w:val="center"/>
              <w:rPr>
                <w:lang w:val="en-US"/>
              </w:rPr>
            </w:pPr>
            <w:r>
              <w:rPr>
                <w:lang w:val="en-US"/>
              </w:rPr>
              <w:t>Preoperative</w:t>
            </w:r>
            <w:r w:rsidRPr="007D59DC">
              <w:rPr>
                <w:lang w:val="en-US"/>
              </w:rPr>
              <w:t xml:space="preserve">  group</w:t>
            </w:r>
          </w:p>
          <w:p w14:paraId="04ADEC10" w14:textId="77777777" w:rsidR="00405CF3" w:rsidRPr="007D59DC" w:rsidRDefault="00405CF3" w:rsidP="00B625C2">
            <w:pPr>
              <w:jc w:val="center"/>
              <w:rPr>
                <w:lang w:val="en-US"/>
              </w:rPr>
            </w:pPr>
          </w:p>
        </w:tc>
        <w:tc>
          <w:tcPr>
            <w:tcW w:w="1268" w:type="dxa"/>
            <w:tcBorders>
              <w:top w:val="single" w:sz="4" w:space="0" w:color="auto"/>
              <w:bottom w:val="single" w:sz="4" w:space="0" w:color="auto"/>
            </w:tcBorders>
          </w:tcPr>
          <w:p w14:paraId="1F45CBED" w14:textId="77777777" w:rsidR="00405CF3" w:rsidRPr="007D59DC" w:rsidRDefault="00405CF3" w:rsidP="00B625C2">
            <w:pPr>
              <w:jc w:val="center"/>
              <w:rPr>
                <w:lang w:val="en-US"/>
              </w:rPr>
            </w:pPr>
            <w:r w:rsidRPr="007D59DC">
              <w:rPr>
                <w:lang w:val="en-US"/>
              </w:rPr>
              <w:t>Peri</w:t>
            </w:r>
            <w:r>
              <w:rPr>
                <w:lang w:val="en-US"/>
              </w:rPr>
              <w:t>operative</w:t>
            </w:r>
            <w:r w:rsidRPr="007D59DC">
              <w:rPr>
                <w:lang w:val="en-US"/>
              </w:rPr>
              <w:t xml:space="preserve"> group</w:t>
            </w:r>
          </w:p>
          <w:p w14:paraId="53ACF9B8" w14:textId="77777777" w:rsidR="00405CF3" w:rsidRPr="007D59DC" w:rsidRDefault="00405CF3" w:rsidP="00B625C2">
            <w:pPr>
              <w:jc w:val="center"/>
              <w:rPr>
                <w:kern w:val="28"/>
                <w:lang w:val="en-US"/>
              </w:rPr>
            </w:pPr>
          </w:p>
        </w:tc>
        <w:tc>
          <w:tcPr>
            <w:tcW w:w="1268" w:type="dxa"/>
            <w:tcBorders>
              <w:top w:val="single" w:sz="4" w:space="0" w:color="auto"/>
              <w:bottom w:val="single" w:sz="4" w:space="0" w:color="auto"/>
            </w:tcBorders>
          </w:tcPr>
          <w:p w14:paraId="2DF4F1A5" w14:textId="77777777" w:rsidR="00405CF3" w:rsidRPr="007D59DC" w:rsidRDefault="00405CF3" w:rsidP="00B625C2">
            <w:pPr>
              <w:jc w:val="center"/>
              <w:rPr>
                <w:lang w:val="en-US"/>
              </w:rPr>
            </w:pPr>
            <w:r>
              <w:rPr>
                <w:lang w:val="en-US"/>
              </w:rPr>
              <w:t>Preoperative</w:t>
            </w:r>
            <w:r w:rsidRPr="007D59DC">
              <w:rPr>
                <w:lang w:val="en-US"/>
              </w:rPr>
              <w:t xml:space="preserve">  group</w:t>
            </w:r>
          </w:p>
          <w:p w14:paraId="28E70CB4" w14:textId="77777777" w:rsidR="00405CF3" w:rsidRPr="007D59DC" w:rsidRDefault="00405CF3" w:rsidP="00B625C2">
            <w:pPr>
              <w:jc w:val="center"/>
              <w:rPr>
                <w:lang w:val="en-US"/>
              </w:rPr>
            </w:pPr>
          </w:p>
        </w:tc>
        <w:tc>
          <w:tcPr>
            <w:tcW w:w="1268" w:type="dxa"/>
            <w:tcBorders>
              <w:top w:val="single" w:sz="4" w:space="0" w:color="auto"/>
              <w:bottom w:val="single" w:sz="4" w:space="0" w:color="auto"/>
            </w:tcBorders>
          </w:tcPr>
          <w:p w14:paraId="42DF0CFD" w14:textId="77777777" w:rsidR="00405CF3" w:rsidRPr="007D59DC" w:rsidRDefault="00405CF3" w:rsidP="00B625C2">
            <w:pPr>
              <w:jc w:val="center"/>
              <w:rPr>
                <w:lang w:val="en-US"/>
              </w:rPr>
            </w:pPr>
            <w:r w:rsidRPr="007D59DC">
              <w:rPr>
                <w:lang w:val="en-US"/>
              </w:rPr>
              <w:t>Peri</w:t>
            </w:r>
            <w:r>
              <w:rPr>
                <w:lang w:val="en-US"/>
              </w:rPr>
              <w:t>operative</w:t>
            </w:r>
            <w:r w:rsidRPr="007D59DC">
              <w:rPr>
                <w:lang w:val="en-US"/>
              </w:rPr>
              <w:t xml:space="preserve"> group</w:t>
            </w:r>
          </w:p>
          <w:p w14:paraId="02021736" w14:textId="77777777" w:rsidR="00405CF3" w:rsidRPr="007D59DC" w:rsidRDefault="00405CF3" w:rsidP="00B625C2">
            <w:pPr>
              <w:jc w:val="center"/>
              <w:rPr>
                <w:kern w:val="28"/>
                <w:lang w:val="en-US"/>
              </w:rPr>
            </w:pPr>
          </w:p>
        </w:tc>
        <w:tc>
          <w:tcPr>
            <w:tcW w:w="1269" w:type="dxa"/>
            <w:tcBorders>
              <w:top w:val="single" w:sz="4" w:space="0" w:color="auto"/>
              <w:bottom w:val="single" w:sz="4" w:space="0" w:color="auto"/>
            </w:tcBorders>
          </w:tcPr>
          <w:p w14:paraId="2541292B" w14:textId="77777777" w:rsidR="00405CF3" w:rsidRPr="007D59DC" w:rsidRDefault="00405CF3" w:rsidP="00B625C2">
            <w:pPr>
              <w:jc w:val="center"/>
              <w:rPr>
                <w:lang w:val="en-US"/>
              </w:rPr>
            </w:pPr>
            <w:r>
              <w:rPr>
                <w:lang w:val="en-US"/>
              </w:rPr>
              <w:t>Preoperative</w:t>
            </w:r>
            <w:r w:rsidRPr="007D59DC">
              <w:rPr>
                <w:lang w:val="en-US"/>
              </w:rPr>
              <w:t xml:space="preserve">  group</w:t>
            </w:r>
          </w:p>
          <w:p w14:paraId="4FD51317" w14:textId="77777777" w:rsidR="00405CF3" w:rsidRPr="007D59DC" w:rsidRDefault="00405CF3" w:rsidP="00B625C2">
            <w:pPr>
              <w:jc w:val="center"/>
              <w:rPr>
                <w:lang w:val="en-US"/>
              </w:rPr>
            </w:pPr>
          </w:p>
        </w:tc>
      </w:tr>
      <w:tr w:rsidR="00405CF3" w:rsidRPr="007D59DC" w14:paraId="121FD886" w14:textId="77777777" w:rsidTr="00405CF3">
        <w:trPr>
          <w:trHeight w:val="324"/>
        </w:trPr>
        <w:tc>
          <w:tcPr>
            <w:tcW w:w="1225" w:type="dxa"/>
            <w:tcBorders>
              <w:top w:val="single" w:sz="4" w:space="0" w:color="auto"/>
            </w:tcBorders>
          </w:tcPr>
          <w:p w14:paraId="06A90AAF" w14:textId="77777777" w:rsidR="00405CF3" w:rsidRPr="007D59DC" w:rsidRDefault="00405CF3" w:rsidP="00B625C2">
            <w:pPr>
              <w:rPr>
                <w:lang w:val="en-US"/>
              </w:rPr>
            </w:pPr>
          </w:p>
        </w:tc>
        <w:tc>
          <w:tcPr>
            <w:tcW w:w="522" w:type="dxa"/>
            <w:tcBorders>
              <w:top w:val="single" w:sz="4" w:space="0" w:color="auto"/>
            </w:tcBorders>
          </w:tcPr>
          <w:p w14:paraId="1E0B8ADB" w14:textId="77777777" w:rsidR="00405CF3" w:rsidRPr="007D59DC" w:rsidRDefault="00405CF3" w:rsidP="00B625C2">
            <w:pPr>
              <w:jc w:val="center"/>
              <w:rPr>
                <w:lang w:val="en-US"/>
              </w:rPr>
            </w:pPr>
          </w:p>
        </w:tc>
        <w:tc>
          <w:tcPr>
            <w:tcW w:w="1268" w:type="dxa"/>
            <w:tcBorders>
              <w:top w:val="single" w:sz="4" w:space="0" w:color="auto"/>
            </w:tcBorders>
          </w:tcPr>
          <w:p w14:paraId="3BDABEA3" w14:textId="77777777" w:rsidR="00405CF3" w:rsidRPr="007D59DC" w:rsidRDefault="00405CF3" w:rsidP="00B625C2">
            <w:pPr>
              <w:jc w:val="center"/>
              <w:rPr>
                <w:lang w:val="en-US"/>
              </w:rPr>
            </w:pPr>
          </w:p>
        </w:tc>
        <w:tc>
          <w:tcPr>
            <w:tcW w:w="1268" w:type="dxa"/>
            <w:tcBorders>
              <w:top w:val="single" w:sz="4" w:space="0" w:color="auto"/>
            </w:tcBorders>
          </w:tcPr>
          <w:p w14:paraId="51D04D34" w14:textId="77777777" w:rsidR="00405CF3" w:rsidRPr="007D59DC" w:rsidRDefault="00405CF3" w:rsidP="00B625C2">
            <w:pPr>
              <w:jc w:val="center"/>
              <w:rPr>
                <w:lang w:val="en-US"/>
              </w:rPr>
            </w:pPr>
          </w:p>
        </w:tc>
        <w:tc>
          <w:tcPr>
            <w:tcW w:w="1268" w:type="dxa"/>
            <w:tcBorders>
              <w:top w:val="single" w:sz="4" w:space="0" w:color="auto"/>
            </w:tcBorders>
            <w:vAlign w:val="bottom"/>
          </w:tcPr>
          <w:p w14:paraId="3F2EA380" w14:textId="77777777" w:rsidR="00405CF3" w:rsidRPr="007D59DC" w:rsidRDefault="00405CF3" w:rsidP="00B625C2">
            <w:pPr>
              <w:jc w:val="center"/>
              <w:rPr>
                <w:rFonts w:eastAsia="Arial Unicode MS"/>
                <w:lang w:val="en-US"/>
              </w:rPr>
            </w:pPr>
          </w:p>
        </w:tc>
        <w:tc>
          <w:tcPr>
            <w:tcW w:w="1268" w:type="dxa"/>
            <w:tcBorders>
              <w:top w:val="single" w:sz="4" w:space="0" w:color="auto"/>
            </w:tcBorders>
            <w:vAlign w:val="bottom"/>
          </w:tcPr>
          <w:p w14:paraId="7B4336A5" w14:textId="77777777" w:rsidR="00405CF3" w:rsidRPr="007D59DC" w:rsidRDefault="00405CF3" w:rsidP="00B625C2">
            <w:pPr>
              <w:jc w:val="center"/>
              <w:rPr>
                <w:rFonts w:eastAsia="Arial Unicode MS"/>
                <w:lang w:val="en-US"/>
              </w:rPr>
            </w:pPr>
          </w:p>
        </w:tc>
        <w:tc>
          <w:tcPr>
            <w:tcW w:w="1268" w:type="dxa"/>
            <w:tcBorders>
              <w:top w:val="single" w:sz="4" w:space="0" w:color="auto"/>
            </w:tcBorders>
          </w:tcPr>
          <w:p w14:paraId="5C944D47" w14:textId="77777777" w:rsidR="00405CF3" w:rsidRPr="007D59DC" w:rsidRDefault="00405CF3" w:rsidP="00B625C2">
            <w:pPr>
              <w:jc w:val="center"/>
              <w:rPr>
                <w:lang w:val="en-US"/>
              </w:rPr>
            </w:pPr>
          </w:p>
        </w:tc>
        <w:tc>
          <w:tcPr>
            <w:tcW w:w="1269" w:type="dxa"/>
            <w:tcBorders>
              <w:top w:val="single" w:sz="4" w:space="0" w:color="auto"/>
            </w:tcBorders>
          </w:tcPr>
          <w:p w14:paraId="40658804" w14:textId="77777777" w:rsidR="00405CF3" w:rsidRPr="007D59DC" w:rsidRDefault="00405CF3" w:rsidP="00B625C2">
            <w:pPr>
              <w:jc w:val="center"/>
              <w:rPr>
                <w:lang w:val="en-US"/>
              </w:rPr>
            </w:pPr>
          </w:p>
        </w:tc>
      </w:tr>
      <w:tr w:rsidR="00405CF3" w:rsidRPr="007D59DC" w14:paraId="5A9562DB" w14:textId="77777777" w:rsidTr="00405CF3">
        <w:trPr>
          <w:trHeight w:val="324"/>
        </w:trPr>
        <w:tc>
          <w:tcPr>
            <w:tcW w:w="1225" w:type="dxa"/>
          </w:tcPr>
          <w:p w14:paraId="6AC242B3" w14:textId="77777777" w:rsidR="00405CF3" w:rsidRPr="007D59DC" w:rsidRDefault="00405CF3" w:rsidP="00B625C2">
            <w:pPr>
              <w:rPr>
                <w:rFonts w:eastAsia="Arial Unicode MS"/>
                <w:lang w:val="en-US"/>
              </w:rPr>
            </w:pPr>
            <w:r w:rsidRPr="007D59DC">
              <w:rPr>
                <w:rFonts w:eastAsia="Arial Unicode MS"/>
                <w:lang w:val="en-US"/>
              </w:rPr>
              <w:t>Borisov</w:t>
            </w:r>
            <w:r>
              <w:rPr>
                <w:rFonts w:eastAsia="Arial Unicode MS"/>
                <w:lang w:val="en-US"/>
              </w:rPr>
              <w:fldChar w:fldCharType="begin"/>
            </w:r>
            <w:r w:rsidR="008E7C45">
              <w:rPr>
                <w:rFonts w:eastAsia="Arial Unicode MS"/>
                <w:lang w:val="en-US"/>
              </w:rPr>
              <w:instrText xml:space="preserve"> ADDIN ZOTERO_ITEM CSL_CITATION {"citationID":"pCXJHcRu","properties":{"formattedCitation":"{\\rtf \\super 19\\nosupersub{}}","plainCitation":"19"},"citationItems":[{"id":405,"uris":["http://zotero.org/users/325870/items/KN2N9M5A"],"uri":["http://zotero.org/users/325870/items/KN2N9M5A"],"itemData":{"id":405,"type":"article-journal","title":"Reduction of perioperative blood loss during endoprosthetic replacement of large joints","container-title":"General Reanimatology","page":"34-37","volume":"7","issue":"4","archive_location":"CN-01034749","abstract":"to  define  the optimal  tranexamic  acid\n  dosage\n regimen  to reduce perioperative  blood\n  loss\n during  total endo-\nprosthetic  hip joint  replacement\n  (TEHJR).\n  Subjects\n  and\n  methods.\n  A  randomized  controlled  trial  enrolled  90  patients\nadmitted  for\n  elective\n  primary  cementless  TEHJR. Prior  to\n  surgery,\n  all  the patients\n  were\n given\n  an  intravenous   bolus\ninjection  of  tranexamic  acid  in  a  dose  of  1 g.  A  day  before\n  surgery,\n  the patients\n  were\n divided\n into  3 groups  of  30  sub-\njects\n  each.  In Group  1, tranexamic  acid  was  administered  only  before  incision  of the\n skin.\n  In Group 2, a second  bolus\nof  tranexamic  acid  1 g  was  injected  3  hours  after  start  of\n  surgery.\n  In Group 3,  1 g  of  tranexamic  acid  was  readminis-\ntered  6 hours\n following\n surgery\n  if drainage  blood\n loss\n volume  exceeded  200  ml.\n Results.\n  No\n statistically\n significant\n   dif-\nferences\n  were\n found  between  the  study  patient groups  in terms  of the  amount  of  blood\n  loss,\n the  blood\n  levels\n  of hemo-\nglobin,\n  needs  for  hemotransfusion   therapy,  and the  frequency   of  postoperative  complications.\n  Conclusion.\n  A  second\nbolus  of tranexamic  acid  1 g does  not reduce  the amount  of  blood\n  loss\n as  compared  to a\n single\n preoperative  bolus  dose\nof  tranexamic  acid  1  g  during\n  elective\n  primary  cementless\n  TEHJP.\n  Key\n  words:\n  tranexamic  acid,  endoprosthetic  hip\njoint  replacement,  blood\n  loss.","DOI":"http://dx.doi.org/10.15360/1813-9779-2011-4-34","author":[{"family":"Borisov","given":"D.B."},{"family":"Yudin","given":"S.V."},{"family":"Krylov","given":"O.V."},{"family":"Markov","given":"B.B."},{"family":"Istomina","given":"N.A."}],"issued":{"date-parts":[["2011"]]}}}],"schema":"https://github.com/citation-style-language/schema/raw/master/csl-citation.json"} </w:instrText>
            </w:r>
            <w:r>
              <w:rPr>
                <w:rFonts w:eastAsia="Arial Unicode MS"/>
                <w:lang w:val="en-US"/>
              </w:rPr>
              <w:fldChar w:fldCharType="separate"/>
            </w:r>
            <w:r w:rsidR="008E7C45" w:rsidRPr="008E7C45">
              <w:rPr>
                <w:szCs w:val="24"/>
                <w:vertAlign w:val="superscript"/>
              </w:rPr>
              <w:t>19</w:t>
            </w:r>
            <w:r>
              <w:rPr>
                <w:rFonts w:eastAsia="Arial Unicode MS"/>
                <w:lang w:val="en-US"/>
              </w:rPr>
              <w:fldChar w:fldCharType="end"/>
            </w:r>
            <w:r w:rsidRPr="007D59DC">
              <w:rPr>
                <w:rFonts w:eastAsia="Arial Unicode MS"/>
                <w:lang w:val="en-US"/>
              </w:rPr>
              <w:t xml:space="preserve"> </w:t>
            </w:r>
          </w:p>
        </w:tc>
        <w:tc>
          <w:tcPr>
            <w:tcW w:w="522" w:type="dxa"/>
          </w:tcPr>
          <w:p w14:paraId="3985CBCF" w14:textId="77777777" w:rsidR="00405CF3" w:rsidRPr="007D59DC" w:rsidRDefault="00405CF3" w:rsidP="00B625C2">
            <w:pPr>
              <w:jc w:val="center"/>
              <w:rPr>
                <w:rFonts w:eastAsia="Arial Unicode MS"/>
                <w:lang w:val="en-US"/>
              </w:rPr>
            </w:pPr>
            <w:r w:rsidRPr="007D59DC">
              <w:rPr>
                <w:rFonts w:eastAsia="Arial Unicode MS"/>
                <w:lang w:val="en-US"/>
              </w:rPr>
              <w:t>2011</w:t>
            </w:r>
          </w:p>
        </w:tc>
        <w:tc>
          <w:tcPr>
            <w:tcW w:w="1268" w:type="dxa"/>
          </w:tcPr>
          <w:p w14:paraId="5CE88490" w14:textId="77777777" w:rsidR="00405CF3" w:rsidRPr="007D59DC" w:rsidRDefault="00405CF3" w:rsidP="00B625C2">
            <w:pPr>
              <w:jc w:val="center"/>
              <w:rPr>
                <w:rFonts w:eastAsia="Arial Unicode MS"/>
                <w:lang w:val="en-US"/>
              </w:rPr>
            </w:pPr>
            <w:r w:rsidRPr="007D59DC">
              <w:rPr>
                <w:rFonts w:eastAsia="Arial Unicode MS"/>
                <w:lang w:val="en-US"/>
              </w:rPr>
              <w:t>30/30</w:t>
            </w:r>
          </w:p>
        </w:tc>
        <w:tc>
          <w:tcPr>
            <w:tcW w:w="1268" w:type="dxa"/>
          </w:tcPr>
          <w:p w14:paraId="5F326346" w14:textId="77777777" w:rsidR="00405CF3" w:rsidRPr="007D59DC" w:rsidRDefault="00405CF3" w:rsidP="00B625C2">
            <w:pPr>
              <w:jc w:val="center"/>
              <w:rPr>
                <w:rFonts w:eastAsia="Arial Unicode MS"/>
                <w:lang w:val="en-US"/>
              </w:rPr>
            </w:pPr>
            <w:r w:rsidRPr="007D59DC">
              <w:rPr>
                <w:rFonts w:eastAsia="Arial Unicode MS"/>
                <w:lang w:val="en-US"/>
              </w:rPr>
              <w:t>30/30</w:t>
            </w:r>
          </w:p>
        </w:tc>
        <w:tc>
          <w:tcPr>
            <w:tcW w:w="1268" w:type="dxa"/>
          </w:tcPr>
          <w:p w14:paraId="2B1761E7" w14:textId="77777777" w:rsidR="00405CF3" w:rsidRPr="007D59DC" w:rsidRDefault="00405CF3" w:rsidP="00B625C2">
            <w:pPr>
              <w:jc w:val="center"/>
              <w:rPr>
                <w:rFonts w:eastAsia="Arial Unicode MS"/>
                <w:lang w:val="en-US"/>
              </w:rPr>
            </w:pPr>
            <w:r w:rsidRPr="007D59DC">
              <w:rPr>
                <w:rFonts w:eastAsia="Arial Unicode MS"/>
                <w:lang w:val="en-US"/>
              </w:rPr>
              <w:t>1235 (605)</w:t>
            </w:r>
          </w:p>
        </w:tc>
        <w:tc>
          <w:tcPr>
            <w:tcW w:w="1268" w:type="dxa"/>
          </w:tcPr>
          <w:p w14:paraId="3B139CDB" w14:textId="77777777" w:rsidR="00405CF3" w:rsidRPr="007D59DC" w:rsidRDefault="00405CF3" w:rsidP="00B625C2">
            <w:pPr>
              <w:jc w:val="center"/>
              <w:rPr>
                <w:rFonts w:eastAsia="Arial Unicode MS"/>
                <w:lang w:val="en-US"/>
              </w:rPr>
            </w:pPr>
            <w:r w:rsidRPr="007D59DC">
              <w:rPr>
                <w:rFonts w:eastAsia="Arial Unicode MS"/>
                <w:lang w:val="en-US"/>
              </w:rPr>
              <w:t>994 (318)</w:t>
            </w:r>
          </w:p>
        </w:tc>
        <w:tc>
          <w:tcPr>
            <w:tcW w:w="1268" w:type="dxa"/>
          </w:tcPr>
          <w:p w14:paraId="7A755166" w14:textId="77777777" w:rsidR="00405CF3" w:rsidRPr="007D59DC" w:rsidRDefault="00405CF3" w:rsidP="00B625C2">
            <w:pPr>
              <w:jc w:val="center"/>
            </w:pPr>
            <w:r w:rsidRPr="007D59DC">
              <w:rPr>
                <w:rFonts w:eastAsia="Arial Unicode MS"/>
                <w:lang w:val="en-US"/>
              </w:rPr>
              <w:t>1</w:t>
            </w:r>
          </w:p>
        </w:tc>
        <w:tc>
          <w:tcPr>
            <w:tcW w:w="1269" w:type="dxa"/>
          </w:tcPr>
          <w:p w14:paraId="01C0C014" w14:textId="77777777" w:rsidR="00405CF3" w:rsidRPr="007D59DC" w:rsidRDefault="00405CF3" w:rsidP="00B625C2">
            <w:pPr>
              <w:jc w:val="center"/>
            </w:pPr>
            <w:r w:rsidRPr="007D59DC">
              <w:rPr>
                <w:rFonts w:eastAsia="Arial Unicode MS"/>
                <w:lang w:val="en-US"/>
              </w:rPr>
              <w:t>0</w:t>
            </w:r>
          </w:p>
        </w:tc>
      </w:tr>
      <w:tr w:rsidR="00405CF3" w:rsidRPr="007D59DC" w14:paraId="44F58642" w14:textId="77777777" w:rsidTr="00405CF3">
        <w:trPr>
          <w:trHeight w:val="324"/>
        </w:trPr>
        <w:tc>
          <w:tcPr>
            <w:tcW w:w="1225" w:type="dxa"/>
          </w:tcPr>
          <w:p w14:paraId="2FFE501E" w14:textId="77777777" w:rsidR="00405CF3" w:rsidRPr="007D59DC" w:rsidRDefault="00405CF3" w:rsidP="00B625C2">
            <w:pPr>
              <w:rPr>
                <w:rFonts w:eastAsia="Arial Unicode MS"/>
                <w:lang w:val="en-US"/>
              </w:rPr>
            </w:pPr>
            <w:r w:rsidRPr="007D59DC">
              <w:rPr>
                <w:rFonts w:eastAsia="Arial Unicode MS"/>
                <w:lang w:val="en-US"/>
              </w:rPr>
              <w:t>Borisov</w:t>
            </w:r>
            <w:r>
              <w:rPr>
                <w:rFonts w:eastAsia="Arial Unicode MS"/>
                <w:lang w:val="en-US"/>
              </w:rPr>
              <w:fldChar w:fldCharType="begin"/>
            </w:r>
            <w:r w:rsidR="008E7C45">
              <w:rPr>
                <w:rFonts w:eastAsia="Arial Unicode MS"/>
                <w:lang w:val="en-US"/>
              </w:rPr>
              <w:instrText xml:space="preserve"> ADDIN ZOTERO_ITEM CSL_CITATION {"citationID":"qE3fJj7e","properties":{"formattedCitation":"{\\rtf \\super 23\\nosupersub{}}","plainCitation":"23"},"citationItems":[{"id":401,"uris":["http://zotero.org/users/325870/items/KGVWIX8J"],"uri":["http://zotero.org/users/325870/items/KGVWIX8J"],"itemData":{"id":401,"type":"article-journal","title":"Choice of a tranexamic acid dose regimen during endoprosthetic replacement of joints","container-title":"Messenger of Anesthesiology and Resuscitation","page":"41-44","volume":"8","issue":"5","abstract":"A randomized controlled study has established that during primary uncemented total hip replacement, continuous maintenance infusion of tranexamic acid after preoperative bolus injection of the agent allows a reduction in drainage blood loss as compared to a single injection of tranexamic acid prior to skin incision","ISSN":"ISSN 2078-5658","author":[{"family":"Borisov","given":"D.B."},{"family":"Yudin","given":"S.V."},{"family":"Lebedev","given":"L.A."},{"family":"Vardanashvili","given":"V.K."},{"family":"Istomina","given":"N.A."}],"issued":{"date-parts":[["2011"]]}}}],"schema":"https://github.com/citation-style-language/schema/raw/master/csl-citation.json"} </w:instrText>
            </w:r>
            <w:r>
              <w:rPr>
                <w:rFonts w:eastAsia="Arial Unicode MS"/>
                <w:lang w:val="en-US"/>
              </w:rPr>
              <w:fldChar w:fldCharType="separate"/>
            </w:r>
            <w:r w:rsidR="008E7C45" w:rsidRPr="008E7C45">
              <w:rPr>
                <w:szCs w:val="24"/>
                <w:vertAlign w:val="superscript"/>
              </w:rPr>
              <w:t>23</w:t>
            </w:r>
            <w:r>
              <w:rPr>
                <w:rFonts w:eastAsia="Arial Unicode MS"/>
                <w:lang w:val="en-US"/>
              </w:rPr>
              <w:fldChar w:fldCharType="end"/>
            </w:r>
            <w:r w:rsidRPr="007D59DC">
              <w:rPr>
                <w:rFonts w:eastAsia="Arial Unicode MS"/>
                <w:lang w:val="en-US"/>
              </w:rPr>
              <w:t xml:space="preserve"> </w:t>
            </w:r>
          </w:p>
        </w:tc>
        <w:tc>
          <w:tcPr>
            <w:tcW w:w="522" w:type="dxa"/>
          </w:tcPr>
          <w:p w14:paraId="4A54503C" w14:textId="77777777" w:rsidR="00405CF3" w:rsidRPr="007D59DC" w:rsidRDefault="00405CF3" w:rsidP="00B625C2">
            <w:pPr>
              <w:jc w:val="center"/>
              <w:rPr>
                <w:rFonts w:eastAsia="Arial Unicode MS"/>
                <w:lang w:val="en-US"/>
              </w:rPr>
            </w:pPr>
            <w:r w:rsidRPr="007D59DC">
              <w:rPr>
                <w:rFonts w:eastAsia="Arial Unicode MS"/>
                <w:lang w:val="en-US"/>
              </w:rPr>
              <w:t>2011</w:t>
            </w:r>
          </w:p>
        </w:tc>
        <w:tc>
          <w:tcPr>
            <w:tcW w:w="1268" w:type="dxa"/>
          </w:tcPr>
          <w:p w14:paraId="1F96F6A0" w14:textId="77777777" w:rsidR="00405CF3" w:rsidRPr="007D59DC" w:rsidRDefault="00405CF3" w:rsidP="00B625C2">
            <w:pPr>
              <w:jc w:val="center"/>
              <w:rPr>
                <w:rFonts w:eastAsia="Arial Unicode MS"/>
                <w:lang w:val="en-US"/>
              </w:rPr>
            </w:pPr>
            <w:r w:rsidRPr="007D59DC">
              <w:rPr>
                <w:rFonts w:eastAsia="Arial Unicode MS"/>
                <w:lang w:val="en-US"/>
              </w:rPr>
              <w:t>35/35</w:t>
            </w:r>
          </w:p>
        </w:tc>
        <w:tc>
          <w:tcPr>
            <w:tcW w:w="1268" w:type="dxa"/>
          </w:tcPr>
          <w:p w14:paraId="7D801005" w14:textId="77777777" w:rsidR="00405CF3" w:rsidRPr="007D59DC" w:rsidRDefault="00405CF3" w:rsidP="00B625C2">
            <w:pPr>
              <w:jc w:val="center"/>
              <w:rPr>
                <w:rFonts w:eastAsia="Arial Unicode MS"/>
                <w:lang w:val="en-US"/>
              </w:rPr>
            </w:pPr>
            <w:r w:rsidRPr="007D59DC">
              <w:rPr>
                <w:rFonts w:eastAsia="Arial Unicode MS"/>
                <w:lang w:val="en-US"/>
              </w:rPr>
              <w:t>35/35</w:t>
            </w:r>
          </w:p>
        </w:tc>
        <w:tc>
          <w:tcPr>
            <w:tcW w:w="1268" w:type="dxa"/>
          </w:tcPr>
          <w:p w14:paraId="34F37CFD" w14:textId="77777777" w:rsidR="00405CF3" w:rsidRPr="007D59DC" w:rsidRDefault="00405CF3" w:rsidP="00B625C2">
            <w:pPr>
              <w:jc w:val="center"/>
              <w:rPr>
                <w:rFonts w:eastAsia="Arial Unicode MS"/>
                <w:lang w:val="en-US"/>
              </w:rPr>
            </w:pPr>
            <w:r w:rsidRPr="007D59DC">
              <w:rPr>
                <w:rFonts w:eastAsia="Arial Unicode MS"/>
                <w:lang w:val="en-US"/>
              </w:rPr>
              <w:t>1035 (332)</w:t>
            </w:r>
          </w:p>
        </w:tc>
        <w:tc>
          <w:tcPr>
            <w:tcW w:w="1268" w:type="dxa"/>
          </w:tcPr>
          <w:p w14:paraId="7C0EC269" w14:textId="77777777" w:rsidR="00405CF3" w:rsidRPr="007D59DC" w:rsidRDefault="00405CF3" w:rsidP="00B625C2">
            <w:pPr>
              <w:jc w:val="center"/>
              <w:rPr>
                <w:rFonts w:eastAsia="Arial Unicode MS"/>
                <w:lang w:val="en-US"/>
              </w:rPr>
            </w:pPr>
            <w:r w:rsidRPr="007D59DC">
              <w:rPr>
                <w:rFonts w:eastAsia="Arial Unicode MS"/>
                <w:lang w:val="en-US"/>
              </w:rPr>
              <w:t>1034 (320)</w:t>
            </w:r>
          </w:p>
        </w:tc>
        <w:tc>
          <w:tcPr>
            <w:tcW w:w="1268" w:type="dxa"/>
          </w:tcPr>
          <w:p w14:paraId="5D452171" w14:textId="77777777" w:rsidR="00405CF3" w:rsidRPr="007D59DC" w:rsidRDefault="00405CF3" w:rsidP="00B625C2">
            <w:pPr>
              <w:jc w:val="center"/>
            </w:pPr>
            <w:r w:rsidRPr="007D59DC">
              <w:rPr>
                <w:rFonts w:eastAsia="Arial Unicode MS"/>
                <w:lang w:val="en-US"/>
              </w:rPr>
              <w:t>0</w:t>
            </w:r>
          </w:p>
        </w:tc>
        <w:tc>
          <w:tcPr>
            <w:tcW w:w="1269" w:type="dxa"/>
          </w:tcPr>
          <w:p w14:paraId="4020CA16" w14:textId="77777777" w:rsidR="00405CF3" w:rsidRPr="007D59DC" w:rsidRDefault="00405CF3" w:rsidP="00B625C2">
            <w:pPr>
              <w:jc w:val="center"/>
            </w:pPr>
            <w:r w:rsidRPr="007D59DC">
              <w:rPr>
                <w:rFonts w:eastAsia="Arial Unicode MS"/>
                <w:lang w:val="en-US"/>
              </w:rPr>
              <w:t>0</w:t>
            </w:r>
          </w:p>
        </w:tc>
      </w:tr>
      <w:tr w:rsidR="00405CF3" w:rsidRPr="007D59DC" w14:paraId="548759B2" w14:textId="77777777" w:rsidTr="00405CF3">
        <w:trPr>
          <w:trHeight w:val="324"/>
        </w:trPr>
        <w:tc>
          <w:tcPr>
            <w:tcW w:w="1225" w:type="dxa"/>
          </w:tcPr>
          <w:p w14:paraId="1A2C6AC5" w14:textId="77777777" w:rsidR="00405CF3" w:rsidRPr="007D59DC" w:rsidRDefault="00405CF3" w:rsidP="00B625C2">
            <w:pPr>
              <w:rPr>
                <w:rFonts w:eastAsia="Arial Unicode MS"/>
                <w:lang w:val="en-US"/>
              </w:rPr>
            </w:pPr>
            <w:r w:rsidRPr="007D59DC">
              <w:rPr>
                <w:rFonts w:eastAsia="Arial Unicode MS"/>
                <w:lang w:val="en-US"/>
              </w:rPr>
              <w:t>Imai</w:t>
            </w:r>
            <w:r>
              <w:rPr>
                <w:rFonts w:eastAsia="Arial Unicode MS"/>
                <w:lang w:val="en-US"/>
              </w:rPr>
              <w:fldChar w:fldCharType="begin"/>
            </w:r>
            <w:r w:rsidR="008E7C45">
              <w:rPr>
                <w:rFonts w:eastAsia="Arial Unicode MS"/>
                <w:lang w:val="en-US"/>
              </w:rPr>
              <w:instrText xml:space="preserve"> ADDIN ZOTERO_ITEM CSL_CITATION {"citationID":"dcX9PzNs","properties":{"formattedCitation":"{\\rtf \\super 20\\nosupersub{}}","plainCitation":"20"},"citationItems":[{"id":1767,"uris":["http://zotero.org/users/325870/items/4X6DXB6J"],"uri":["http://zotero.org/users/325870/items/4X6DXB6J"],"itemData":{"id":1767,"type":"article-journal","title":"Tranexamic acid for reduction of blood loss during total hip arthroplasty","container-title":"The Journal of Arthroplasty","page":"1838-1843","volume":"27","issue":"10","source":"PubMed","abstract":"In this study, we evaluated the hemostatic effects of tranexamic acid (TNA), an antifibrinolytic drug, by examining the timing of its administration during total hip arthroplasty. One hundred seven patients being treated for osteoarthritis of the hip joint were randomly divided into 5 groups based on the timing of TNA administration. The intraoperative blood loss, postoperative blood loss, and hemoglobin of these patients who received TNA at different times during the procedure were monitored. We found that the intraoperative blood loss in the preoperative TNA administration groups was significantly lower than both control and postoperative TNA administration groups. Furthermore, 1 g TNA 10 minutes before surgery and 6 hours after the first administration was most effective for the reduction of blood loss during total hip arthroplasty.","DOI":"10.1016/j.arth.2012.04.024","ISSN":"1532-8406","note":"PMID: 22704229","journalAbbreviation":"J Arthroplasty","language":"eng","author":[{"family":"Imai","given":"Norio"},{"family":"Dohmae","given":"Yoichiro"},{"family":"Suda","given":"Ken"},{"family":"Miyasaka","given":"Dai"},{"family":"Ito","given":"Tomoyuki"},{"family":"Endo","given":"Naoto"}],"issued":{"date-parts":[["2012",12]]}}}],"schema":"https://github.com/citation-style-language/schema/raw/master/csl-citation.json"} </w:instrText>
            </w:r>
            <w:r>
              <w:rPr>
                <w:rFonts w:eastAsia="Arial Unicode MS"/>
                <w:lang w:val="en-US"/>
              </w:rPr>
              <w:fldChar w:fldCharType="separate"/>
            </w:r>
            <w:r w:rsidR="008E7C45" w:rsidRPr="008E7C45">
              <w:rPr>
                <w:szCs w:val="24"/>
                <w:vertAlign w:val="superscript"/>
              </w:rPr>
              <w:t>20</w:t>
            </w:r>
            <w:r>
              <w:rPr>
                <w:rFonts w:eastAsia="Arial Unicode MS"/>
                <w:lang w:val="en-US"/>
              </w:rPr>
              <w:fldChar w:fldCharType="end"/>
            </w:r>
            <w:r w:rsidRPr="007D59DC">
              <w:rPr>
                <w:rFonts w:eastAsia="Arial Unicode MS"/>
                <w:lang w:val="en-US"/>
              </w:rPr>
              <w:t xml:space="preserve"> </w:t>
            </w:r>
          </w:p>
        </w:tc>
        <w:tc>
          <w:tcPr>
            <w:tcW w:w="522" w:type="dxa"/>
          </w:tcPr>
          <w:p w14:paraId="3508C469" w14:textId="77777777" w:rsidR="00405CF3" w:rsidRPr="007D59DC" w:rsidRDefault="00405CF3" w:rsidP="00B625C2">
            <w:pPr>
              <w:jc w:val="center"/>
              <w:rPr>
                <w:rFonts w:eastAsia="Arial Unicode MS"/>
                <w:lang w:val="en-US"/>
              </w:rPr>
            </w:pPr>
            <w:r w:rsidRPr="007D59DC">
              <w:rPr>
                <w:rFonts w:eastAsia="Arial Unicode MS"/>
                <w:lang w:val="en-US"/>
              </w:rPr>
              <w:t>2012</w:t>
            </w:r>
          </w:p>
        </w:tc>
        <w:tc>
          <w:tcPr>
            <w:tcW w:w="1268" w:type="dxa"/>
          </w:tcPr>
          <w:p w14:paraId="2C63B681" w14:textId="77777777" w:rsidR="00405CF3" w:rsidRPr="007D59DC" w:rsidRDefault="00405CF3" w:rsidP="00B625C2">
            <w:pPr>
              <w:jc w:val="center"/>
              <w:rPr>
                <w:rFonts w:eastAsia="Arial Unicode MS"/>
                <w:lang w:val="en-US"/>
              </w:rPr>
            </w:pPr>
            <w:r w:rsidRPr="007D59DC">
              <w:rPr>
                <w:rFonts w:eastAsia="Arial Unicode MS"/>
                <w:lang w:val="en-US"/>
              </w:rPr>
              <w:t>26/26</w:t>
            </w:r>
          </w:p>
        </w:tc>
        <w:tc>
          <w:tcPr>
            <w:tcW w:w="1268" w:type="dxa"/>
          </w:tcPr>
          <w:p w14:paraId="085D3BD9" w14:textId="77777777" w:rsidR="00405CF3" w:rsidRPr="007D59DC" w:rsidRDefault="00405CF3" w:rsidP="00B625C2">
            <w:pPr>
              <w:jc w:val="center"/>
              <w:rPr>
                <w:rFonts w:eastAsia="Arial Unicode MS"/>
                <w:lang w:val="en-US"/>
              </w:rPr>
            </w:pPr>
            <w:r w:rsidRPr="007D59DC">
              <w:rPr>
                <w:rFonts w:eastAsia="Arial Unicode MS"/>
                <w:lang w:val="en-US"/>
              </w:rPr>
              <w:t>25/25</w:t>
            </w:r>
          </w:p>
        </w:tc>
        <w:tc>
          <w:tcPr>
            <w:tcW w:w="1268" w:type="dxa"/>
          </w:tcPr>
          <w:p w14:paraId="7BCDA428" w14:textId="77777777" w:rsidR="00405CF3" w:rsidRPr="007D59DC" w:rsidRDefault="00405CF3" w:rsidP="00B625C2">
            <w:pPr>
              <w:jc w:val="center"/>
              <w:rPr>
                <w:rFonts w:eastAsia="Arial Unicode MS"/>
                <w:lang w:val="en-US"/>
              </w:rPr>
            </w:pPr>
            <w:r w:rsidRPr="007D59DC">
              <w:rPr>
                <w:rFonts w:eastAsia="Arial Unicode MS"/>
                <w:lang w:val="en-US"/>
              </w:rPr>
              <w:t>852 (261)</w:t>
            </w:r>
          </w:p>
        </w:tc>
        <w:tc>
          <w:tcPr>
            <w:tcW w:w="1268" w:type="dxa"/>
          </w:tcPr>
          <w:p w14:paraId="1B1F98CE" w14:textId="77777777" w:rsidR="00405CF3" w:rsidRPr="007D59DC" w:rsidRDefault="00405CF3" w:rsidP="00B625C2">
            <w:pPr>
              <w:jc w:val="center"/>
              <w:rPr>
                <w:rFonts w:eastAsia="Arial Unicode MS"/>
                <w:lang w:val="en-US"/>
              </w:rPr>
            </w:pPr>
            <w:r w:rsidRPr="007D59DC">
              <w:rPr>
                <w:rFonts w:eastAsia="Arial Unicode MS"/>
                <w:lang w:val="en-US"/>
              </w:rPr>
              <w:t>914 (248)</w:t>
            </w:r>
          </w:p>
        </w:tc>
        <w:tc>
          <w:tcPr>
            <w:tcW w:w="1268" w:type="dxa"/>
          </w:tcPr>
          <w:p w14:paraId="2635DD7F" w14:textId="77777777" w:rsidR="00405CF3" w:rsidRPr="007D59DC" w:rsidRDefault="00405CF3" w:rsidP="00B625C2">
            <w:pPr>
              <w:jc w:val="center"/>
            </w:pPr>
            <w:r w:rsidRPr="007D59DC">
              <w:rPr>
                <w:rFonts w:eastAsia="Arial Unicode MS"/>
                <w:lang w:val="en-US"/>
              </w:rPr>
              <w:t>0</w:t>
            </w:r>
          </w:p>
        </w:tc>
        <w:tc>
          <w:tcPr>
            <w:tcW w:w="1269" w:type="dxa"/>
          </w:tcPr>
          <w:p w14:paraId="7B7F0FA0" w14:textId="77777777" w:rsidR="00405CF3" w:rsidRPr="007D59DC" w:rsidRDefault="00405CF3" w:rsidP="00B625C2">
            <w:pPr>
              <w:jc w:val="center"/>
            </w:pPr>
            <w:r w:rsidRPr="007D59DC">
              <w:rPr>
                <w:rFonts w:eastAsia="Arial Unicode MS"/>
                <w:lang w:val="en-US"/>
              </w:rPr>
              <w:t>0</w:t>
            </w:r>
          </w:p>
        </w:tc>
      </w:tr>
      <w:tr w:rsidR="00405CF3" w:rsidRPr="007D59DC" w14:paraId="282E37EF" w14:textId="77777777" w:rsidTr="00405CF3">
        <w:trPr>
          <w:trHeight w:val="324"/>
        </w:trPr>
        <w:tc>
          <w:tcPr>
            <w:tcW w:w="1225" w:type="dxa"/>
          </w:tcPr>
          <w:p w14:paraId="6788E325" w14:textId="77777777" w:rsidR="00405CF3" w:rsidRPr="007D59DC" w:rsidRDefault="00405CF3" w:rsidP="00B625C2">
            <w:pPr>
              <w:rPr>
                <w:rFonts w:eastAsia="Arial Unicode MS"/>
                <w:lang w:val="en-US"/>
              </w:rPr>
            </w:pPr>
            <w:r w:rsidRPr="007D59DC">
              <w:rPr>
                <w:rFonts w:eastAsia="Arial Unicode MS"/>
                <w:lang w:val="en-US"/>
              </w:rPr>
              <w:t>Hourlier</w:t>
            </w:r>
            <w:r w:rsidR="00F12B3C">
              <w:rPr>
                <w:rFonts w:eastAsia="Arial Unicode MS"/>
                <w:lang w:val="en-US"/>
              </w:rPr>
              <w:fldChar w:fldCharType="begin"/>
            </w:r>
            <w:r w:rsidR="008E7C45">
              <w:rPr>
                <w:rFonts w:eastAsia="Arial Unicode MS"/>
                <w:lang w:val="en-US"/>
              </w:rPr>
              <w:instrText xml:space="preserve"> ADDIN ZOTERO_ITEM CSL_CITATION {"citationID":"NdpFUQAN","properties":{"formattedCitation":"{\\rtf \\super 22\\nosupersub{}}","plainCitation":"22"},"citationItems":[{"id":429,"uris":["http://zotero.org/users/325870/items/MG3ZH84I"],"uri":["http://zotero.org/users/325870/items/MG3ZH84I"],"itemData":{"id":429,"type":"article-journal","title":"Single tranexamic acid dose to reduce perioperative morbidity in primary total hip replacement: a randomised clinical trial","container-title":"Hip Int","page":"63-68","volume":"24","issue":"1","source":"PubMed","abstract":"INTRODUCTION: Although prophylactic tranexamic acid (TXA) is a safe, low-cost option to reduce bleeding in patients undergoing total hip replacement (THR), its optimal dose and duration is unknown. We compared the safety and effectiveness of TXA given as either a single injection or continuous infusion in THR patients, hypothesising that a second TXA dose would not offer any clinical advantages over the single injection.\nMATERIALS AND METHODS: One hundred and sixty-four patients undergoing unilateral THR were randomised. Exclusion criteria were history of thromboembolic events (TE), epilepsy, thrombophilia, and severe chronic renal failure. Patients received either a single dose of 30 mg/kg TXA on induction of surgery (one shot [OS] group), or a loading dose of 10 mg/kg TXA followed two hours later by a continuous infusion of 2 mg/kg per hour for 20 hours (one day [OD] group). The primary outcome was blood loss (BL) calculated from haematocrit levels. Secondary outcomes were mortality and TE events within 90 days postoperatively.\nRESULTS: All patients completed treatment, with none lost to follow-up. Mean BL was 1107 ± 508 ml in Group OS and 1047 ± 442 ml in Group OD (p = 0.43). No patients were transfused prior to Day 10 postoperatively. At final follow-up, no patients had died, and there were no occurrences of major TE.\nCONCLUSION: The 30 mg/kg TXA single shot was as safe as continuous infusion. As it is also less cumbersome, we recommend it as part of routine care in THR patients.","DOI":"10.5301/hipint.5000090","ISSN":"1724-6067","note":"PMID: 24062227","shortTitle":"Single tranexamic acid dose to reduce perioperative morbidity in primary total hip replacement","journalAbbreviation":"Hip Int","language":"eng","author":[{"family":"Hourlier","given":"Hervé"},{"family":"Fennema","given":"Peter"}],"issued":{"date-parts":[["2014",2]]}}}],"schema":"https://github.com/citation-style-language/schema/raw/master/csl-citation.json"} </w:instrText>
            </w:r>
            <w:r w:rsidR="00F12B3C">
              <w:rPr>
                <w:rFonts w:eastAsia="Arial Unicode MS"/>
                <w:lang w:val="en-US"/>
              </w:rPr>
              <w:fldChar w:fldCharType="separate"/>
            </w:r>
            <w:r w:rsidR="008E7C45" w:rsidRPr="008E7C45">
              <w:rPr>
                <w:szCs w:val="24"/>
                <w:vertAlign w:val="superscript"/>
              </w:rPr>
              <w:t>22</w:t>
            </w:r>
            <w:r w:rsidR="00F12B3C">
              <w:rPr>
                <w:rFonts w:eastAsia="Arial Unicode MS"/>
                <w:lang w:val="en-US"/>
              </w:rPr>
              <w:fldChar w:fldCharType="end"/>
            </w:r>
            <w:r w:rsidRPr="007D59DC">
              <w:rPr>
                <w:rFonts w:eastAsia="Arial Unicode MS"/>
                <w:lang w:val="en-US"/>
              </w:rPr>
              <w:t xml:space="preserve"> </w:t>
            </w:r>
          </w:p>
        </w:tc>
        <w:tc>
          <w:tcPr>
            <w:tcW w:w="522" w:type="dxa"/>
          </w:tcPr>
          <w:p w14:paraId="097EE859" w14:textId="77777777" w:rsidR="00405CF3" w:rsidRPr="007D59DC" w:rsidRDefault="00405CF3" w:rsidP="00B625C2">
            <w:pPr>
              <w:jc w:val="center"/>
              <w:rPr>
                <w:rFonts w:eastAsia="Arial Unicode MS"/>
                <w:lang w:val="en-US"/>
              </w:rPr>
            </w:pPr>
            <w:r w:rsidRPr="007D59DC">
              <w:rPr>
                <w:rFonts w:eastAsia="Arial Unicode MS"/>
                <w:lang w:val="en-US"/>
              </w:rPr>
              <w:t>2014</w:t>
            </w:r>
          </w:p>
        </w:tc>
        <w:tc>
          <w:tcPr>
            <w:tcW w:w="1268" w:type="dxa"/>
          </w:tcPr>
          <w:p w14:paraId="64A45301" w14:textId="77777777" w:rsidR="00405CF3" w:rsidRPr="007D59DC" w:rsidRDefault="00405CF3" w:rsidP="00B625C2">
            <w:pPr>
              <w:jc w:val="center"/>
              <w:rPr>
                <w:rFonts w:eastAsia="Arial Unicode MS"/>
                <w:lang w:val="en-US"/>
              </w:rPr>
            </w:pPr>
            <w:r w:rsidRPr="007D59DC">
              <w:rPr>
                <w:rFonts w:eastAsia="Arial Unicode MS"/>
                <w:lang w:val="en-US"/>
              </w:rPr>
              <w:t>79/79</w:t>
            </w:r>
          </w:p>
        </w:tc>
        <w:tc>
          <w:tcPr>
            <w:tcW w:w="1268" w:type="dxa"/>
          </w:tcPr>
          <w:p w14:paraId="0F1141CE" w14:textId="54872250" w:rsidR="00405CF3" w:rsidRPr="007D59DC" w:rsidRDefault="00405CF3" w:rsidP="00B625C2">
            <w:pPr>
              <w:jc w:val="center"/>
              <w:rPr>
                <w:rFonts w:eastAsia="Arial Unicode MS"/>
                <w:lang w:val="en-US"/>
              </w:rPr>
            </w:pPr>
            <w:r w:rsidRPr="007D59DC">
              <w:rPr>
                <w:rFonts w:eastAsia="Arial Unicode MS"/>
                <w:lang w:val="en-US"/>
              </w:rPr>
              <w:t>85/85</w:t>
            </w:r>
          </w:p>
        </w:tc>
        <w:tc>
          <w:tcPr>
            <w:tcW w:w="1268" w:type="dxa"/>
          </w:tcPr>
          <w:p w14:paraId="241639A7" w14:textId="77777777" w:rsidR="00405CF3" w:rsidRPr="007D59DC" w:rsidRDefault="00405CF3" w:rsidP="00B625C2">
            <w:pPr>
              <w:jc w:val="center"/>
              <w:rPr>
                <w:rFonts w:eastAsia="Arial Unicode MS"/>
                <w:lang w:val="en-US"/>
              </w:rPr>
            </w:pPr>
            <w:r w:rsidRPr="007D59DC">
              <w:rPr>
                <w:rFonts w:eastAsia="Arial Unicode MS"/>
                <w:lang w:val="en-US"/>
              </w:rPr>
              <w:t>1047 (442)</w:t>
            </w:r>
          </w:p>
        </w:tc>
        <w:tc>
          <w:tcPr>
            <w:tcW w:w="1268" w:type="dxa"/>
          </w:tcPr>
          <w:p w14:paraId="03AE8FE4" w14:textId="77777777" w:rsidR="00405CF3" w:rsidRPr="007D59DC" w:rsidRDefault="00405CF3" w:rsidP="00B625C2">
            <w:pPr>
              <w:jc w:val="center"/>
              <w:rPr>
                <w:rFonts w:eastAsia="Arial Unicode MS"/>
                <w:lang w:val="en-US"/>
              </w:rPr>
            </w:pPr>
            <w:r w:rsidRPr="007D59DC">
              <w:rPr>
                <w:rFonts w:eastAsia="Arial Unicode MS"/>
                <w:lang w:val="en-US"/>
              </w:rPr>
              <w:t>1107 (508)</w:t>
            </w:r>
          </w:p>
        </w:tc>
        <w:tc>
          <w:tcPr>
            <w:tcW w:w="1268" w:type="dxa"/>
          </w:tcPr>
          <w:p w14:paraId="5AD2D799" w14:textId="77777777" w:rsidR="00405CF3" w:rsidRPr="007D59DC" w:rsidRDefault="00405CF3" w:rsidP="00B625C2">
            <w:pPr>
              <w:jc w:val="center"/>
            </w:pPr>
            <w:r w:rsidRPr="007D59DC">
              <w:rPr>
                <w:rFonts w:eastAsia="Arial Unicode MS"/>
                <w:lang w:val="en-US"/>
              </w:rPr>
              <w:t>0</w:t>
            </w:r>
          </w:p>
        </w:tc>
        <w:tc>
          <w:tcPr>
            <w:tcW w:w="1269" w:type="dxa"/>
          </w:tcPr>
          <w:p w14:paraId="65A5E424" w14:textId="77777777" w:rsidR="00405CF3" w:rsidRPr="007D59DC" w:rsidRDefault="00405CF3" w:rsidP="00B625C2">
            <w:pPr>
              <w:jc w:val="center"/>
            </w:pPr>
            <w:r w:rsidRPr="007D59DC">
              <w:rPr>
                <w:rFonts w:eastAsia="Arial Unicode MS"/>
                <w:lang w:val="en-US"/>
              </w:rPr>
              <w:t>0</w:t>
            </w:r>
          </w:p>
        </w:tc>
      </w:tr>
      <w:tr w:rsidR="00405CF3" w:rsidRPr="007D59DC" w14:paraId="2D56AC47" w14:textId="77777777" w:rsidTr="00405CF3">
        <w:trPr>
          <w:trHeight w:val="324"/>
        </w:trPr>
        <w:tc>
          <w:tcPr>
            <w:tcW w:w="1225" w:type="dxa"/>
          </w:tcPr>
          <w:p w14:paraId="10249329" w14:textId="77777777" w:rsidR="00405CF3" w:rsidRPr="007D59DC" w:rsidRDefault="00405CF3" w:rsidP="00B625C2">
            <w:pPr>
              <w:rPr>
                <w:rFonts w:eastAsia="Arial Unicode MS"/>
                <w:lang w:val="en-US"/>
              </w:rPr>
            </w:pPr>
            <w:r w:rsidRPr="007D59DC">
              <w:rPr>
                <w:rFonts w:eastAsia="Arial Unicode MS"/>
                <w:lang w:val="en-US"/>
              </w:rPr>
              <w:t>Barrachina</w:t>
            </w:r>
            <w:r>
              <w:rPr>
                <w:rFonts w:eastAsia="Arial Unicode MS"/>
                <w:lang w:val="en-US"/>
              </w:rPr>
              <w:fldChar w:fldCharType="begin"/>
            </w:r>
            <w:r w:rsidR="008E7C45">
              <w:rPr>
                <w:rFonts w:eastAsia="Arial Unicode MS"/>
                <w:lang w:val="en-US"/>
              </w:rPr>
              <w:instrText xml:space="preserve"> ADDIN ZOTERO_ITEM CSL_CITATION {"citationID":"B3cgxoC7","properties":{"formattedCitation":"{\\rtf \\super 21\\nosupersub{}}","plainCitation":"21"},"citationItems":[{"id":157,"uris":["http://zotero.org/users/325870/items/9V8WSMZH"],"uri":["http://zotero.org/users/325870/items/9V8WSMZH"],"itemData":{"id":157,"type":"article-journal","title":"Tranexamic acid compared with placebo for reducing total blood loss in hip replacement surgery: a randomized clinical trial","container-title":"Anesthesia &amp; Analgesia","page":"986-995","volume":"122","issue":"4","source":"CrossRef","DOI":"10.1213/ANE.0000000000001159","ISSN":"0003-2999","shortTitle":"Tranexamic Acid Compared with Placebo for Reducing Total Blood Loss in Hip Replacement Surgery","language":"en","author":[{"family":"Barrachina","given":"Borja"},{"family":"Lopez-Picado","given":"Amanda"},{"family":"Remon","given":"Maria"},{"family":"Fondarella","given":"Ana"},{"family":"Iriarte","given":"Ibai"},{"family":"Bastida","given":"Rebeca"},{"family":"Rodríguez-Gascón","given":"Alicia"},{"family":"Achaerandio","given":"Maria Aranzazu"},{"family":"Iturricastillo","given":"Maria Carmen"},{"family":"Aizpuru","given":"Felipe"},{"family":"Valero","given":"Cesar Augusto"},{"family":"Tobalina","given":"Ricardo"},{"family":"Hernanz","given":"Roberto"}],"issued":{"date-parts":[["2016",4]]}}}],"schema":"https://github.com/citation-style-language/schema/raw/master/csl-citation.json"} </w:instrText>
            </w:r>
            <w:r>
              <w:rPr>
                <w:rFonts w:eastAsia="Arial Unicode MS"/>
                <w:lang w:val="en-US"/>
              </w:rPr>
              <w:fldChar w:fldCharType="separate"/>
            </w:r>
            <w:r w:rsidR="008E7C45" w:rsidRPr="008E7C45">
              <w:rPr>
                <w:szCs w:val="24"/>
                <w:vertAlign w:val="superscript"/>
              </w:rPr>
              <w:t>21</w:t>
            </w:r>
            <w:r>
              <w:rPr>
                <w:rFonts w:eastAsia="Arial Unicode MS"/>
                <w:lang w:val="en-US"/>
              </w:rPr>
              <w:fldChar w:fldCharType="end"/>
            </w:r>
            <w:r w:rsidRPr="00E83B5A">
              <w:rPr>
                <w:rFonts w:eastAsia="Arial Unicode MS"/>
                <w:vertAlign w:val="superscript"/>
                <w:lang w:val="en-US"/>
              </w:rPr>
              <w:t>*</w:t>
            </w:r>
            <w:r w:rsidRPr="007D59DC">
              <w:rPr>
                <w:rFonts w:eastAsia="Arial Unicode MS"/>
                <w:lang w:val="en-US"/>
              </w:rPr>
              <w:t xml:space="preserve"> </w:t>
            </w:r>
          </w:p>
        </w:tc>
        <w:tc>
          <w:tcPr>
            <w:tcW w:w="522" w:type="dxa"/>
          </w:tcPr>
          <w:p w14:paraId="662E3C5F" w14:textId="77777777" w:rsidR="00405CF3" w:rsidRPr="007D59DC" w:rsidRDefault="00405CF3" w:rsidP="00B625C2">
            <w:pPr>
              <w:jc w:val="center"/>
              <w:rPr>
                <w:rFonts w:eastAsia="Arial Unicode MS"/>
                <w:lang w:val="en-US"/>
              </w:rPr>
            </w:pPr>
            <w:r w:rsidRPr="007D59DC">
              <w:rPr>
                <w:rFonts w:eastAsia="Arial Unicode MS"/>
                <w:lang w:val="en-US"/>
              </w:rPr>
              <w:t>2016</w:t>
            </w:r>
          </w:p>
        </w:tc>
        <w:tc>
          <w:tcPr>
            <w:tcW w:w="1268" w:type="dxa"/>
          </w:tcPr>
          <w:p w14:paraId="16CEF65C" w14:textId="77777777" w:rsidR="00405CF3" w:rsidRPr="007D59DC" w:rsidRDefault="00405CF3" w:rsidP="00B625C2">
            <w:pPr>
              <w:jc w:val="center"/>
              <w:rPr>
                <w:rFonts w:eastAsia="Arial Unicode MS"/>
                <w:lang w:val="en-US"/>
              </w:rPr>
            </w:pPr>
            <w:r w:rsidRPr="007D59DC">
              <w:rPr>
                <w:rFonts w:eastAsia="Arial Unicode MS"/>
                <w:lang w:val="en-US"/>
              </w:rPr>
              <w:t>37/38</w:t>
            </w:r>
          </w:p>
        </w:tc>
        <w:tc>
          <w:tcPr>
            <w:tcW w:w="1268" w:type="dxa"/>
          </w:tcPr>
          <w:p w14:paraId="1CCDE5D7" w14:textId="77777777" w:rsidR="00405CF3" w:rsidRPr="007D59DC" w:rsidRDefault="00405CF3" w:rsidP="00B625C2">
            <w:pPr>
              <w:jc w:val="center"/>
              <w:rPr>
                <w:rFonts w:eastAsia="Arial Unicode MS"/>
                <w:lang w:val="en-US"/>
              </w:rPr>
            </w:pPr>
            <w:r w:rsidRPr="007D59DC">
              <w:rPr>
                <w:rFonts w:eastAsia="Arial Unicode MS"/>
                <w:lang w:val="en-US"/>
              </w:rPr>
              <w:t>35/35</w:t>
            </w:r>
          </w:p>
        </w:tc>
        <w:tc>
          <w:tcPr>
            <w:tcW w:w="1268" w:type="dxa"/>
          </w:tcPr>
          <w:p w14:paraId="21F72859" w14:textId="77777777" w:rsidR="00405CF3" w:rsidRPr="007D59DC" w:rsidRDefault="00405CF3" w:rsidP="00B625C2">
            <w:pPr>
              <w:jc w:val="center"/>
              <w:rPr>
                <w:rFonts w:eastAsia="Arial Unicode MS"/>
                <w:lang w:val="en-US"/>
              </w:rPr>
            </w:pPr>
            <w:r w:rsidRPr="007D59DC">
              <w:rPr>
                <w:rFonts w:eastAsia="Arial Unicode MS"/>
                <w:lang w:val="en-US"/>
              </w:rPr>
              <w:t>1276 (660)</w:t>
            </w:r>
          </w:p>
        </w:tc>
        <w:tc>
          <w:tcPr>
            <w:tcW w:w="1268" w:type="dxa"/>
          </w:tcPr>
          <w:p w14:paraId="21D39D80" w14:textId="77777777" w:rsidR="00405CF3" w:rsidRPr="007D59DC" w:rsidRDefault="00405CF3" w:rsidP="00B625C2">
            <w:pPr>
              <w:jc w:val="center"/>
              <w:rPr>
                <w:rFonts w:eastAsia="Arial Unicode MS"/>
                <w:lang w:val="en-US"/>
              </w:rPr>
            </w:pPr>
            <w:r w:rsidRPr="007D59DC">
              <w:rPr>
                <w:rFonts w:eastAsia="Arial Unicode MS"/>
                <w:lang w:val="en-US"/>
              </w:rPr>
              <w:t>1377 (689)</w:t>
            </w:r>
          </w:p>
        </w:tc>
        <w:tc>
          <w:tcPr>
            <w:tcW w:w="1268" w:type="dxa"/>
          </w:tcPr>
          <w:p w14:paraId="4E4DEFB2" w14:textId="77777777" w:rsidR="00405CF3" w:rsidRPr="007D59DC" w:rsidRDefault="00405CF3" w:rsidP="00B625C2">
            <w:pPr>
              <w:jc w:val="center"/>
            </w:pPr>
            <w:r w:rsidRPr="007D59DC">
              <w:rPr>
                <w:rFonts w:eastAsia="Arial Unicode MS"/>
                <w:lang w:val="en-US"/>
              </w:rPr>
              <w:t>4</w:t>
            </w:r>
          </w:p>
        </w:tc>
        <w:tc>
          <w:tcPr>
            <w:tcW w:w="1269" w:type="dxa"/>
          </w:tcPr>
          <w:p w14:paraId="1EF16259" w14:textId="77777777" w:rsidR="00405CF3" w:rsidRPr="007D59DC" w:rsidRDefault="00405CF3" w:rsidP="00B625C2">
            <w:pPr>
              <w:jc w:val="center"/>
            </w:pPr>
            <w:r w:rsidRPr="007D59DC">
              <w:rPr>
                <w:rFonts w:eastAsia="Arial Unicode MS"/>
                <w:lang w:val="en-US"/>
              </w:rPr>
              <w:t>8</w:t>
            </w:r>
          </w:p>
        </w:tc>
      </w:tr>
      <w:tr w:rsidR="00405CF3" w:rsidRPr="007D59DC" w14:paraId="0902FAC9" w14:textId="77777777" w:rsidTr="00405CF3">
        <w:trPr>
          <w:trHeight w:val="324"/>
        </w:trPr>
        <w:tc>
          <w:tcPr>
            <w:tcW w:w="1225" w:type="dxa"/>
            <w:tcBorders>
              <w:bottom w:val="single" w:sz="4" w:space="0" w:color="auto"/>
            </w:tcBorders>
          </w:tcPr>
          <w:p w14:paraId="711BDF41" w14:textId="77777777" w:rsidR="00405CF3" w:rsidRPr="007D59DC" w:rsidRDefault="00405CF3" w:rsidP="00B625C2">
            <w:pPr>
              <w:rPr>
                <w:rFonts w:eastAsia="Arial Unicode MS"/>
                <w:lang w:val="en-US"/>
              </w:rPr>
            </w:pPr>
            <w:r w:rsidRPr="007D59DC">
              <w:rPr>
                <w:rFonts w:eastAsia="Arial Unicode MS"/>
                <w:lang w:val="en-US"/>
              </w:rPr>
              <w:t>Current trial</w:t>
            </w:r>
            <w:r w:rsidRPr="00E83B5A">
              <w:rPr>
                <w:rFonts w:eastAsia="Arial Unicode MS"/>
                <w:vertAlign w:val="superscript"/>
                <w:lang w:val="en-US"/>
              </w:rPr>
              <w:t>%</w:t>
            </w:r>
          </w:p>
        </w:tc>
        <w:tc>
          <w:tcPr>
            <w:tcW w:w="522" w:type="dxa"/>
            <w:tcBorders>
              <w:bottom w:val="single" w:sz="4" w:space="0" w:color="auto"/>
            </w:tcBorders>
          </w:tcPr>
          <w:p w14:paraId="5550BB0C" w14:textId="77777777" w:rsidR="00405CF3" w:rsidRPr="007D59DC" w:rsidRDefault="00405CF3" w:rsidP="00B625C2">
            <w:pPr>
              <w:jc w:val="center"/>
              <w:rPr>
                <w:rFonts w:eastAsia="Arial Unicode MS"/>
                <w:lang w:val="en-US"/>
              </w:rPr>
            </w:pPr>
            <w:r w:rsidRPr="007D59DC">
              <w:rPr>
                <w:rFonts w:eastAsia="Arial Unicode MS"/>
                <w:lang w:val="en-US"/>
              </w:rPr>
              <w:t>2017</w:t>
            </w:r>
          </w:p>
        </w:tc>
        <w:tc>
          <w:tcPr>
            <w:tcW w:w="1268" w:type="dxa"/>
            <w:tcBorders>
              <w:bottom w:val="single" w:sz="4" w:space="0" w:color="auto"/>
            </w:tcBorders>
          </w:tcPr>
          <w:p w14:paraId="15248DB5" w14:textId="77777777" w:rsidR="00405CF3" w:rsidRPr="007D59DC" w:rsidRDefault="00405CF3" w:rsidP="00B625C2">
            <w:pPr>
              <w:jc w:val="center"/>
              <w:rPr>
                <w:rFonts w:eastAsia="Arial Unicode MS"/>
                <w:lang w:val="en-US"/>
              </w:rPr>
            </w:pPr>
            <w:r w:rsidRPr="007D59DC">
              <w:rPr>
                <w:rFonts w:eastAsia="Arial Unicode MS"/>
                <w:lang w:val="en-US"/>
              </w:rPr>
              <w:t>84/84</w:t>
            </w:r>
          </w:p>
        </w:tc>
        <w:tc>
          <w:tcPr>
            <w:tcW w:w="1268" w:type="dxa"/>
            <w:tcBorders>
              <w:bottom w:val="single" w:sz="4" w:space="0" w:color="auto"/>
            </w:tcBorders>
          </w:tcPr>
          <w:p w14:paraId="365D2422" w14:textId="77777777" w:rsidR="00405CF3" w:rsidRPr="007D59DC" w:rsidRDefault="00405CF3" w:rsidP="00B625C2">
            <w:pPr>
              <w:jc w:val="center"/>
              <w:rPr>
                <w:rFonts w:eastAsia="Arial Unicode MS"/>
                <w:lang w:val="en-US"/>
              </w:rPr>
            </w:pPr>
            <w:r w:rsidRPr="007D59DC">
              <w:rPr>
                <w:rFonts w:eastAsia="Arial Unicode MS"/>
                <w:lang w:val="en-US"/>
              </w:rPr>
              <w:t>83/84</w:t>
            </w:r>
          </w:p>
        </w:tc>
        <w:tc>
          <w:tcPr>
            <w:tcW w:w="1268" w:type="dxa"/>
            <w:tcBorders>
              <w:bottom w:val="single" w:sz="4" w:space="0" w:color="auto"/>
            </w:tcBorders>
          </w:tcPr>
          <w:p w14:paraId="2E3FFBDA" w14:textId="77777777" w:rsidR="00405CF3" w:rsidRPr="007D59DC" w:rsidRDefault="00405CF3" w:rsidP="00B625C2">
            <w:pPr>
              <w:jc w:val="center"/>
              <w:rPr>
                <w:rFonts w:eastAsia="Arial Unicode MS"/>
                <w:lang w:val="en-US"/>
              </w:rPr>
            </w:pPr>
            <w:r w:rsidRPr="007D59DC">
              <w:rPr>
                <w:rFonts w:eastAsia="Arial Unicode MS"/>
                <w:lang w:val="en-US"/>
              </w:rPr>
              <w:t>919 (338)</w:t>
            </w:r>
          </w:p>
        </w:tc>
        <w:tc>
          <w:tcPr>
            <w:tcW w:w="1268" w:type="dxa"/>
            <w:tcBorders>
              <w:bottom w:val="single" w:sz="4" w:space="0" w:color="auto"/>
            </w:tcBorders>
          </w:tcPr>
          <w:p w14:paraId="67ADA951" w14:textId="5F3C492D" w:rsidR="00405CF3" w:rsidRPr="007D59DC" w:rsidRDefault="00405CF3" w:rsidP="00B625C2">
            <w:pPr>
              <w:jc w:val="center"/>
              <w:rPr>
                <w:rFonts w:eastAsia="Arial Unicode MS"/>
                <w:lang w:val="en-US"/>
              </w:rPr>
            </w:pPr>
            <w:r w:rsidRPr="007D59DC">
              <w:rPr>
                <w:rFonts w:eastAsia="Arial Unicode MS"/>
                <w:lang w:val="en-US"/>
              </w:rPr>
              <w:t>888 (366)</w:t>
            </w:r>
          </w:p>
        </w:tc>
        <w:tc>
          <w:tcPr>
            <w:tcW w:w="1268" w:type="dxa"/>
            <w:tcBorders>
              <w:bottom w:val="single" w:sz="4" w:space="0" w:color="auto"/>
            </w:tcBorders>
          </w:tcPr>
          <w:p w14:paraId="0C458170" w14:textId="77777777" w:rsidR="00405CF3" w:rsidRPr="007D59DC" w:rsidRDefault="00405CF3" w:rsidP="00B625C2">
            <w:pPr>
              <w:jc w:val="center"/>
            </w:pPr>
            <w:r w:rsidRPr="007D59DC">
              <w:rPr>
                <w:rFonts w:eastAsia="Arial Unicode MS"/>
                <w:lang w:val="en-US"/>
              </w:rPr>
              <w:t>3</w:t>
            </w:r>
          </w:p>
        </w:tc>
        <w:tc>
          <w:tcPr>
            <w:tcW w:w="1269" w:type="dxa"/>
            <w:tcBorders>
              <w:bottom w:val="single" w:sz="4" w:space="0" w:color="auto"/>
            </w:tcBorders>
          </w:tcPr>
          <w:p w14:paraId="61836693" w14:textId="77777777" w:rsidR="00405CF3" w:rsidRPr="007D59DC" w:rsidRDefault="00405CF3" w:rsidP="00B625C2">
            <w:pPr>
              <w:jc w:val="center"/>
            </w:pPr>
            <w:r w:rsidRPr="007D59DC">
              <w:rPr>
                <w:rFonts w:eastAsia="Arial Unicode MS"/>
                <w:lang w:val="en-US"/>
              </w:rPr>
              <w:t>3</w:t>
            </w:r>
          </w:p>
        </w:tc>
      </w:tr>
    </w:tbl>
    <w:p w14:paraId="525B9B47" w14:textId="77777777" w:rsidR="00405CF3" w:rsidRDefault="00405CF3" w:rsidP="00405CF3">
      <w:pPr>
        <w:rPr>
          <w:sz w:val="24"/>
          <w:lang w:val="en-US"/>
        </w:rPr>
      </w:pPr>
    </w:p>
    <w:p w14:paraId="1F60DDB8" w14:textId="77777777" w:rsidR="00405CF3" w:rsidRPr="00E31C49" w:rsidRDefault="00405CF3" w:rsidP="00405CF3">
      <w:pPr>
        <w:rPr>
          <w:sz w:val="24"/>
          <w:lang w:val="en-US"/>
        </w:rPr>
      </w:pPr>
    </w:p>
    <w:p w14:paraId="62269709" w14:textId="77777777" w:rsidR="00405CF3" w:rsidRDefault="00405CF3" w:rsidP="00405CF3">
      <w:pPr>
        <w:autoSpaceDE/>
        <w:autoSpaceDN/>
        <w:rPr>
          <w:sz w:val="24"/>
          <w:szCs w:val="24"/>
          <w:lang w:val="en-US"/>
        </w:rPr>
      </w:pPr>
    </w:p>
    <w:p w14:paraId="7D7D2123" w14:textId="77777777" w:rsidR="00405CF3" w:rsidRDefault="00405CF3" w:rsidP="00405CF3">
      <w:pPr>
        <w:autoSpaceDE/>
        <w:autoSpaceDN/>
        <w:rPr>
          <w:sz w:val="24"/>
          <w:szCs w:val="24"/>
          <w:lang w:val="en-US"/>
        </w:rPr>
      </w:pPr>
    </w:p>
    <w:p w14:paraId="446D38FF" w14:textId="77777777" w:rsidR="00405CF3" w:rsidRDefault="00405CF3" w:rsidP="00405CF3">
      <w:pPr>
        <w:autoSpaceDE/>
        <w:autoSpaceDN/>
        <w:rPr>
          <w:sz w:val="24"/>
          <w:szCs w:val="24"/>
          <w:lang w:val="en-US"/>
        </w:rPr>
      </w:pPr>
    </w:p>
    <w:p w14:paraId="2D305D17" w14:textId="77777777" w:rsidR="00405CF3" w:rsidRDefault="00405CF3" w:rsidP="00405CF3">
      <w:pPr>
        <w:autoSpaceDE/>
        <w:autoSpaceDN/>
        <w:rPr>
          <w:sz w:val="24"/>
          <w:szCs w:val="24"/>
          <w:lang w:val="en-US"/>
        </w:rPr>
      </w:pPr>
    </w:p>
    <w:p w14:paraId="336FF5A7" w14:textId="77777777" w:rsidR="00405CF3" w:rsidRDefault="00405CF3" w:rsidP="00405CF3">
      <w:pPr>
        <w:autoSpaceDE/>
        <w:autoSpaceDN/>
        <w:rPr>
          <w:sz w:val="24"/>
          <w:szCs w:val="24"/>
          <w:lang w:val="en-US"/>
        </w:rPr>
      </w:pPr>
    </w:p>
    <w:p w14:paraId="692FC748" w14:textId="77777777" w:rsidR="00405CF3" w:rsidRDefault="00405CF3" w:rsidP="00405CF3">
      <w:pPr>
        <w:autoSpaceDE/>
        <w:autoSpaceDN/>
        <w:rPr>
          <w:sz w:val="24"/>
          <w:szCs w:val="24"/>
          <w:lang w:val="en-US"/>
        </w:rPr>
      </w:pPr>
    </w:p>
    <w:p w14:paraId="68FCF729" w14:textId="77777777" w:rsidR="00015413" w:rsidRDefault="00015413">
      <w:pPr>
        <w:autoSpaceDE/>
        <w:autoSpaceDN/>
        <w:spacing w:after="200" w:line="276" w:lineRule="auto"/>
        <w:rPr>
          <w:sz w:val="24"/>
          <w:szCs w:val="24"/>
          <w:lang w:val="en-US"/>
        </w:rPr>
      </w:pPr>
      <w:r>
        <w:rPr>
          <w:sz w:val="24"/>
          <w:szCs w:val="24"/>
          <w:lang w:val="en-US"/>
        </w:rPr>
        <w:br w:type="page"/>
      </w:r>
    </w:p>
    <w:p w14:paraId="4BA2D036" w14:textId="77777777" w:rsidR="00405CF3" w:rsidRPr="00E47A0E" w:rsidRDefault="00E47A0E" w:rsidP="00570855">
      <w:pPr>
        <w:pStyle w:val="Heading1"/>
        <w:rPr>
          <w:szCs w:val="24"/>
          <w:lang w:val="en-US"/>
        </w:rPr>
      </w:pPr>
      <w:bookmarkStart w:id="10" w:name="_Toc482278817"/>
      <w:r w:rsidRPr="00E47A0E">
        <w:rPr>
          <w:lang w:val="en-US"/>
        </w:rPr>
        <w:lastRenderedPageBreak/>
        <w:t>Meta-analysis forest plot for red blood cell transfusion</w:t>
      </w:r>
      <w:bookmarkEnd w:id="10"/>
    </w:p>
    <w:p w14:paraId="401A8C2C" w14:textId="77777777" w:rsidR="00015413" w:rsidRDefault="00015413" w:rsidP="00405CF3">
      <w:pPr>
        <w:autoSpaceDE/>
        <w:autoSpaceDN/>
        <w:rPr>
          <w:sz w:val="24"/>
          <w:szCs w:val="24"/>
          <w:lang w:val="en-US"/>
        </w:rPr>
      </w:pPr>
    </w:p>
    <w:p w14:paraId="558044AE" w14:textId="77777777" w:rsidR="00015413" w:rsidRDefault="00015413" w:rsidP="00405CF3">
      <w:pPr>
        <w:autoSpaceDE/>
        <w:autoSpaceDN/>
        <w:rPr>
          <w:sz w:val="24"/>
          <w:szCs w:val="24"/>
          <w:lang w:val="en-US"/>
        </w:rPr>
      </w:pPr>
    </w:p>
    <w:p w14:paraId="34D7B91A" w14:textId="77777777" w:rsidR="00015413" w:rsidRDefault="00015413" w:rsidP="00405CF3">
      <w:pPr>
        <w:autoSpaceDE/>
        <w:autoSpaceDN/>
        <w:rPr>
          <w:sz w:val="24"/>
          <w:szCs w:val="24"/>
          <w:lang w:val="en-US"/>
        </w:rPr>
      </w:pPr>
    </w:p>
    <w:p w14:paraId="52E4F7E1" w14:textId="77777777" w:rsidR="00015413" w:rsidRDefault="00015413" w:rsidP="00405CF3">
      <w:pPr>
        <w:autoSpaceDE/>
        <w:autoSpaceDN/>
        <w:rPr>
          <w:sz w:val="24"/>
          <w:szCs w:val="24"/>
          <w:lang w:val="en-US"/>
        </w:rPr>
      </w:pPr>
    </w:p>
    <w:p w14:paraId="35065FFC" w14:textId="77777777" w:rsidR="00405CF3" w:rsidRDefault="00015413" w:rsidP="00405CF3">
      <w:pPr>
        <w:autoSpaceDE/>
        <w:autoSpaceDN/>
        <w:rPr>
          <w:sz w:val="24"/>
          <w:szCs w:val="24"/>
          <w:lang w:val="en-US"/>
        </w:rPr>
      </w:pPr>
      <w:r>
        <w:rPr>
          <w:noProof/>
          <w:sz w:val="24"/>
          <w:szCs w:val="24"/>
          <w:lang w:val="en-US" w:eastAsia="en-US"/>
        </w:rPr>
        <mc:AlternateContent>
          <mc:Choice Requires="wps">
            <w:drawing>
              <wp:anchor distT="0" distB="0" distL="114300" distR="114300" simplePos="0" relativeHeight="251660288" behindDoc="0" locked="0" layoutInCell="1" allowOverlap="1" wp14:anchorId="551A9CB2" wp14:editId="78FA466E">
                <wp:simplePos x="0" y="0"/>
                <wp:positionH relativeFrom="column">
                  <wp:posOffset>33020</wp:posOffset>
                </wp:positionH>
                <wp:positionV relativeFrom="paragraph">
                  <wp:posOffset>156845</wp:posOffset>
                </wp:positionV>
                <wp:extent cx="5650302" cy="3552825"/>
                <wp:effectExtent l="0" t="0" r="26670" b="28575"/>
                <wp:wrapNone/>
                <wp:docPr id="738" name="Zone de texte 738"/>
                <wp:cNvGraphicFramePr/>
                <a:graphic xmlns:a="http://schemas.openxmlformats.org/drawingml/2006/main">
                  <a:graphicData uri="http://schemas.microsoft.com/office/word/2010/wordprocessingShape">
                    <wps:wsp>
                      <wps:cNvSpPr txBox="1"/>
                      <wps:spPr>
                        <a:xfrm>
                          <a:off x="0" y="0"/>
                          <a:ext cx="5650302" cy="3552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BE578B" w14:textId="77777777" w:rsidR="00015413" w:rsidRDefault="000D29D2">
                            <w:r w:rsidRPr="000D29D2">
                              <w:rPr>
                                <w:noProof/>
                                <w:lang w:val="en-US" w:eastAsia="en-US"/>
                              </w:rPr>
                              <w:drawing>
                                <wp:inline distT="0" distB="0" distL="0" distR="0" wp14:anchorId="455714B0" wp14:editId="38C184D2">
                                  <wp:extent cx="5461000" cy="340193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1000" cy="34019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1A9CB2" id="Zone de texte 738" o:spid="_x0000_s1027" type="#_x0000_t202" style="position:absolute;margin-left:2.6pt;margin-top:12.35pt;width:444.9pt;height:27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" fillcolor="white [3201]" strokeweight=".5pt">
                <v:textbox>
                  <w:txbxContent>
                    <w:p w14:paraId="34BE578B" w14:textId="77777777" w:rsidR="00015413" w:rsidRDefault="000D29D2">
                      <w:r w:rsidRPr="000D29D2">
                        <w:rPr>
                          <w:noProof/>
                          <w:lang w:val="en-US" w:eastAsia="en-US"/>
                        </w:rPr>
                        <w:drawing>
                          <wp:inline distT="0" distB="0" distL="0" distR="0" wp14:anchorId="455714B0" wp14:editId="38C184D2">
                            <wp:extent cx="5461000" cy="340193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1000" cy="3401934"/>
                                    </a:xfrm>
                                    <a:prstGeom prst="rect">
                                      <a:avLst/>
                                    </a:prstGeom>
                                    <a:noFill/>
                                    <a:ln>
                                      <a:noFill/>
                                    </a:ln>
                                  </pic:spPr>
                                </pic:pic>
                              </a:graphicData>
                            </a:graphic>
                          </wp:inline>
                        </w:drawing>
                      </w:r>
                    </w:p>
                  </w:txbxContent>
                </v:textbox>
              </v:shape>
            </w:pict>
          </mc:Fallback>
        </mc:AlternateContent>
      </w:r>
    </w:p>
    <w:p w14:paraId="509D19F1" w14:textId="77777777" w:rsidR="00405CF3" w:rsidRDefault="00405CF3" w:rsidP="00405CF3">
      <w:pPr>
        <w:autoSpaceDE/>
        <w:autoSpaceDN/>
        <w:rPr>
          <w:sz w:val="24"/>
          <w:szCs w:val="24"/>
          <w:lang w:val="en-US"/>
        </w:rPr>
      </w:pPr>
    </w:p>
    <w:p w14:paraId="35F912C2" w14:textId="77777777" w:rsidR="00405CF3" w:rsidRDefault="00405CF3" w:rsidP="00405CF3">
      <w:pPr>
        <w:autoSpaceDE/>
        <w:autoSpaceDN/>
        <w:rPr>
          <w:sz w:val="24"/>
          <w:szCs w:val="24"/>
          <w:lang w:val="en-US"/>
        </w:rPr>
      </w:pPr>
    </w:p>
    <w:p w14:paraId="2F517F02" w14:textId="77777777" w:rsidR="00405CF3" w:rsidRDefault="00405CF3" w:rsidP="00405CF3">
      <w:pPr>
        <w:autoSpaceDE/>
        <w:autoSpaceDN/>
        <w:rPr>
          <w:sz w:val="24"/>
          <w:szCs w:val="24"/>
          <w:lang w:val="en-US"/>
        </w:rPr>
      </w:pPr>
    </w:p>
    <w:p w14:paraId="64824418" w14:textId="77777777" w:rsidR="00405CF3" w:rsidRDefault="00405CF3" w:rsidP="00405CF3">
      <w:pPr>
        <w:autoSpaceDE/>
        <w:autoSpaceDN/>
        <w:rPr>
          <w:sz w:val="24"/>
          <w:szCs w:val="24"/>
          <w:lang w:val="en-US"/>
        </w:rPr>
      </w:pPr>
    </w:p>
    <w:p w14:paraId="747B3AC9" w14:textId="77777777" w:rsidR="00405CF3" w:rsidRDefault="00405CF3" w:rsidP="00405CF3">
      <w:pPr>
        <w:autoSpaceDE/>
        <w:autoSpaceDN/>
        <w:rPr>
          <w:sz w:val="24"/>
          <w:szCs w:val="24"/>
          <w:lang w:val="en-US"/>
        </w:rPr>
      </w:pPr>
    </w:p>
    <w:p w14:paraId="368B2AB4" w14:textId="77777777" w:rsidR="00405CF3" w:rsidRDefault="00405CF3" w:rsidP="00405CF3">
      <w:pPr>
        <w:autoSpaceDE/>
        <w:autoSpaceDN/>
        <w:rPr>
          <w:sz w:val="24"/>
          <w:szCs w:val="24"/>
          <w:lang w:val="en-US"/>
        </w:rPr>
      </w:pPr>
    </w:p>
    <w:p w14:paraId="13F214A2" w14:textId="77777777" w:rsidR="00405CF3" w:rsidRDefault="00405CF3" w:rsidP="00405CF3">
      <w:pPr>
        <w:autoSpaceDE/>
        <w:autoSpaceDN/>
        <w:rPr>
          <w:sz w:val="24"/>
          <w:szCs w:val="24"/>
          <w:lang w:val="en-US"/>
        </w:rPr>
      </w:pPr>
    </w:p>
    <w:p w14:paraId="490E4B24" w14:textId="77777777" w:rsidR="0033004F" w:rsidRPr="00405CF3" w:rsidRDefault="0033004F">
      <w:pPr>
        <w:autoSpaceDE/>
        <w:autoSpaceDN/>
        <w:spacing w:after="200" w:line="276" w:lineRule="auto"/>
        <w:rPr>
          <w:b/>
          <w:sz w:val="24"/>
          <w:szCs w:val="24"/>
          <w:lang w:val="en-US"/>
        </w:rPr>
      </w:pPr>
      <w:r w:rsidRPr="00405CF3">
        <w:rPr>
          <w:b/>
          <w:sz w:val="24"/>
          <w:szCs w:val="24"/>
          <w:lang w:val="en-US"/>
        </w:rPr>
        <w:br w:type="page"/>
      </w:r>
    </w:p>
    <w:p w14:paraId="44657813" w14:textId="33AEC874" w:rsidR="006A79B2" w:rsidRPr="000A6D40" w:rsidRDefault="00DD1919" w:rsidP="00DD1919">
      <w:pPr>
        <w:pStyle w:val="Heading1"/>
        <w:rPr>
          <w:lang w:val="en-US"/>
        </w:rPr>
      </w:pPr>
      <w:bookmarkStart w:id="11" w:name="_Toc482278818"/>
      <w:r w:rsidRPr="000A6D40">
        <w:rPr>
          <w:lang w:val="en-US"/>
        </w:rPr>
        <w:lastRenderedPageBreak/>
        <w:t>References</w:t>
      </w:r>
      <w:bookmarkEnd w:id="11"/>
    </w:p>
    <w:p w14:paraId="03BC3C22" w14:textId="77777777" w:rsidR="009E67D6" w:rsidRPr="0093048D" w:rsidRDefault="009E67D6" w:rsidP="006E3C20">
      <w:pPr>
        <w:rPr>
          <w:sz w:val="24"/>
          <w:szCs w:val="24"/>
          <w:lang w:val="en-US"/>
        </w:rPr>
      </w:pPr>
    </w:p>
    <w:p w14:paraId="675BA5E9" w14:textId="77777777" w:rsidR="009E67D6" w:rsidRPr="00DC71D8" w:rsidRDefault="009E67D6" w:rsidP="00DC71D8">
      <w:pPr>
        <w:spacing w:line="480" w:lineRule="auto"/>
        <w:rPr>
          <w:sz w:val="24"/>
          <w:szCs w:val="24"/>
          <w:lang w:val="en-US"/>
        </w:rPr>
      </w:pPr>
    </w:p>
    <w:p w14:paraId="3A6650D2" w14:textId="52C46E49" w:rsidR="00941BCC" w:rsidRPr="00DC71D8" w:rsidRDefault="00A957AE" w:rsidP="00DC71D8">
      <w:pPr>
        <w:pStyle w:val="Bibliography"/>
        <w:spacing w:line="480" w:lineRule="auto"/>
        <w:rPr>
          <w:sz w:val="24"/>
          <w:szCs w:val="24"/>
          <w:lang w:val="en-US"/>
        </w:rPr>
      </w:pPr>
      <w:r w:rsidRPr="00DC71D8">
        <w:rPr>
          <w:sz w:val="24"/>
          <w:szCs w:val="24"/>
        </w:rPr>
        <w:fldChar w:fldCharType="begin"/>
      </w:r>
      <w:r w:rsidR="00941BCC" w:rsidRPr="00DC71D8">
        <w:rPr>
          <w:sz w:val="24"/>
          <w:szCs w:val="24"/>
          <w:lang w:val="en-US"/>
        </w:rPr>
        <w:instrText xml:space="preserve"> ADDIN ZOTERO_BIBL {"custom":[]} CSL_BIBLIOGRAPHY </w:instrText>
      </w:r>
      <w:r w:rsidRPr="00DC71D8">
        <w:rPr>
          <w:sz w:val="24"/>
          <w:szCs w:val="24"/>
        </w:rPr>
        <w:fldChar w:fldCharType="separate"/>
      </w:r>
      <w:r w:rsidR="00941BCC" w:rsidRPr="00DC71D8">
        <w:rPr>
          <w:sz w:val="24"/>
          <w:szCs w:val="24"/>
          <w:lang w:val="en-US"/>
        </w:rPr>
        <w:t>1.</w:t>
      </w:r>
      <w:r w:rsidR="00941BCC" w:rsidRPr="00DC71D8">
        <w:rPr>
          <w:sz w:val="24"/>
          <w:szCs w:val="24"/>
          <w:lang w:val="en-US"/>
        </w:rPr>
        <w:tab/>
        <w:t>Johansson T, Pettersson L-G, Lisander B: Tranexamic acid in total hip arthroplasty saves blood and money: a randomized, double-blind study in 100 patients. Acta Orthop 2005; 76:314–9</w:t>
      </w:r>
    </w:p>
    <w:p w14:paraId="02375731" w14:textId="7EE1D223" w:rsidR="00941BCC" w:rsidRPr="00DC71D8" w:rsidRDefault="00941BCC" w:rsidP="00DC71D8">
      <w:pPr>
        <w:pStyle w:val="Bibliography"/>
        <w:spacing w:line="480" w:lineRule="auto"/>
        <w:rPr>
          <w:sz w:val="24"/>
          <w:szCs w:val="24"/>
          <w:lang w:val="en-US"/>
        </w:rPr>
      </w:pPr>
      <w:r w:rsidRPr="00DC71D8">
        <w:rPr>
          <w:sz w:val="24"/>
          <w:szCs w:val="24"/>
          <w:lang w:val="en-US"/>
        </w:rPr>
        <w:t>2.</w:t>
      </w:r>
      <w:r w:rsidRPr="00DC71D8">
        <w:rPr>
          <w:sz w:val="24"/>
          <w:szCs w:val="24"/>
          <w:lang w:val="en-US"/>
        </w:rPr>
        <w:tab/>
        <w:t>Rosencher N, Kerkkamp HEM, Macheras G, L. M. Munuera, Menichella G, Barton DM, Cremers S, Abraham IL, OSTHEO Investigation: Orthopedic Surgery Transfusion Hemoglobin European Overview (OSTHEO) study: blood management in elective knee and hip arthroplasty in Europe. Transfusion 2003; 43:459–69</w:t>
      </w:r>
    </w:p>
    <w:p w14:paraId="2018B08B" w14:textId="77777777" w:rsidR="00941BCC" w:rsidRPr="00DC71D8" w:rsidRDefault="00941BCC" w:rsidP="00DC71D8">
      <w:pPr>
        <w:pStyle w:val="Bibliography"/>
        <w:spacing w:line="480" w:lineRule="auto"/>
        <w:rPr>
          <w:sz w:val="24"/>
          <w:szCs w:val="24"/>
          <w:lang w:val="en-US"/>
        </w:rPr>
      </w:pPr>
      <w:r w:rsidRPr="00DC71D8">
        <w:rPr>
          <w:sz w:val="24"/>
          <w:szCs w:val="24"/>
          <w:lang w:val="en-US"/>
        </w:rPr>
        <w:t>3.</w:t>
      </w:r>
      <w:r w:rsidRPr="00DC71D8">
        <w:rPr>
          <w:sz w:val="24"/>
          <w:szCs w:val="24"/>
          <w:lang w:val="en-US"/>
        </w:rPr>
        <w:tab/>
        <w:t>Duquenne P, Lhoehst L, Henkes W, De Sart F: Tranexamic acid reduces postoperative blood losses associated with elective total hip replacement. J Bone Joint Surg Br 1999; 81(suppl 2):233</w:t>
      </w:r>
    </w:p>
    <w:p w14:paraId="6E3991BF" w14:textId="77777777" w:rsidR="00941BCC" w:rsidRPr="00DC71D8" w:rsidRDefault="00941BCC" w:rsidP="00DC71D8">
      <w:pPr>
        <w:pStyle w:val="Bibliography"/>
        <w:spacing w:line="480" w:lineRule="auto"/>
        <w:rPr>
          <w:sz w:val="24"/>
          <w:szCs w:val="24"/>
          <w:lang w:val="en-US"/>
        </w:rPr>
      </w:pPr>
      <w:r w:rsidRPr="00DC71D8">
        <w:rPr>
          <w:sz w:val="24"/>
          <w:szCs w:val="24"/>
          <w:lang w:val="en-US"/>
        </w:rPr>
        <w:t>4.</w:t>
      </w:r>
      <w:r w:rsidRPr="00DC71D8">
        <w:rPr>
          <w:sz w:val="24"/>
          <w:szCs w:val="24"/>
          <w:lang w:val="en-US"/>
        </w:rPr>
        <w:tab/>
        <w:t>Benoni G, Fredin H, Knebel R, Nilsson P: Blood conservation with tranexamic acid in total hip arthroplasty: a randomized, double-blind study in 40 primary operations. Acta Orthop Scand 2001; 72:442–8</w:t>
      </w:r>
    </w:p>
    <w:p w14:paraId="319947A5" w14:textId="77777777" w:rsidR="00941BCC" w:rsidRPr="00DC71D8" w:rsidRDefault="00941BCC" w:rsidP="00DC71D8">
      <w:pPr>
        <w:pStyle w:val="Bibliography"/>
        <w:spacing w:line="480" w:lineRule="auto"/>
        <w:rPr>
          <w:sz w:val="24"/>
          <w:szCs w:val="24"/>
          <w:lang w:val="en-US"/>
        </w:rPr>
      </w:pPr>
      <w:r w:rsidRPr="00DC71D8">
        <w:rPr>
          <w:sz w:val="24"/>
          <w:szCs w:val="24"/>
          <w:lang w:val="en-US"/>
        </w:rPr>
        <w:t>5.</w:t>
      </w:r>
      <w:r w:rsidRPr="00DC71D8">
        <w:rPr>
          <w:sz w:val="24"/>
          <w:szCs w:val="24"/>
          <w:lang w:val="en-US"/>
        </w:rPr>
        <w:tab/>
        <w:t>Yamasaki S, Masuhara K, Fuji T: Tranexamic acid reduces blood loss after cementless total hip arthroplasty-prospective randomized study in 40 cases. Int Orthop 2004; 28:69–73</w:t>
      </w:r>
    </w:p>
    <w:p w14:paraId="605E5723" w14:textId="77777777" w:rsidR="00941BCC" w:rsidRPr="00DC71D8" w:rsidRDefault="00941BCC" w:rsidP="00DC71D8">
      <w:pPr>
        <w:pStyle w:val="Bibliography"/>
        <w:spacing w:line="480" w:lineRule="auto"/>
        <w:rPr>
          <w:sz w:val="24"/>
          <w:szCs w:val="24"/>
          <w:lang w:val="en-US"/>
        </w:rPr>
      </w:pPr>
      <w:r w:rsidRPr="00DC71D8">
        <w:rPr>
          <w:sz w:val="24"/>
          <w:szCs w:val="24"/>
          <w:lang w:val="en-US"/>
        </w:rPr>
        <w:t>6.</w:t>
      </w:r>
      <w:r w:rsidRPr="00DC71D8">
        <w:rPr>
          <w:sz w:val="24"/>
          <w:szCs w:val="24"/>
          <w:lang w:val="en-US"/>
        </w:rPr>
        <w:tab/>
        <w:t>Lemay E, Guay J, Côté C, Roy A: Tranexamic acid reduces the need for allogenic red blood cell transfusions in patients undergoing total hip replacement. Can J Anaesth 2004; 51:31–7</w:t>
      </w:r>
    </w:p>
    <w:p w14:paraId="1E41BD86" w14:textId="77777777" w:rsidR="00941BCC" w:rsidRPr="00DC71D8" w:rsidRDefault="00941BCC" w:rsidP="00DC71D8">
      <w:pPr>
        <w:pStyle w:val="Bibliography"/>
        <w:spacing w:line="480" w:lineRule="auto"/>
        <w:rPr>
          <w:sz w:val="24"/>
          <w:szCs w:val="24"/>
          <w:lang w:val="en-US"/>
        </w:rPr>
      </w:pPr>
      <w:r w:rsidRPr="00DC71D8">
        <w:rPr>
          <w:sz w:val="24"/>
          <w:szCs w:val="24"/>
          <w:lang w:val="en-US"/>
        </w:rPr>
        <w:t>7.</w:t>
      </w:r>
      <w:r w:rsidRPr="00DC71D8">
        <w:rPr>
          <w:sz w:val="24"/>
          <w:szCs w:val="24"/>
          <w:lang w:val="en-US"/>
        </w:rPr>
        <w:tab/>
        <w:t>Garneti N, Field J: Bone bleeding during total hip arthroplasty after administration of tranexamic acid. J Arthroplasty 2004; 19:488–92</w:t>
      </w:r>
    </w:p>
    <w:p w14:paraId="5B106F0E" w14:textId="77777777" w:rsidR="00941BCC" w:rsidRPr="00DC71D8" w:rsidRDefault="00941BCC" w:rsidP="00DC71D8">
      <w:pPr>
        <w:pStyle w:val="Bibliography"/>
        <w:spacing w:line="480" w:lineRule="auto"/>
        <w:rPr>
          <w:sz w:val="24"/>
          <w:szCs w:val="24"/>
          <w:lang w:val="en-US"/>
        </w:rPr>
      </w:pPr>
      <w:r w:rsidRPr="00DC71D8">
        <w:rPr>
          <w:sz w:val="24"/>
          <w:szCs w:val="24"/>
          <w:lang w:val="en-US"/>
        </w:rPr>
        <w:lastRenderedPageBreak/>
        <w:t>8.</w:t>
      </w:r>
      <w:r w:rsidRPr="00DC71D8">
        <w:rPr>
          <w:sz w:val="24"/>
          <w:szCs w:val="24"/>
          <w:lang w:val="en-US"/>
        </w:rPr>
        <w:tab/>
        <w:t>Claeys MA, Vermeersch N, Haentjens P: Reduction of blood loss with tranexamic acid in primary total hip replacement surgery. Acta Chir Belg 2007; 107:397–401</w:t>
      </w:r>
    </w:p>
    <w:p w14:paraId="208160D4" w14:textId="77777777" w:rsidR="00941BCC" w:rsidRPr="00DC71D8" w:rsidRDefault="00941BCC" w:rsidP="00DC71D8">
      <w:pPr>
        <w:pStyle w:val="Bibliography"/>
        <w:spacing w:line="480" w:lineRule="auto"/>
        <w:rPr>
          <w:sz w:val="24"/>
          <w:szCs w:val="24"/>
          <w:lang w:val="en-US"/>
        </w:rPr>
      </w:pPr>
      <w:r w:rsidRPr="00DC71D8">
        <w:rPr>
          <w:sz w:val="24"/>
          <w:szCs w:val="24"/>
          <w:lang w:val="en-US"/>
        </w:rPr>
        <w:t>9.</w:t>
      </w:r>
      <w:r w:rsidRPr="00DC71D8">
        <w:rPr>
          <w:sz w:val="24"/>
          <w:szCs w:val="24"/>
          <w:lang w:val="en-US"/>
        </w:rPr>
        <w:tab/>
        <w:t>Rajesparan K, Biant LC, Ahmad M, Field RE: The effect of an intravenous bolus of tranexamic acid on blood loss in total hip replacement. J Bone Joint Surg Br 2009; 91:776–83</w:t>
      </w:r>
    </w:p>
    <w:p w14:paraId="1E6C5858" w14:textId="77777777" w:rsidR="00941BCC" w:rsidRPr="00DC71D8" w:rsidRDefault="00941BCC" w:rsidP="00DC71D8">
      <w:pPr>
        <w:pStyle w:val="Bibliography"/>
        <w:spacing w:line="480" w:lineRule="auto"/>
        <w:rPr>
          <w:sz w:val="24"/>
          <w:szCs w:val="24"/>
          <w:lang w:val="en-US"/>
        </w:rPr>
      </w:pPr>
      <w:r w:rsidRPr="00DC71D8">
        <w:rPr>
          <w:sz w:val="24"/>
          <w:szCs w:val="24"/>
          <w:lang w:val="en-US"/>
        </w:rPr>
        <w:t>10.</w:t>
      </w:r>
      <w:r w:rsidRPr="00DC71D8">
        <w:rPr>
          <w:sz w:val="24"/>
          <w:szCs w:val="24"/>
          <w:lang w:val="en-US"/>
        </w:rPr>
        <w:tab/>
        <w:t>Kazemi SM, Mosaffa F, Eajazi A, Kaffashi M, Daftari Besheli L, Bigdeli MR, Zanganeh RF: The effect of tranexamic acid on reducing blood loss in cementless total hip arthroplasty under epidural anesthesia. Orthopedics 2010; 33:17</w:t>
      </w:r>
    </w:p>
    <w:p w14:paraId="3D85EBB4" w14:textId="77777777" w:rsidR="00941BCC" w:rsidRPr="00DC71D8" w:rsidRDefault="00941BCC" w:rsidP="00DC71D8">
      <w:pPr>
        <w:pStyle w:val="Bibliography"/>
        <w:spacing w:line="480" w:lineRule="auto"/>
        <w:rPr>
          <w:sz w:val="24"/>
          <w:szCs w:val="24"/>
          <w:lang w:val="en-US"/>
        </w:rPr>
      </w:pPr>
      <w:r w:rsidRPr="00DC71D8">
        <w:rPr>
          <w:sz w:val="24"/>
          <w:szCs w:val="24"/>
          <w:lang w:val="en-US"/>
        </w:rPr>
        <w:t>11.</w:t>
      </w:r>
      <w:r w:rsidRPr="00DC71D8">
        <w:rPr>
          <w:sz w:val="24"/>
          <w:szCs w:val="24"/>
          <w:lang w:val="en-US"/>
        </w:rPr>
        <w:tab/>
        <w:t>McConnell JS, Shewale S, Munro NA, Shah K, Deakin AH, Kinninmonth AWG: Reduction of blood loss in primary hip arthroplasty with tranexamic acid or fibrin spray. Acta Orthop 2011; 82:660–3</w:t>
      </w:r>
    </w:p>
    <w:p w14:paraId="55B03A05" w14:textId="77777777" w:rsidR="00941BCC" w:rsidRPr="00DC71D8" w:rsidRDefault="00941BCC" w:rsidP="00DC71D8">
      <w:pPr>
        <w:pStyle w:val="Bibliography"/>
        <w:spacing w:line="480" w:lineRule="auto"/>
        <w:rPr>
          <w:sz w:val="24"/>
          <w:szCs w:val="24"/>
          <w:lang w:val="en-US"/>
        </w:rPr>
      </w:pPr>
      <w:r w:rsidRPr="00DC71D8">
        <w:rPr>
          <w:sz w:val="24"/>
          <w:szCs w:val="24"/>
          <w:lang w:val="en-US"/>
        </w:rPr>
        <w:t>12.</w:t>
      </w:r>
      <w:r w:rsidRPr="00DC71D8">
        <w:rPr>
          <w:sz w:val="24"/>
          <w:szCs w:val="24"/>
          <w:lang w:val="en-US"/>
        </w:rPr>
        <w:tab/>
        <w:t>Ekbäck G, Axelsson K, Ryttberg L, Edlund B, Kjellberg J, Weckström J, Carlsson O, Schött U: Tranexamic acid reduces blood loss in total hip replacement surgery. Anesth Analg 2000; 91:1124–30</w:t>
      </w:r>
    </w:p>
    <w:p w14:paraId="64AEC5A7" w14:textId="77777777" w:rsidR="00941BCC" w:rsidRPr="00DC71D8" w:rsidRDefault="00941BCC" w:rsidP="00DC71D8">
      <w:pPr>
        <w:pStyle w:val="Bibliography"/>
        <w:spacing w:line="480" w:lineRule="auto"/>
        <w:rPr>
          <w:sz w:val="24"/>
          <w:szCs w:val="24"/>
          <w:lang w:val="en-US"/>
        </w:rPr>
      </w:pPr>
      <w:r w:rsidRPr="00DC71D8">
        <w:rPr>
          <w:sz w:val="24"/>
          <w:szCs w:val="24"/>
          <w:lang w:val="en-US"/>
        </w:rPr>
        <w:t>13.</w:t>
      </w:r>
      <w:r w:rsidRPr="00DC71D8">
        <w:rPr>
          <w:sz w:val="24"/>
          <w:szCs w:val="24"/>
          <w:lang w:val="en-US"/>
        </w:rPr>
        <w:tab/>
        <w:t>Husted H, Blønd L, Sonne-Holm S, Holm G, Jacobsen TW, Gebuhr P: Tranexamic acid reduces blood loss and blood transfusions in primary total hip arthroplasty: a prospective randomized double-blind study in 40 patients. Acta Orthop Scand 2003; 74:665–9</w:t>
      </w:r>
    </w:p>
    <w:p w14:paraId="1FE190D4" w14:textId="77777777" w:rsidR="00941BCC" w:rsidRPr="00DC71D8" w:rsidRDefault="00941BCC" w:rsidP="00DC71D8">
      <w:pPr>
        <w:pStyle w:val="Bibliography"/>
        <w:spacing w:line="480" w:lineRule="auto"/>
        <w:rPr>
          <w:sz w:val="24"/>
          <w:szCs w:val="24"/>
          <w:lang w:val="en-US"/>
        </w:rPr>
      </w:pPr>
      <w:r w:rsidRPr="00DC71D8">
        <w:rPr>
          <w:sz w:val="24"/>
          <w:szCs w:val="24"/>
          <w:lang w:val="en-US"/>
        </w:rPr>
        <w:t>14.</w:t>
      </w:r>
      <w:r w:rsidRPr="00DC71D8">
        <w:rPr>
          <w:sz w:val="24"/>
          <w:szCs w:val="24"/>
          <w:lang w:val="en-US"/>
        </w:rPr>
        <w:tab/>
        <w:t>Ido K, Neo M, Asada Y, Kondo K, Morita T, Sakamoto T, Hayashi R, Kuriyama S: Reduction of blood loss using tranexamic acid in total knee and hip arthroplasties. Arch Orthop Trauma Surg 2000; 120:518–20</w:t>
      </w:r>
    </w:p>
    <w:p w14:paraId="2B7DE3D7" w14:textId="77777777" w:rsidR="00941BCC" w:rsidRPr="00DC71D8" w:rsidRDefault="00941BCC" w:rsidP="00DC71D8">
      <w:pPr>
        <w:pStyle w:val="Bibliography"/>
        <w:spacing w:line="480" w:lineRule="auto"/>
        <w:rPr>
          <w:sz w:val="24"/>
          <w:szCs w:val="24"/>
          <w:lang w:val="en-US"/>
        </w:rPr>
      </w:pPr>
      <w:r w:rsidRPr="00DC71D8">
        <w:rPr>
          <w:sz w:val="24"/>
          <w:szCs w:val="24"/>
          <w:lang w:val="en-US"/>
        </w:rPr>
        <w:lastRenderedPageBreak/>
        <w:t>15.</w:t>
      </w:r>
      <w:r w:rsidRPr="00DC71D8">
        <w:rPr>
          <w:sz w:val="24"/>
          <w:szCs w:val="24"/>
          <w:lang w:val="en-US"/>
        </w:rPr>
        <w:tab/>
        <w:t>Niskanen RO, Korkala OL: Tranexamic acid reduces blood loss in cemented hip arthroplasty: a randomized, double-blind study of 39 patients with osteoarthritis. Acta Orthop 2005; 76:829–32</w:t>
      </w:r>
    </w:p>
    <w:p w14:paraId="179A8C3E" w14:textId="77777777" w:rsidR="00941BCC" w:rsidRPr="00DC71D8" w:rsidRDefault="00941BCC" w:rsidP="00DC71D8">
      <w:pPr>
        <w:pStyle w:val="Bibliography"/>
        <w:spacing w:line="480" w:lineRule="auto"/>
        <w:rPr>
          <w:sz w:val="24"/>
          <w:szCs w:val="24"/>
          <w:lang w:val="en-US"/>
        </w:rPr>
      </w:pPr>
      <w:r w:rsidRPr="00DC71D8">
        <w:rPr>
          <w:sz w:val="24"/>
          <w:szCs w:val="24"/>
          <w:lang w:val="en-US"/>
        </w:rPr>
        <w:t>16.</w:t>
      </w:r>
      <w:r w:rsidRPr="00DC71D8">
        <w:rPr>
          <w:sz w:val="24"/>
          <w:szCs w:val="24"/>
          <w:lang w:val="en-US"/>
        </w:rPr>
        <w:tab/>
        <w:t>Higgins JPT, Altman DG, Gøtzsche PC, Jüni P, Moher D, Oxman AD, Savovic J, Schulz KF, Weeks L, Sterne JAC, Cochrane Bias Methods Group, Cochrane Statistical Methods Group: The Cochrane Collaboration’s tool for assessing risk of bias in randomised trials. BMJ 2011; 343:d5928</w:t>
      </w:r>
    </w:p>
    <w:p w14:paraId="1F02F7E6" w14:textId="77777777" w:rsidR="00941BCC" w:rsidRPr="00DC71D8" w:rsidRDefault="00941BCC" w:rsidP="00DC71D8">
      <w:pPr>
        <w:pStyle w:val="Bibliography"/>
        <w:spacing w:line="480" w:lineRule="auto"/>
        <w:rPr>
          <w:sz w:val="24"/>
          <w:szCs w:val="24"/>
          <w:lang w:val="en-US"/>
        </w:rPr>
      </w:pPr>
      <w:r w:rsidRPr="00DC71D8">
        <w:rPr>
          <w:sz w:val="24"/>
          <w:szCs w:val="24"/>
          <w:lang w:val="en-US"/>
        </w:rPr>
        <w:t>17.</w:t>
      </w:r>
      <w:r w:rsidRPr="00DC71D8">
        <w:rPr>
          <w:sz w:val="24"/>
          <w:szCs w:val="24"/>
          <w:lang w:val="en-US"/>
        </w:rPr>
        <w:tab/>
        <w:t>Friedrich JO, Adhikari NKJ, Beyene J: The ratio of means method as an alternative to mean differences for analyzing continuous outcome variables in meta-analysis: a simulation study. BMC Med Res Methodol 2008; 8:32</w:t>
      </w:r>
    </w:p>
    <w:p w14:paraId="4FECF012" w14:textId="77777777" w:rsidR="00941BCC" w:rsidRPr="00DC71D8" w:rsidRDefault="00941BCC" w:rsidP="00DC71D8">
      <w:pPr>
        <w:pStyle w:val="Bibliography"/>
        <w:spacing w:line="480" w:lineRule="auto"/>
        <w:rPr>
          <w:sz w:val="24"/>
          <w:szCs w:val="24"/>
          <w:lang w:val="en-US"/>
        </w:rPr>
      </w:pPr>
      <w:r w:rsidRPr="00DC71D8">
        <w:rPr>
          <w:sz w:val="24"/>
          <w:szCs w:val="24"/>
          <w:lang w:val="en-US"/>
        </w:rPr>
        <w:t>18.</w:t>
      </w:r>
      <w:r w:rsidRPr="00DC71D8">
        <w:rPr>
          <w:sz w:val="24"/>
          <w:szCs w:val="24"/>
          <w:lang w:val="en-US"/>
        </w:rPr>
        <w:tab/>
        <w:t>Bradburn MJ, Deeks JJ, Berlin JA, Russell Localio A: Much ado about nothing: a comparison of the performance of meta-analytical methods with rare events. Stat Med 2007; 26:53–77</w:t>
      </w:r>
    </w:p>
    <w:p w14:paraId="4FC2C13F" w14:textId="77777777" w:rsidR="00941BCC" w:rsidRPr="00DC71D8" w:rsidRDefault="00941BCC" w:rsidP="00DC71D8">
      <w:pPr>
        <w:pStyle w:val="Bibliography"/>
        <w:spacing w:line="480" w:lineRule="auto"/>
        <w:rPr>
          <w:sz w:val="24"/>
          <w:szCs w:val="24"/>
          <w:lang w:val="en-US"/>
        </w:rPr>
      </w:pPr>
      <w:r w:rsidRPr="00DC71D8">
        <w:rPr>
          <w:sz w:val="24"/>
          <w:szCs w:val="24"/>
          <w:lang w:val="en-US"/>
        </w:rPr>
        <w:t>19.</w:t>
      </w:r>
      <w:r w:rsidRPr="00DC71D8">
        <w:rPr>
          <w:sz w:val="24"/>
          <w:szCs w:val="24"/>
          <w:lang w:val="en-US"/>
        </w:rPr>
        <w:tab/>
        <w:t>Borisov DB, Yudin SV, Krylov OV, Markov BB, Istomina NA: Reduction of perioperative blood loss during endoprosthetic replacement of large joints. Gen Reanimatol 2011; 7:34–7</w:t>
      </w:r>
    </w:p>
    <w:p w14:paraId="7D7C7E80" w14:textId="77777777" w:rsidR="00941BCC" w:rsidRPr="00DC71D8" w:rsidRDefault="00941BCC" w:rsidP="00DC71D8">
      <w:pPr>
        <w:pStyle w:val="Bibliography"/>
        <w:spacing w:line="480" w:lineRule="auto"/>
        <w:rPr>
          <w:sz w:val="24"/>
          <w:szCs w:val="24"/>
          <w:lang w:val="en-US"/>
        </w:rPr>
      </w:pPr>
      <w:r w:rsidRPr="00DC71D8">
        <w:rPr>
          <w:sz w:val="24"/>
          <w:szCs w:val="24"/>
          <w:lang w:val="en-US"/>
        </w:rPr>
        <w:t>20.</w:t>
      </w:r>
      <w:r w:rsidRPr="00DC71D8">
        <w:rPr>
          <w:sz w:val="24"/>
          <w:szCs w:val="24"/>
          <w:lang w:val="en-US"/>
        </w:rPr>
        <w:tab/>
        <w:t>Imai N, Dohmae Y, Suda K, Miyasaka D, Ito T, Endo N: Tranexamic acid for reduction of blood loss during total hip arthroplasty. J Arthroplasty 2012; 27:1838–43</w:t>
      </w:r>
    </w:p>
    <w:p w14:paraId="2C0DF4EE" w14:textId="77777777" w:rsidR="00941BCC" w:rsidRPr="00DC71D8" w:rsidRDefault="00941BCC" w:rsidP="00DC71D8">
      <w:pPr>
        <w:pStyle w:val="Bibliography"/>
        <w:spacing w:line="480" w:lineRule="auto"/>
        <w:rPr>
          <w:sz w:val="24"/>
          <w:szCs w:val="24"/>
          <w:lang w:val="en-US"/>
        </w:rPr>
      </w:pPr>
      <w:r w:rsidRPr="00DC71D8">
        <w:rPr>
          <w:sz w:val="24"/>
          <w:szCs w:val="24"/>
          <w:lang w:val="en-US"/>
        </w:rPr>
        <w:t>21.</w:t>
      </w:r>
      <w:r w:rsidRPr="00DC71D8">
        <w:rPr>
          <w:sz w:val="24"/>
          <w:szCs w:val="24"/>
          <w:lang w:val="en-US"/>
        </w:rPr>
        <w:tab/>
        <w:t xml:space="preserve">Barrachina B, Lopez-Picado A, Remon M, Fondarella A, Iriarte I, Bastida R, Rodríguez-Gascón A, Achaerandio MA, Iturricastillo MC, Aizpuru F, Valero CA, Tobalina R, Hernanz </w:t>
      </w:r>
      <w:r w:rsidRPr="00DC71D8">
        <w:rPr>
          <w:sz w:val="24"/>
          <w:szCs w:val="24"/>
          <w:lang w:val="en-US"/>
        </w:rPr>
        <w:lastRenderedPageBreak/>
        <w:t>R: Tranexamic acid compared with placebo for reducing total blood loss in hip replacement surgery: a randomized clinical trial. Anesth Analg 2016; 122:986–95</w:t>
      </w:r>
    </w:p>
    <w:p w14:paraId="2E7A0EAD" w14:textId="77777777" w:rsidR="00941BCC" w:rsidRPr="00DC71D8" w:rsidRDefault="00941BCC" w:rsidP="00DC71D8">
      <w:pPr>
        <w:pStyle w:val="Bibliography"/>
        <w:spacing w:line="480" w:lineRule="auto"/>
        <w:rPr>
          <w:sz w:val="24"/>
          <w:szCs w:val="24"/>
          <w:lang w:val="en-US"/>
        </w:rPr>
      </w:pPr>
      <w:r w:rsidRPr="00DC71D8">
        <w:rPr>
          <w:sz w:val="24"/>
          <w:szCs w:val="24"/>
          <w:lang w:val="en-US"/>
        </w:rPr>
        <w:t>22.</w:t>
      </w:r>
      <w:r w:rsidRPr="00DC71D8">
        <w:rPr>
          <w:sz w:val="24"/>
          <w:szCs w:val="24"/>
          <w:lang w:val="en-US"/>
        </w:rPr>
        <w:tab/>
        <w:t>Hourlier H, Fennema P: Single tranexamic acid dose to reduce perioperative morbidity in primary total hip replacement: a randomised clinical trial. Hip Int 2014; 24:63–8</w:t>
      </w:r>
    </w:p>
    <w:p w14:paraId="1B91CFE0" w14:textId="77777777" w:rsidR="00941BCC" w:rsidRPr="00DC71D8" w:rsidRDefault="00941BCC" w:rsidP="00DC71D8">
      <w:pPr>
        <w:pStyle w:val="Bibliography"/>
        <w:spacing w:line="480" w:lineRule="auto"/>
        <w:rPr>
          <w:sz w:val="24"/>
          <w:szCs w:val="24"/>
        </w:rPr>
      </w:pPr>
      <w:r w:rsidRPr="00DC71D8">
        <w:rPr>
          <w:sz w:val="24"/>
          <w:szCs w:val="24"/>
          <w:lang w:val="en-US"/>
        </w:rPr>
        <w:t>23.</w:t>
      </w:r>
      <w:r w:rsidRPr="00DC71D8">
        <w:rPr>
          <w:sz w:val="24"/>
          <w:szCs w:val="24"/>
          <w:lang w:val="en-US"/>
        </w:rPr>
        <w:tab/>
        <w:t xml:space="preserve">Borisov DB, Yudin SV, Lebedev LA, Vardanashvili VK, Istomina NA: Choice of a tranexamic acid dose regimen during endoprosthetic replacement of joints. </w:t>
      </w:r>
      <w:r w:rsidRPr="00DC71D8">
        <w:rPr>
          <w:sz w:val="24"/>
          <w:szCs w:val="24"/>
        </w:rPr>
        <w:t>Messenger Anesthesiol Resusc 2011; 8:41–4</w:t>
      </w:r>
    </w:p>
    <w:p w14:paraId="7DD371B9" w14:textId="77777777" w:rsidR="0079484B" w:rsidRDefault="00A957AE" w:rsidP="00DC71D8">
      <w:pPr>
        <w:spacing w:line="480" w:lineRule="auto"/>
      </w:pPr>
      <w:r w:rsidRPr="00DC71D8">
        <w:rPr>
          <w:sz w:val="24"/>
          <w:szCs w:val="24"/>
        </w:rPr>
        <w:fldChar w:fldCharType="end"/>
      </w:r>
    </w:p>
    <w:sectPr w:rsidR="0079484B" w:rsidSect="009636E0">
      <w:footerReference w:type="default" r:id="rId11"/>
      <w:type w:val="continuous"/>
      <w:pgSz w:w="12240" w:h="15840"/>
      <w:pgMar w:top="1418" w:right="1418" w:bottom="28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A69F1" w14:textId="77777777" w:rsidR="00D80C23" w:rsidRDefault="00D80C23" w:rsidP="00893490">
      <w:r>
        <w:separator/>
      </w:r>
    </w:p>
  </w:endnote>
  <w:endnote w:type="continuationSeparator" w:id="0">
    <w:p w14:paraId="4C68608A" w14:textId="77777777" w:rsidR="00D80C23" w:rsidRDefault="00D80C23" w:rsidP="0089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343865"/>
      <w:docPartObj>
        <w:docPartGallery w:val="Page Numbers (Bottom of Page)"/>
        <w:docPartUnique/>
      </w:docPartObj>
    </w:sdtPr>
    <w:sdtEndPr/>
    <w:sdtContent>
      <w:p w14:paraId="2128CCC5" w14:textId="151ED4F0" w:rsidR="009636E0" w:rsidRDefault="009636E0">
        <w:pPr>
          <w:pStyle w:val="Footer"/>
          <w:jc w:val="right"/>
        </w:pPr>
        <w:r>
          <w:fldChar w:fldCharType="begin"/>
        </w:r>
        <w:r>
          <w:instrText>PAGE   \* MERGEFORMAT</w:instrText>
        </w:r>
        <w:r>
          <w:fldChar w:fldCharType="separate"/>
        </w:r>
        <w:r w:rsidR="006C27CF">
          <w:rPr>
            <w:noProof/>
          </w:rPr>
          <w:t>16</w:t>
        </w:r>
        <w:r>
          <w:fldChar w:fldCharType="end"/>
        </w:r>
      </w:p>
    </w:sdtContent>
  </w:sdt>
  <w:p w14:paraId="35447197" w14:textId="77777777" w:rsidR="00893490" w:rsidRDefault="00893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A17CA" w14:textId="77777777" w:rsidR="00D80C23" w:rsidRDefault="00D80C23" w:rsidP="00893490">
      <w:r>
        <w:separator/>
      </w:r>
    </w:p>
  </w:footnote>
  <w:footnote w:type="continuationSeparator" w:id="0">
    <w:p w14:paraId="267B9687" w14:textId="77777777" w:rsidR="00D80C23" w:rsidRDefault="00D80C23" w:rsidP="008934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F207C"/>
    <w:multiLevelType w:val="hybridMultilevel"/>
    <w:tmpl w:val="F2C62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F557A"/>
    <w:multiLevelType w:val="hybridMultilevel"/>
    <w:tmpl w:val="DBC2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E0325"/>
    <w:multiLevelType w:val="hybridMultilevel"/>
    <w:tmpl w:val="A8D8F61C"/>
    <w:lvl w:ilvl="0" w:tplc="30386582">
      <w:start w:val="1"/>
      <w:numFmt w:val="bullet"/>
      <w:lvlText w:val="-"/>
      <w:lvlJc w:val="left"/>
      <w:pPr>
        <w:tabs>
          <w:tab w:val="num" w:pos="720"/>
        </w:tabs>
        <w:ind w:left="720" w:hanging="360"/>
      </w:pPr>
      <w:rPr>
        <w:rFonts w:ascii="Times New Roman" w:hAnsi="Times New Roman" w:hint="default"/>
      </w:rPr>
    </w:lvl>
    <w:lvl w:ilvl="1" w:tplc="B61CC1DA" w:tentative="1">
      <w:start w:val="1"/>
      <w:numFmt w:val="bullet"/>
      <w:lvlText w:val="-"/>
      <w:lvlJc w:val="left"/>
      <w:pPr>
        <w:tabs>
          <w:tab w:val="num" w:pos="1440"/>
        </w:tabs>
        <w:ind w:left="1440" w:hanging="360"/>
      </w:pPr>
      <w:rPr>
        <w:rFonts w:ascii="Times New Roman" w:hAnsi="Times New Roman" w:hint="default"/>
      </w:rPr>
    </w:lvl>
    <w:lvl w:ilvl="2" w:tplc="7706C708" w:tentative="1">
      <w:start w:val="1"/>
      <w:numFmt w:val="bullet"/>
      <w:lvlText w:val="-"/>
      <w:lvlJc w:val="left"/>
      <w:pPr>
        <w:tabs>
          <w:tab w:val="num" w:pos="2160"/>
        </w:tabs>
        <w:ind w:left="2160" w:hanging="360"/>
      </w:pPr>
      <w:rPr>
        <w:rFonts w:ascii="Times New Roman" w:hAnsi="Times New Roman" w:hint="default"/>
      </w:rPr>
    </w:lvl>
    <w:lvl w:ilvl="3" w:tplc="FA74C1C6" w:tentative="1">
      <w:start w:val="1"/>
      <w:numFmt w:val="bullet"/>
      <w:lvlText w:val="-"/>
      <w:lvlJc w:val="left"/>
      <w:pPr>
        <w:tabs>
          <w:tab w:val="num" w:pos="2880"/>
        </w:tabs>
        <w:ind w:left="2880" w:hanging="360"/>
      </w:pPr>
      <w:rPr>
        <w:rFonts w:ascii="Times New Roman" w:hAnsi="Times New Roman" w:hint="default"/>
      </w:rPr>
    </w:lvl>
    <w:lvl w:ilvl="4" w:tplc="82E63BAC" w:tentative="1">
      <w:start w:val="1"/>
      <w:numFmt w:val="bullet"/>
      <w:lvlText w:val="-"/>
      <w:lvlJc w:val="left"/>
      <w:pPr>
        <w:tabs>
          <w:tab w:val="num" w:pos="3600"/>
        </w:tabs>
        <w:ind w:left="3600" w:hanging="360"/>
      </w:pPr>
      <w:rPr>
        <w:rFonts w:ascii="Times New Roman" w:hAnsi="Times New Roman" w:hint="default"/>
      </w:rPr>
    </w:lvl>
    <w:lvl w:ilvl="5" w:tplc="9D4A90C0" w:tentative="1">
      <w:start w:val="1"/>
      <w:numFmt w:val="bullet"/>
      <w:lvlText w:val="-"/>
      <w:lvlJc w:val="left"/>
      <w:pPr>
        <w:tabs>
          <w:tab w:val="num" w:pos="4320"/>
        </w:tabs>
        <w:ind w:left="4320" w:hanging="360"/>
      </w:pPr>
      <w:rPr>
        <w:rFonts w:ascii="Times New Roman" w:hAnsi="Times New Roman" w:hint="default"/>
      </w:rPr>
    </w:lvl>
    <w:lvl w:ilvl="6" w:tplc="AC688B50" w:tentative="1">
      <w:start w:val="1"/>
      <w:numFmt w:val="bullet"/>
      <w:lvlText w:val="-"/>
      <w:lvlJc w:val="left"/>
      <w:pPr>
        <w:tabs>
          <w:tab w:val="num" w:pos="5040"/>
        </w:tabs>
        <w:ind w:left="5040" w:hanging="360"/>
      </w:pPr>
      <w:rPr>
        <w:rFonts w:ascii="Times New Roman" w:hAnsi="Times New Roman" w:hint="default"/>
      </w:rPr>
    </w:lvl>
    <w:lvl w:ilvl="7" w:tplc="0066C524" w:tentative="1">
      <w:start w:val="1"/>
      <w:numFmt w:val="bullet"/>
      <w:lvlText w:val="-"/>
      <w:lvlJc w:val="left"/>
      <w:pPr>
        <w:tabs>
          <w:tab w:val="num" w:pos="5760"/>
        </w:tabs>
        <w:ind w:left="5760" w:hanging="360"/>
      </w:pPr>
      <w:rPr>
        <w:rFonts w:ascii="Times New Roman" w:hAnsi="Times New Roman" w:hint="default"/>
      </w:rPr>
    </w:lvl>
    <w:lvl w:ilvl="8" w:tplc="860AB07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17115C5"/>
    <w:multiLevelType w:val="hybridMultilevel"/>
    <w:tmpl w:val="C7581424"/>
    <w:lvl w:ilvl="0" w:tplc="1B2CD03A">
      <w:start w:val="1"/>
      <w:numFmt w:val="bullet"/>
      <w:lvlText w:val="-"/>
      <w:lvlJc w:val="left"/>
      <w:pPr>
        <w:tabs>
          <w:tab w:val="num" w:pos="720"/>
        </w:tabs>
        <w:ind w:left="720" w:hanging="360"/>
      </w:pPr>
      <w:rPr>
        <w:rFonts w:ascii="Times New Roman" w:hAnsi="Times New Roman" w:hint="default"/>
      </w:rPr>
    </w:lvl>
    <w:lvl w:ilvl="1" w:tplc="BDB2E4D4" w:tentative="1">
      <w:start w:val="1"/>
      <w:numFmt w:val="bullet"/>
      <w:lvlText w:val="-"/>
      <w:lvlJc w:val="left"/>
      <w:pPr>
        <w:tabs>
          <w:tab w:val="num" w:pos="1440"/>
        </w:tabs>
        <w:ind w:left="1440" w:hanging="360"/>
      </w:pPr>
      <w:rPr>
        <w:rFonts w:ascii="Times New Roman" w:hAnsi="Times New Roman" w:hint="default"/>
      </w:rPr>
    </w:lvl>
    <w:lvl w:ilvl="2" w:tplc="293AF1B2" w:tentative="1">
      <w:start w:val="1"/>
      <w:numFmt w:val="bullet"/>
      <w:lvlText w:val="-"/>
      <w:lvlJc w:val="left"/>
      <w:pPr>
        <w:tabs>
          <w:tab w:val="num" w:pos="2160"/>
        </w:tabs>
        <w:ind w:left="2160" w:hanging="360"/>
      </w:pPr>
      <w:rPr>
        <w:rFonts w:ascii="Times New Roman" w:hAnsi="Times New Roman" w:hint="default"/>
      </w:rPr>
    </w:lvl>
    <w:lvl w:ilvl="3" w:tplc="BD888628" w:tentative="1">
      <w:start w:val="1"/>
      <w:numFmt w:val="bullet"/>
      <w:lvlText w:val="-"/>
      <w:lvlJc w:val="left"/>
      <w:pPr>
        <w:tabs>
          <w:tab w:val="num" w:pos="2880"/>
        </w:tabs>
        <w:ind w:left="2880" w:hanging="360"/>
      </w:pPr>
      <w:rPr>
        <w:rFonts w:ascii="Times New Roman" w:hAnsi="Times New Roman" w:hint="default"/>
      </w:rPr>
    </w:lvl>
    <w:lvl w:ilvl="4" w:tplc="38104F6A" w:tentative="1">
      <w:start w:val="1"/>
      <w:numFmt w:val="bullet"/>
      <w:lvlText w:val="-"/>
      <w:lvlJc w:val="left"/>
      <w:pPr>
        <w:tabs>
          <w:tab w:val="num" w:pos="3600"/>
        </w:tabs>
        <w:ind w:left="3600" w:hanging="360"/>
      </w:pPr>
      <w:rPr>
        <w:rFonts w:ascii="Times New Roman" w:hAnsi="Times New Roman" w:hint="default"/>
      </w:rPr>
    </w:lvl>
    <w:lvl w:ilvl="5" w:tplc="256CE862" w:tentative="1">
      <w:start w:val="1"/>
      <w:numFmt w:val="bullet"/>
      <w:lvlText w:val="-"/>
      <w:lvlJc w:val="left"/>
      <w:pPr>
        <w:tabs>
          <w:tab w:val="num" w:pos="4320"/>
        </w:tabs>
        <w:ind w:left="4320" w:hanging="360"/>
      </w:pPr>
      <w:rPr>
        <w:rFonts w:ascii="Times New Roman" w:hAnsi="Times New Roman" w:hint="default"/>
      </w:rPr>
    </w:lvl>
    <w:lvl w:ilvl="6" w:tplc="90A446CA" w:tentative="1">
      <w:start w:val="1"/>
      <w:numFmt w:val="bullet"/>
      <w:lvlText w:val="-"/>
      <w:lvlJc w:val="left"/>
      <w:pPr>
        <w:tabs>
          <w:tab w:val="num" w:pos="5040"/>
        </w:tabs>
        <w:ind w:left="5040" w:hanging="360"/>
      </w:pPr>
      <w:rPr>
        <w:rFonts w:ascii="Times New Roman" w:hAnsi="Times New Roman" w:hint="default"/>
      </w:rPr>
    </w:lvl>
    <w:lvl w:ilvl="7" w:tplc="0D6A173C" w:tentative="1">
      <w:start w:val="1"/>
      <w:numFmt w:val="bullet"/>
      <w:lvlText w:val="-"/>
      <w:lvlJc w:val="left"/>
      <w:pPr>
        <w:tabs>
          <w:tab w:val="num" w:pos="5760"/>
        </w:tabs>
        <w:ind w:left="5760" w:hanging="360"/>
      </w:pPr>
      <w:rPr>
        <w:rFonts w:ascii="Times New Roman" w:hAnsi="Times New Roman" w:hint="default"/>
      </w:rPr>
    </w:lvl>
    <w:lvl w:ilvl="8" w:tplc="CDBC1ED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9972D4E"/>
    <w:multiLevelType w:val="hybridMultilevel"/>
    <w:tmpl w:val="928A42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20"/>
    <w:rsid w:val="000072CF"/>
    <w:rsid w:val="00015413"/>
    <w:rsid w:val="0004310F"/>
    <w:rsid w:val="000502C3"/>
    <w:rsid w:val="000526FF"/>
    <w:rsid w:val="000579A7"/>
    <w:rsid w:val="00062E34"/>
    <w:rsid w:val="00076F07"/>
    <w:rsid w:val="000A6D40"/>
    <w:rsid w:val="000D29D2"/>
    <w:rsid w:val="00162048"/>
    <w:rsid w:val="00186BFB"/>
    <w:rsid w:val="001A7F75"/>
    <w:rsid w:val="001B2F3D"/>
    <w:rsid w:val="001E7E42"/>
    <w:rsid w:val="00274C0B"/>
    <w:rsid w:val="00284BB3"/>
    <w:rsid w:val="00295591"/>
    <w:rsid w:val="002B2C6D"/>
    <w:rsid w:val="002F2E3A"/>
    <w:rsid w:val="003110C1"/>
    <w:rsid w:val="0033004F"/>
    <w:rsid w:val="00394296"/>
    <w:rsid w:val="003E6D3C"/>
    <w:rsid w:val="003F06D7"/>
    <w:rsid w:val="00405CF3"/>
    <w:rsid w:val="004212FE"/>
    <w:rsid w:val="004636DE"/>
    <w:rsid w:val="00514C71"/>
    <w:rsid w:val="00536649"/>
    <w:rsid w:val="00570855"/>
    <w:rsid w:val="00574C13"/>
    <w:rsid w:val="005A4803"/>
    <w:rsid w:val="00603035"/>
    <w:rsid w:val="006838CA"/>
    <w:rsid w:val="006A6DEB"/>
    <w:rsid w:val="006A79B2"/>
    <w:rsid w:val="006C27CF"/>
    <w:rsid w:val="006E3C20"/>
    <w:rsid w:val="006F4186"/>
    <w:rsid w:val="007034A7"/>
    <w:rsid w:val="0071113B"/>
    <w:rsid w:val="00762E41"/>
    <w:rsid w:val="0077700B"/>
    <w:rsid w:val="0079484B"/>
    <w:rsid w:val="007D7742"/>
    <w:rsid w:val="0081081F"/>
    <w:rsid w:val="0082521F"/>
    <w:rsid w:val="00833657"/>
    <w:rsid w:val="008622F7"/>
    <w:rsid w:val="00893490"/>
    <w:rsid w:val="008D13D0"/>
    <w:rsid w:val="008D2F40"/>
    <w:rsid w:val="008E176F"/>
    <w:rsid w:val="008E4878"/>
    <w:rsid w:val="008E7C45"/>
    <w:rsid w:val="008F684B"/>
    <w:rsid w:val="0093048D"/>
    <w:rsid w:val="00931EA0"/>
    <w:rsid w:val="00941BCC"/>
    <w:rsid w:val="009636E0"/>
    <w:rsid w:val="009812EB"/>
    <w:rsid w:val="00982AA3"/>
    <w:rsid w:val="00992623"/>
    <w:rsid w:val="009A23A1"/>
    <w:rsid w:val="009E67D6"/>
    <w:rsid w:val="009E6B9D"/>
    <w:rsid w:val="00A530A5"/>
    <w:rsid w:val="00A957AE"/>
    <w:rsid w:val="00AB2B03"/>
    <w:rsid w:val="00B06450"/>
    <w:rsid w:val="00B35A7A"/>
    <w:rsid w:val="00B625C2"/>
    <w:rsid w:val="00C82E09"/>
    <w:rsid w:val="00CB2C03"/>
    <w:rsid w:val="00CC2698"/>
    <w:rsid w:val="00CC3F42"/>
    <w:rsid w:val="00D80C23"/>
    <w:rsid w:val="00D83459"/>
    <w:rsid w:val="00DB0374"/>
    <w:rsid w:val="00DC71D8"/>
    <w:rsid w:val="00DD0F6F"/>
    <w:rsid w:val="00DD1919"/>
    <w:rsid w:val="00E16334"/>
    <w:rsid w:val="00E209AD"/>
    <w:rsid w:val="00E47A0E"/>
    <w:rsid w:val="00E63583"/>
    <w:rsid w:val="00EC0064"/>
    <w:rsid w:val="00ED1FD2"/>
    <w:rsid w:val="00EE66E4"/>
    <w:rsid w:val="00F12B3C"/>
    <w:rsid w:val="00F30B49"/>
    <w:rsid w:val="00F367EC"/>
    <w:rsid w:val="00F94F59"/>
    <w:rsid w:val="00FC3525"/>
    <w:rsid w:val="00FE1540"/>
    <w:rsid w:val="00FE6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7F01AD7"/>
  <w15:docId w15:val="{7038D596-403D-41CF-93A4-D631B3EF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C20"/>
    <w:pPr>
      <w:autoSpaceDE w:val="0"/>
      <w:autoSpaceDN w:val="0"/>
      <w:spacing w:after="0" w:line="240" w:lineRule="auto"/>
    </w:pPr>
    <w:rPr>
      <w:rFonts w:ascii="Times New Roman" w:eastAsia="Times New Roman" w:hAnsi="Times New Roman" w:cs="Times New Roman"/>
      <w:sz w:val="20"/>
      <w:szCs w:val="20"/>
      <w:lang w:val="fr-FR" w:eastAsia="fr-FR"/>
    </w:rPr>
  </w:style>
  <w:style w:type="paragraph" w:styleId="Heading1">
    <w:name w:val="heading 1"/>
    <w:basedOn w:val="Normal"/>
    <w:next w:val="Normal"/>
    <w:link w:val="Heading1Char"/>
    <w:qFormat/>
    <w:rsid w:val="006E3C20"/>
    <w:pPr>
      <w:keepNext/>
      <w:jc w:val="both"/>
      <w:outlineLvl w:val="0"/>
    </w:pPr>
    <w:rPr>
      <w:rFonts w:ascii="Arial" w:hAnsi="Arial" w:cs="Arial"/>
      <w:b/>
      <w:bCs/>
      <w:sz w:val="28"/>
      <w:szCs w:val="28"/>
    </w:rPr>
  </w:style>
  <w:style w:type="paragraph" w:styleId="Heading2">
    <w:name w:val="heading 2"/>
    <w:basedOn w:val="Normal"/>
    <w:next w:val="Normal"/>
    <w:link w:val="Heading2Char"/>
    <w:uiPriority w:val="9"/>
    <w:unhideWhenUsed/>
    <w:qFormat/>
    <w:rsid w:val="00DD19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579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3C20"/>
    <w:rPr>
      <w:rFonts w:ascii="Arial" w:eastAsia="Times New Roman" w:hAnsi="Arial" w:cs="Arial"/>
      <w:b/>
      <w:bCs/>
      <w:sz w:val="28"/>
      <w:szCs w:val="28"/>
      <w:lang w:val="fr-FR" w:eastAsia="fr-FR"/>
    </w:rPr>
  </w:style>
  <w:style w:type="paragraph" w:styleId="HTMLAddress">
    <w:name w:val="HTML Address"/>
    <w:basedOn w:val="z-TopofForm"/>
    <w:link w:val="HTMLAddressChar"/>
    <w:rsid w:val="009E67D6"/>
    <w:pPr>
      <w:pBdr>
        <w:bottom w:val="none" w:sz="0" w:space="0" w:color="auto"/>
      </w:pBdr>
      <w:autoSpaceDE/>
      <w:autoSpaceDN/>
      <w:jc w:val="left"/>
    </w:pPr>
    <w:rPr>
      <w:rFonts w:ascii="Times New Roman" w:hAnsi="Times New Roman" w:cs="Times New Roman"/>
      <w:vanish w:val="0"/>
      <w:sz w:val="24"/>
      <w:szCs w:val="24"/>
      <w:lang w:val="en-GB"/>
    </w:rPr>
  </w:style>
  <w:style w:type="character" w:customStyle="1" w:styleId="HTMLAddressChar">
    <w:name w:val="HTML Address Char"/>
    <w:basedOn w:val="DefaultParagraphFont"/>
    <w:link w:val="HTMLAddress"/>
    <w:rsid w:val="009E67D6"/>
    <w:rPr>
      <w:rFonts w:ascii="Times New Roman" w:eastAsia="Times New Roman" w:hAnsi="Times New Roman" w:cs="Times New Roman"/>
      <w:sz w:val="24"/>
      <w:szCs w:val="24"/>
      <w:lang w:val="en-GB" w:eastAsia="fr-FR"/>
    </w:rPr>
  </w:style>
  <w:style w:type="paragraph" w:styleId="z-TopofForm">
    <w:name w:val="HTML Top of Form"/>
    <w:basedOn w:val="Normal"/>
    <w:next w:val="Normal"/>
    <w:link w:val="z-TopofFormChar"/>
    <w:hidden/>
    <w:uiPriority w:val="99"/>
    <w:semiHidden/>
    <w:unhideWhenUsed/>
    <w:rsid w:val="009E67D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E67D6"/>
    <w:rPr>
      <w:rFonts w:ascii="Arial" w:eastAsia="Times New Roman" w:hAnsi="Arial" w:cs="Arial"/>
      <w:vanish/>
      <w:sz w:val="16"/>
      <w:szCs w:val="16"/>
      <w:lang w:val="fr-FR" w:eastAsia="fr-FR"/>
    </w:rPr>
  </w:style>
  <w:style w:type="paragraph" w:customStyle="1" w:styleId="Default">
    <w:name w:val="Default"/>
    <w:rsid w:val="006A79B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A79B2"/>
    <w:pPr>
      <w:ind w:left="720"/>
      <w:contextualSpacing/>
    </w:pPr>
  </w:style>
  <w:style w:type="paragraph" w:customStyle="1" w:styleId="Bibliographie1">
    <w:name w:val="Bibliographie1"/>
    <w:basedOn w:val="Normal"/>
    <w:rsid w:val="007034A7"/>
    <w:pPr>
      <w:tabs>
        <w:tab w:val="left" w:pos="384"/>
      </w:tabs>
      <w:spacing w:after="240"/>
      <w:ind w:left="384" w:hanging="384"/>
      <w:jc w:val="both"/>
    </w:pPr>
  </w:style>
  <w:style w:type="paragraph" w:styleId="Bibliography">
    <w:name w:val="Bibliography"/>
    <w:basedOn w:val="Normal"/>
    <w:next w:val="Normal"/>
    <w:uiPriority w:val="37"/>
    <w:unhideWhenUsed/>
    <w:rsid w:val="0004310F"/>
    <w:pPr>
      <w:tabs>
        <w:tab w:val="left" w:pos="264"/>
      </w:tabs>
      <w:ind w:left="264" w:hanging="264"/>
    </w:pPr>
  </w:style>
  <w:style w:type="character" w:styleId="Emphasis">
    <w:name w:val="Emphasis"/>
    <w:basedOn w:val="DefaultParagraphFont"/>
    <w:uiPriority w:val="20"/>
    <w:qFormat/>
    <w:rsid w:val="0093048D"/>
    <w:rPr>
      <w:i/>
      <w:iCs/>
    </w:rPr>
  </w:style>
  <w:style w:type="character" w:customStyle="1" w:styleId="apple-converted-space">
    <w:name w:val="apple-converted-space"/>
    <w:basedOn w:val="DefaultParagraphFont"/>
    <w:rsid w:val="0093048D"/>
  </w:style>
  <w:style w:type="paragraph" w:styleId="BalloonText">
    <w:name w:val="Balloon Text"/>
    <w:basedOn w:val="Normal"/>
    <w:link w:val="BalloonTextChar"/>
    <w:uiPriority w:val="99"/>
    <w:semiHidden/>
    <w:unhideWhenUsed/>
    <w:rsid w:val="0081081F"/>
    <w:rPr>
      <w:rFonts w:ascii="Tahoma" w:hAnsi="Tahoma" w:cs="Tahoma"/>
      <w:sz w:val="16"/>
      <w:szCs w:val="16"/>
    </w:rPr>
  </w:style>
  <w:style w:type="character" w:customStyle="1" w:styleId="BalloonTextChar">
    <w:name w:val="Balloon Text Char"/>
    <w:basedOn w:val="DefaultParagraphFont"/>
    <w:link w:val="BalloonText"/>
    <w:uiPriority w:val="99"/>
    <w:semiHidden/>
    <w:rsid w:val="0081081F"/>
    <w:rPr>
      <w:rFonts w:ascii="Tahoma" w:eastAsia="Times New Roman" w:hAnsi="Tahoma" w:cs="Tahoma"/>
      <w:sz w:val="16"/>
      <w:szCs w:val="16"/>
      <w:lang w:val="fr-FR" w:eastAsia="fr-FR"/>
    </w:rPr>
  </w:style>
  <w:style w:type="paragraph" w:styleId="Header">
    <w:name w:val="header"/>
    <w:basedOn w:val="Normal"/>
    <w:link w:val="HeaderChar"/>
    <w:uiPriority w:val="99"/>
    <w:unhideWhenUsed/>
    <w:rsid w:val="00893490"/>
    <w:pPr>
      <w:tabs>
        <w:tab w:val="center" w:pos="4703"/>
        <w:tab w:val="right" w:pos="9406"/>
      </w:tabs>
    </w:pPr>
  </w:style>
  <w:style w:type="character" w:customStyle="1" w:styleId="HeaderChar">
    <w:name w:val="Header Char"/>
    <w:basedOn w:val="DefaultParagraphFont"/>
    <w:link w:val="Header"/>
    <w:uiPriority w:val="99"/>
    <w:rsid w:val="00893490"/>
    <w:rPr>
      <w:rFonts w:ascii="Times New Roman" w:eastAsia="Times New Roman" w:hAnsi="Times New Roman" w:cs="Times New Roman"/>
      <w:sz w:val="20"/>
      <w:szCs w:val="20"/>
      <w:lang w:val="fr-FR" w:eastAsia="fr-FR"/>
    </w:rPr>
  </w:style>
  <w:style w:type="paragraph" w:styleId="Footer">
    <w:name w:val="footer"/>
    <w:basedOn w:val="Normal"/>
    <w:link w:val="FooterChar"/>
    <w:uiPriority w:val="99"/>
    <w:unhideWhenUsed/>
    <w:rsid w:val="00893490"/>
    <w:pPr>
      <w:tabs>
        <w:tab w:val="center" w:pos="4703"/>
        <w:tab w:val="right" w:pos="9406"/>
      </w:tabs>
    </w:pPr>
  </w:style>
  <w:style w:type="character" w:customStyle="1" w:styleId="FooterChar">
    <w:name w:val="Footer Char"/>
    <w:basedOn w:val="DefaultParagraphFont"/>
    <w:link w:val="Footer"/>
    <w:uiPriority w:val="99"/>
    <w:rsid w:val="00893490"/>
    <w:rPr>
      <w:rFonts w:ascii="Times New Roman" w:eastAsia="Times New Roman" w:hAnsi="Times New Roman" w:cs="Times New Roman"/>
      <w:sz w:val="20"/>
      <w:szCs w:val="20"/>
      <w:lang w:val="fr-FR" w:eastAsia="fr-FR"/>
    </w:rPr>
  </w:style>
  <w:style w:type="character" w:customStyle="1" w:styleId="Heading4Char">
    <w:name w:val="Heading 4 Char"/>
    <w:basedOn w:val="DefaultParagraphFont"/>
    <w:link w:val="Heading4"/>
    <w:uiPriority w:val="9"/>
    <w:semiHidden/>
    <w:rsid w:val="000579A7"/>
    <w:rPr>
      <w:rFonts w:asciiTheme="majorHAnsi" w:eastAsiaTheme="majorEastAsia" w:hAnsiTheme="majorHAnsi" w:cstheme="majorBidi"/>
      <w:b/>
      <w:bCs/>
      <w:i/>
      <w:iCs/>
      <w:color w:val="4F81BD" w:themeColor="accent1"/>
      <w:sz w:val="20"/>
      <w:szCs w:val="20"/>
      <w:lang w:val="fr-FR" w:eastAsia="fr-FR"/>
    </w:rPr>
  </w:style>
  <w:style w:type="paragraph" w:styleId="NormalWeb">
    <w:name w:val="Normal (Web)"/>
    <w:basedOn w:val="Normal"/>
    <w:uiPriority w:val="99"/>
    <w:semiHidden/>
    <w:unhideWhenUsed/>
    <w:rsid w:val="008622F7"/>
    <w:pPr>
      <w:autoSpaceDE/>
      <w:autoSpaceDN/>
      <w:spacing w:before="100" w:beforeAutospacing="1" w:after="100" w:afterAutospacing="1"/>
    </w:pPr>
    <w:rPr>
      <w:rFonts w:eastAsiaTheme="minorEastAsia"/>
      <w:sz w:val="24"/>
      <w:szCs w:val="24"/>
      <w:lang w:val="en-US" w:eastAsia="en-US"/>
    </w:rPr>
  </w:style>
  <w:style w:type="character" w:styleId="CommentReference">
    <w:name w:val="annotation reference"/>
    <w:basedOn w:val="DefaultParagraphFont"/>
    <w:uiPriority w:val="99"/>
    <w:semiHidden/>
    <w:unhideWhenUsed/>
    <w:rsid w:val="00C82E09"/>
    <w:rPr>
      <w:sz w:val="16"/>
      <w:szCs w:val="16"/>
    </w:rPr>
  </w:style>
  <w:style w:type="paragraph" w:styleId="CommentText">
    <w:name w:val="annotation text"/>
    <w:basedOn w:val="Normal"/>
    <w:link w:val="CommentTextChar"/>
    <w:uiPriority w:val="99"/>
    <w:semiHidden/>
    <w:unhideWhenUsed/>
    <w:rsid w:val="00C82E09"/>
  </w:style>
  <w:style w:type="character" w:customStyle="1" w:styleId="CommentTextChar">
    <w:name w:val="Comment Text Char"/>
    <w:basedOn w:val="DefaultParagraphFont"/>
    <w:link w:val="CommentText"/>
    <w:uiPriority w:val="99"/>
    <w:semiHidden/>
    <w:rsid w:val="00C82E09"/>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C82E09"/>
    <w:rPr>
      <w:b/>
      <w:bCs/>
    </w:rPr>
  </w:style>
  <w:style w:type="character" w:customStyle="1" w:styleId="CommentSubjectChar">
    <w:name w:val="Comment Subject Char"/>
    <w:basedOn w:val="CommentTextChar"/>
    <w:link w:val="CommentSubject"/>
    <w:uiPriority w:val="99"/>
    <w:semiHidden/>
    <w:rsid w:val="00C82E09"/>
    <w:rPr>
      <w:rFonts w:ascii="Times New Roman" w:eastAsia="Times New Roman" w:hAnsi="Times New Roman" w:cs="Times New Roman"/>
      <w:b/>
      <w:bCs/>
      <w:sz w:val="20"/>
      <w:szCs w:val="20"/>
      <w:lang w:val="fr-FR" w:eastAsia="fr-FR"/>
    </w:rPr>
  </w:style>
  <w:style w:type="character" w:customStyle="1" w:styleId="Heading2Char">
    <w:name w:val="Heading 2 Char"/>
    <w:basedOn w:val="DefaultParagraphFont"/>
    <w:link w:val="Heading2"/>
    <w:uiPriority w:val="9"/>
    <w:rsid w:val="00DD1919"/>
    <w:rPr>
      <w:rFonts w:asciiTheme="majorHAnsi" w:eastAsiaTheme="majorEastAsia" w:hAnsiTheme="majorHAnsi" w:cstheme="majorBidi"/>
      <w:b/>
      <w:bCs/>
      <w:color w:val="4F81BD" w:themeColor="accent1"/>
      <w:sz w:val="26"/>
      <w:szCs w:val="26"/>
      <w:lang w:val="fr-FR" w:eastAsia="fr-FR"/>
    </w:rPr>
  </w:style>
  <w:style w:type="paragraph" w:styleId="TOCHeading">
    <w:name w:val="TOC Heading"/>
    <w:basedOn w:val="Heading1"/>
    <w:next w:val="Normal"/>
    <w:uiPriority w:val="39"/>
    <w:unhideWhenUsed/>
    <w:qFormat/>
    <w:rsid w:val="00B625C2"/>
    <w:pPr>
      <w:keepLines/>
      <w:autoSpaceDE/>
      <w:autoSpaceDN/>
      <w:spacing w:before="480" w:line="276" w:lineRule="auto"/>
      <w:jc w:val="left"/>
      <w:outlineLvl w:val="9"/>
    </w:pPr>
    <w:rPr>
      <w:rFonts w:asciiTheme="majorHAnsi" w:eastAsiaTheme="majorEastAsia" w:hAnsiTheme="majorHAnsi" w:cstheme="majorBidi"/>
      <w:color w:val="365F91" w:themeColor="accent1" w:themeShade="BF"/>
      <w:lang w:val="en-US" w:eastAsia="en-US"/>
    </w:rPr>
  </w:style>
  <w:style w:type="paragraph" w:styleId="TOC1">
    <w:name w:val="toc 1"/>
    <w:basedOn w:val="Normal"/>
    <w:next w:val="Normal"/>
    <w:autoRedefine/>
    <w:uiPriority w:val="39"/>
    <w:unhideWhenUsed/>
    <w:qFormat/>
    <w:rsid w:val="00B625C2"/>
    <w:pPr>
      <w:spacing w:after="100"/>
    </w:pPr>
  </w:style>
  <w:style w:type="paragraph" w:styleId="TOC2">
    <w:name w:val="toc 2"/>
    <w:basedOn w:val="Normal"/>
    <w:next w:val="Normal"/>
    <w:autoRedefine/>
    <w:uiPriority w:val="39"/>
    <w:unhideWhenUsed/>
    <w:qFormat/>
    <w:rsid w:val="00B625C2"/>
    <w:pPr>
      <w:spacing w:after="100"/>
      <w:ind w:left="200"/>
    </w:pPr>
  </w:style>
  <w:style w:type="character" w:styleId="Hyperlink">
    <w:name w:val="Hyperlink"/>
    <w:basedOn w:val="DefaultParagraphFont"/>
    <w:uiPriority w:val="99"/>
    <w:unhideWhenUsed/>
    <w:rsid w:val="00B625C2"/>
    <w:rPr>
      <w:color w:val="0000FF" w:themeColor="hyperlink"/>
      <w:u w:val="single"/>
    </w:rPr>
  </w:style>
  <w:style w:type="paragraph" w:styleId="TOC3">
    <w:name w:val="toc 3"/>
    <w:basedOn w:val="Normal"/>
    <w:next w:val="Normal"/>
    <w:autoRedefine/>
    <w:uiPriority w:val="39"/>
    <w:semiHidden/>
    <w:unhideWhenUsed/>
    <w:qFormat/>
    <w:rsid w:val="00B625C2"/>
    <w:pPr>
      <w:autoSpaceDE/>
      <w:autoSpaceDN/>
      <w:spacing w:after="100" w:line="276" w:lineRule="auto"/>
      <w:ind w:left="440"/>
    </w:pPr>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819983">
      <w:bodyDiv w:val="1"/>
      <w:marLeft w:val="0"/>
      <w:marRight w:val="0"/>
      <w:marTop w:val="0"/>
      <w:marBottom w:val="0"/>
      <w:divBdr>
        <w:top w:val="none" w:sz="0" w:space="0" w:color="auto"/>
        <w:left w:val="none" w:sz="0" w:space="0" w:color="auto"/>
        <w:bottom w:val="none" w:sz="0" w:space="0" w:color="auto"/>
        <w:right w:val="none" w:sz="0" w:space="0" w:color="auto"/>
      </w:divBdr>
      <w:divsChild>
        <w:div w:id="1238858627">
          <w:marLeft w:val="0"/>
          <w:marRight w:val="0"/>
          <w:marTop w:val="0"/>
          <w:marBottom w:val="0"/>
          <w:divBdr>
            <w:top w:val="none" w:sz="0" w:space="0" w:color="auto"/>
            <w:left w:val="none" w:sz="0" w:space="0" w:color="auto"/>
            <w:bottom w:val="none" w:sz="0" w:space="0" w:color="auto"/>
            <w:right w:val="none" w:sz="0" w:space="0" w:color="auto"/>
          </w:divBdr>
        </w:div>
        <w:div w:id="1936328913">
          <w:marLeft w:val="0"/>
          <w:marRight w:val="0"/>
          <w:marTop w:val="0"/>
          <w:marBottom w:val="0"/>
          <w:divBdr>
            <w:top w:val="none" w:sz="0" w:space="0" w:color="auto"/>
            <w:left w:val="none" w:sz="0" w:space="0" w:color="auto"/>
            <w:bottom w:val="none" w:sz="0" w:space="0" w:color="auto"/>
            <w:right w:val="none" w:sz="0" w:space="0" w:color="auto"/>
          </w:divBdr>
        </w:div>
        <w:div w:id="1384596432">
          <w:marLeft w:val="0"/>
          <w:marRight w:val="0"/>
          <w:marTop w:val="0"/>
          <w:marBottom w:val="0"/>
          <w:divBdr>
            <w:top w:val="none" w:sz="0" w:space="0" w:color="auto"/>
            <w:left w:val="none" w:sz="0" w:space="0" w:color="auto"/>
            <w:bottom w:val="none" w:sz="0" w:space="0" w:color="auto"/>
            <w:right w:val="none" w:sz="0" w:space="0" w:color="auto"/>
          </w:divBdr>
        </w:div>
      </w:divsChild>
    </w:div>
    <w:div w:id="668411426">
      <w:bodyDiv w:val="1"/>
      <w:marLeft w:val="0"/>
      <w:marRight w:val="0"/>
      <w:marTop w:val="0"/>
      <w:marBottom w:val="0"/>
      <w:divBdr>
        <w:top w:val="none" w:sz="0" w:space="0" w:color="auto"/>
        <w:left w:val="none" w:sz="0" w:space="0" w:color="auto"/>
        <w:bottom w:val="none" w:sz="0" w:space="0" w:color="auto"/>
        <w:right w:val="none" w:sz="0" w:space="0" w:color="auto"/>
      </w:divBdr>
    </w:div>
    <w:div w:id="775904129">
      <w:bodyDiv w:val="1"/>
      <w:marLeft w:val="0"/>
      <w:marRight w:val="0"/>
      <w:marTop w:val="0"/>
      <w:marBottom w:val="0"/>
      <w:divBdr>
        <w:top w:val="none" w:sz="0" w:space="0" w:color="auto"/>
        <w:left w:val="none" w:sz="0" w:space="0" w:color="auto"/>
        <w:bottom w:val="none" w:sz="0" w:space="0" w:color="auto"/>
        <w:right w:val="none" w:sz="0" w:space="0" w:color="auto"/>
      </w:divBdr>
      <w:divsChild>
        <w:div w:id="678964836">
          <w:marLeft w:val="0"/>
          <w:marRight w:val="0"/>
          <w:marTop w:val="0"/>
          <w:marBottom w:val="0"/>
          <w:divBdr>
            <w:top w:val="none" w:sz="0" w:space="0" w:color="auto"/>
            <w:left w:val="none" w:sz="0" w:space="0" w:color="auto"/>
            <w:bottom w:val="none" w:sz="0" w:space="0" w:color="auto"/>
            <w:right w:val="none" w:sz="0" w:space="0" w:color="auto"/>
          </w:divBdr>
        </w:div>
        <w:div w:id="1368143176">
          <w:marLeft w:val="0"/>
          <w:marRight w:val="0"/>
          <w:marTop w:val="0"/>
          <w:marBottom w:val="0"/>
          <w:divBdr>
            <w:top w:val="none" w:sz="0" w:space="0" w:color="auto"/>
            <w:left w:val="none" w:sz="0" w:space="0" w:color="auto"/>
            <w:bottom w:val="none" w:sz="0" w:space="0" w:color="auto"/>
            <w:right w:val="none" w:sz="0" w:space="0" w:color="auto"/>
          </w:divBdr>
        </w:div>
      </w:divsChild>
    </w:div>
    <w:div w:id="780879491">
      <w:bodyDiv w:val="1"/>
      <w:marLeft w:val="0"/>
      <w:marRight w:val="0"/>
      <w:marTop w:val="0"/>
      <w:marBottom w:val="0"/>
      <w:divBdr>
        <w:top w:val="none" w:sz="0" w:space="0" w:color="auto"/>
        <w:left w:val="none" w:sz="0" w:space="0" w:color="auto"/>
        <w:bottom w:val="none" w:sz="0" w:space="0" w:color="auto"/>
        <w:right w:val="none" w:sz="0" w:space="0" w:color="auto"/>
      </w:divBdr>
      <w:divsChild>
        <w:div w:id="1835604095">
          <w:marLeft w:val="0"/>
          <w:marRight w:val="0"/>
          <w:marTop w:val="0"/>
          <w:marBottom w:val="0"/>
          <w:divBdr>
            <w:top w:val="none" w:sz="0" w:space="0" w:color="auto"/>
            <w:left w:val="none" w:sz="0" w:space="0" w:color="auto"/>
            <w:bottom w:val="none" w:sz="0" w:space="0" w:color="auto"/>
            <w:right w:val="none" w:sz="0" w:space="0" w:color="auto"/>
          </w:divBdr>
        </w:div>
        <w:div w:id="1572734094">
          <w:marLeft w:val="0"/>
          <w:marRight w:val="0"/>
          <w:marTop w:val="0"/>
          <w:marBottom w:val="0"/>
          <w:divBdr>
            <w:top w:val="none" w:sz="0" w:space="0" w:color="auto"/>
            <w:left w:val="none" w:sz="0" w:space="0" w:color="auto"/>
            <w:bottom w:val="none" w:sz="0" w:space="0" w:color="auto"/>
            <w:right w:val="none" w:sz="0" w:space="0" w:color="auto"/>
          </w:divBdr>
        </w:div>
        <w:div w:id="1315598156">
          <w:marLeft w:val="0"/>
          <w:marRight w:val="0"/>
          <w:marTop w:val="0"/>
          <w:marBottom w:val="0"/>
          <w:divBdr>
            <w:top w:val="none" w:sz="0" w:space="0" w:color="auto"/>
            <w:left w:val="none" w:sz="0" w:space="0" w:color="auto"/>
            <w:bottom w:val="none" w:sz="0" w:space="0" w:color="auto"/>
            <w:right w:val="none" w:sz="0" w:space="0" w:color="auto"/>
          </w:divBdr>
        </w:div>
        <w:div w:id="1424689212">
          <w:marLeft w:val="0"/>
          <w:marRight w:val="0"/>
          <w:marTop w:val="0"/>
          <w:marBottom w:val="0"/>
          <w:divBdr>
            <w:top w:val="none" w:sz="0" w:space="0" w:color="auto"/>
            <w:left w:val="none" w:sz="0" w:space="0" w:color="auto"/>
            <w:bottom w:val="none" w:sz="0" w:space="0" w:color="auto"/>
            <w:right w:val="none" w:sz="0" w:space="0" w:color="auto"/>
          </w:divBdr>
        </w:div>
        <w:div w:id="1609503583">
          <w:marLeft w:val="0"/>
          <w:marRight w:val="0"/>
          <w:marTop w:val="0"/>
          <w:marBottom w:val="0"/>
          <w:divBdr>
            <w:top w:val="none" w:sz="0" w:space="0" w:color="auto"/>
            <w:left w:val="none" w:sz="0" w:space="0" w:color="auto"/>
            <w:bottom w:val="none" w:sz="0" w:space="0" w:color="auto"/>
            <w:right w:val="none" w:sz="0" w:space="0" w:color="auto"/>
          </w:divBdr>
        </w:div>
      </w:divsChild>
    </w:div>
    <w:div w:id="1240678477">
      <w:bodyDiv w:val="1"/>
      <w:marLeft w:val="0"/>
      <w:marRight w:val="0"/>
      <w:marTop w:val="0"/>
      <w:marBottom w:val="0"/>
      <w:divBdr>
        <w:top w:val="none" w:sz="0" w:space="0" w:color="auto"/>
        <w:left w:val="none" w:sz="0" w:space="0" w:color="auto"/>
        <w:bottom w:val="none" w:sz="0" w:space="0" w:color="auto"/>
        <w:right w:val="none" w:sz="0" w:space="0" w:color="auto"/>
      </w:divBdr>
      <w:divsChild>
        <w:div w:id="173497427">
          <w:marLeft w:val="0"/>
          <w:marRight w:val="0"/>
          <w:marTop w:val="0"/>
          <w:marBottom w:val="0"/>
          <w:divBdr>
            <w:top w:val="none" w:sz="0" w:space="0" w:color="auto"/>
            <w:left w:val="none" w:sz="0" w:space="0" w:color="auto"/>
            <w:bottom w:val="none" w:sz="0" w:space="0" w:color="auto"/>
            <w:right w:val="none" w:sz="0" w:space="0" w:color="auto"/>
          </w:divBdr>
        </w:div>
        <w:div w:id="1886329668">
          <w:marLeft w:val="0"/>
          <w:marRight w:val="0"/>
          <w:marTop w:val="0"/>
          <w:marBottom w:val="0"/>
          <w:divBdr>
            <w:top w:val="none" w:sz="0" w:space="0" w:color="auto"/>
            <w:left w:val="none" w:sz="0" w:space="0" w:color="auto"/>
            <w:bottom w:val="none" w:sz="0" w:space="0" w:color="auto"/>
            <w:right w:val="none" w:sz="0" w:space="0" w:color="auto"/>
          </w:divBdr>
        </w:div>
        <w:div w:id="576323894">
          <w:marLeft w:val="0"/>
          <w:marRight w:val="0"/>
          <w:marTop w:val="0"/>
          <w:marBottom w:val="0"/>
          <w:divBdr>
            <w:top w:val="none" w:sz="0" w:space="0" w:color="auto"/>
            <w:left w:val="none" w:sz="0" w:space="0" w:color="auto"/>
            <w:bottom w:val="none" w:sz="0" w:space="0" w:color="auto"/>
            <w:right w:val="none" w:sz="0" w:space="0" w:color="auto"/>
          </w:divBdr>
        </w:div>
        <w:div w:id="1835074282">
          <w:marLeft w:val="0"/>
          <w:marRight w:val="0"/>
          <w:marTop w:val="0"/>
          <w:marBottom w:val="0"/>
          <w:divBdr>
            <w:top w:val="none" w:sz="0" w:space="0" w:color="auto"/>
            <w:left w:val="none" w:sz="0" w:space="0" w:color="auto"/>
            <w:bottom w:val="none" w:sz="0" w:space="0" w:color="auto"/>
            <w:right w:val="none" w:sz="0" w:space="0" w:color="auto"/>
          </w:divBdr>
        </w:div>
      </w:divsChild>
    </w:div>
    <w:div w:id="1404176621">
      <w:bodyDiv w:val="1"/>
      <w:marLeft w:val="0"/>
      <w:marRight w:val="0"/>
      <w:marTop w:val="0"/>
      <w:marBottom w:val="0"/>
      <w:divBdr>
        <w:top w:val="none" w:sz="0" w:space="0" w:color="auto"/>
        <w:left w:val="none" w:sz="0" w:space="0" w:color="auto"/>
        <w:bottom w:val="none" w:sz="0" w:space="0" w:color="auto"/>
        <w:right w:val="none" w:sz="0" w:space="0" w:color="auto"/>
      </w:divBdr>
      <w:divsChild>
        <w:div w:id="1509903396">
          <w:marLeft w:val="0"/>
          <w:marRight w:val="0"/>
          <w:marTop w:val="0"/>
          <w:marBottom w:val="0"/>
          <w:divBdr>
            <w:top w:val="none" w:sz="0" w:space="0" w:color="auto"/>
            <w:left w:val="none" w:sz="0" w:space="0" w:color="auto"/>
            <w:bottom w:val="none" w:sz="0" w:space="0" w:color="auto"/>
            <w:right w:val="none" w:sz="0" w:space="0" w:color="auto"/>
          </w:divBdr>
        </w:div>
        <w:div w:id="706878547">
          <w:marLeft w:val="0"/>
          <w:marRight w:val="0"/>
          <w:marTop w:val="0"/>
          <w:marBottom w:val="0"/>
          <w:divBdr>
            <w:top w:val="none" w:sz="0" w:space="0" w:color="auto"/>
            <w:left w:val="none" w:sz="0" w:space="0" w:color="auto"/>
            <w:bottom w:val="none" w:sz="0" w:space="0" w:color="auto"/>
            <w:right w:val="none" w:sz="0" w:space="0" w:color="auto"/>
          </w:divBdr>
        </w:div>
        <w:div w:id="1034578213">
          <w:marLeft w:val="0"/>
          <w:marRight w:val="0"/>
          <w:marTop w:val="0"/>
          <w:marBottom w:val="0"/>
          <w:divBdr>
            <w:top w:val="none" w:sz="0" w:space="0" w:color="auto"/>
            <w:left w:val="none" w:sz="0" w:space="0" w:color="auto"/>
            <w:bottom w:val="none" w:sz="0" w:space="0" w:color="auto"/>
            <w:right w:val="none" w:sz="0" w:space="0" w:color="auto"/>
          </w:divBdr>
        </w:div>
        <w:div w:id="1663436358">
          <w:marLeft w:val="0"/>
          <w:marRight w:val="0"/>
          <w:marTop w:val="0"/>
          <w:marBottom w:val="0"/>
          <w:divBdr>
            <w:top w:val="none" w:sz="0" w:space="0" w:color="auto"/>
            <w:left w:val="none" w:sz="0" w:space="0" w:color="auto"/>
            <w:bottom w:val="none" w:sz="0" w:space="0" w:color="auto"/>
            <w:right w:val="none" w:sz="0" w:space="0" w:color="auto"/>
          </w:divBdr>
        </w:div>
        <w:div w:id="858810100">
          <w:marLeft w:val="0"/>
          <w:marRight w:val="0"/>
          <w:marTop w:val="0"/>
          <w:marBottom w:val="0"/>
          <w:divBdr>
            <w:top w:val="none" w:sz="0" w:space="0" w:color="auto"/>
            <w:left w:val="none" w:sz="0" w:space="0" w:color="auto"/>
            <w:bottom w:val="none" w:sz="0" w:space="0" w:color="auto"/>
            <w:right w:val="none" w:sz="0" w:space="0" w:color="auto"/>
          </w:divBdr>
        </w:div>
      </w:divsChild>
    </w:div>
    <w:div w:id="1719473932">
      <w:bodyDiv w:val="1"/>
      <w:marLeft w:val="0"/>
      <w:marRight w:val="0"/>
      <w:marTop w:val="0"/>
      <w:marBottom w:val="0"/>
      <w:divBdr>
        <w:top w:val="none" w:sz="0" w:space="0" w:color="auto"/>
        <w:left w:val="none" w:sz="0" w:space="0" w:color="auto"/>
        <w:bottom w:val="none" w:sz="0" w:space="0" w:color="auto"/>
        <w:right w:val="none" w:sz="0" w:space="0" w:color="auto"/>
      </w:divBdr>
      <w:divsChild>
        <w:div w:id="497617140">
          <w:marLeft w:val="0"/>
          <w:marRight w:val="0"/>
          <w:marTop w:val="0"/>
          <w:marBottom w:val="0"/>
          <w:divBdr>
            <w:top w:val="none" w:sz="0" w:space="0" w:color="auto"/>
            <w:left w:val="none" w:sz="0" w:space="0" w:color="auto"/>
            <w:bottom w:val="none" w:sz="0" w:space="0" w:color="auto"/>
            <w:right w:val="none" w:sz="0" w:space="0" w:color="auto"/>
          </w:divBdr>
        </w:div>
        <w:div w:id="97681209">
          <w:marLeft w:val="0"/>
          <w:marRight w:val="0"/>
          <w:marTop w:val="0"/>
          <w:marBottom w:val="0"/>
          <w:divBdr>
            <w:top w:val="none" w:sz="0" w:space="0" w:color="auto"/>
            <w:left w:val="none" w:sz="0" w:space="0" w:color="auto"/>
            <w:bottom w:val="none" w:sz="0" w:space="0" w:color="auto"/>
            <w:right w:val="none" w:sz="0" w:space="0" w:color="auto"/>
          </w:divBdr>
        </w:div>
        <w:div w:id="1808038492">
          <w:marLeft w:val="0"/>
          <w:marRight w:val="0"/>
          <w:marTop w:val="0"/>
          <w:marBottom w:val="0"/>
          <w:divBdr>
            <w:top w:val="none" w:sz="0" w:space="0" w:color="auto"/>
            <w:left w:val="none" w:sz="0" w:space="0" w:color="auto"/>
            <w:bottom w:val="none" w:sz="0" w:space="0" w:color="auto"/>
            <w:right w:val="none" w:sz="0" w:space="0" w:color="auto"/>
          </w:divBdr>
        </w:div>
        <w:div w:id="916280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rojec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B82EF-25A2-4CD0-A229-57A8E2D7A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12058</Words>
  <Characters>68732</Characters>
  <Application>Microsoft Office Word</Application>
  <DocSecurity>0</DocSecurity>
  <Lines>572</Lines>
  <Paragraphs>161</Paragraphs>
  <ScaleCrop>false</ScaleCrop>
  <HeadingPairs>
    <vt:vector size="2" baseType="variant">
      <vt:variant>
        <vt:lpstr>Titre</vt:lpstr>
      </vt:variant>
      <vt:variant>
        <vt:i4>1</vt:i4>
      </vt:variant>
    </vt:vector>
  </HeadingPairs>
  <TitlesOfParts>
    <vt:vector size="1" baseType="lpstr">
      <vt:lpstr/>
    </vt:vector>
  </TitlesOfParts>
  <Company>CHU SAINT-ETIENNE</Company>
  <LinksUpToDate>false</LinksUpToDate>
  <CharactersWithSpaces>80629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dc:creator>
  <cp:lastModifiedBy>Moore, Emily</cp:lastModifiedBy>
  <cp:revision>2</cp:revision>
  <dcterms:created xsi:type="dcterms:W3CDTF">2017-06-15T14:57:00Z</dcterms:created>
  <dcterms:modified xsi:type="dcterms:W3CDTF">2017-06-15T14:57:00Z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zotero-version="4.0.29.19"&gt;&lt;session id="yOfN8Qh8"/&gt;&lt;style id="http://www.zotero.org/styles/anesthesiology" hasBibliography="1" bibliographyStyleHasBeenSet="1"/&gt;&lt;prefs&gt;&lt;pref name="fieldType" value="Field"/&gt;&lt;pref name="storeReferences</vt:lpwstr>
  </property>
  <property fmtid="{D5CDD505-2E9C-101B-9397-08002B2CF9AE}" pid="3" name="ZOTERO_PREF_2">
    <vt:lpwstr>" value="true"/&gt;&lt;pref name="automaticJournalAbbreviations" value="true"/&gt;&lt;pref name="noteType" value=""/&gt;&lt;/prefs&gt;&lt;/data&gt;</vt:lpwstr>
  </property>
</Properties>
</file>