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4BFB1" w14:textId="1FA882CF" w:rsidR="001506FA" w:rsidRPr="004322CB" w:rsidRDefault="001506FA" w:rsidP="001506FA">
      <w:pPr>
        <w:pStyle w:val="CSText"/>
        <w:spacing w:before="100" w:beforeAutospacing="1" w:after="100" w:afterAutospacing="1" w:line="480" w:lineRule="auto"/>
        <w:contextualSpacing/>
        <w:rPr>
          <w:rFonts w:ascii="Arial" w:hAnsi="Arial" w:cs="Arial"/>
          <w:b/>
        </w:rPr>
      </w:pPr>
      <w:bookmarkStart w:id="0" w:name="_GoBack"/>
      <w:bookmarkEnd w:id="0"/>
      <w:r w:rsidRPr="004322CB">
        <w:rPr>
          <w:rFonts w:ascii="Arial" w:hAnsi="Arial" w:cs="Arial"/>
          <w:b/>
        </w:rPr>
        <w:t>Supplement</w:t>
      </w:r>
      <w:r w:rsidR="00BB7266" w:rsidRPr="004322CB">
        <w:rPr>
          <w:rFonts w:ascii="Arial" w:hAnsi="Arial" w:cs="Arial"/>
          <w:b/>
        </w:rPr>
        <w:t>al</w:t>
      </w:r>
      <w:r w:rsidRPr="004322CB">
        <w:rPr>
          <w:rFonts w:ascii="Arial" w:hAnsi="Arial" w:cs="Arial"/>
          <w:b/>
        </w:rPr>
        <w:t xml:space="preserve"> information: Methods</w:t>
      </w:r>
    </w:p>
    <w:p w14:paraId="1A9ABB20" w14:textId="77777777" w:rsidR="001506FA" w:rsidRPr="004322CB" w:rsidRDefault="001506FA" w:rsidP="00FF09F6">
      <w:pPr>
        <w:pStyle w:val="CSText"/>
        <w:spacing w:before="100" w:beforeAutospacing="1" w:after="100" w:afterAutospacing="1" w:line="48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322CB">
        <w:rPr>
          <w:rFonts w:ascii="Arial" w:hAnsi="Arial" w:cs="Arial"/>
          <w:sz w:val="22"/>
          <w:szCs w:val="22"/>
        </w:rPr>
        <w:t>Blood gases were measured on a blood gas analyzer (ABL700, Radiometer, Copenhagen, Denmark) using heparinized blood samples. Hemoglobin and platelets were measured in</w:t>
      </w:r>
      <w:r w:rsidRPr="004322CB">
        <w:rPr>
          <w:rFonts w:ascii="Arial" w:eastAsia="MS Mincho" w:hAnsi="Arial" w:cs="Arial"/>
          <w:sz w:val="22"/>
          <w:szCs w:val="22"/>
          <w:lang w:eastAsia="ja-JP"/>
        </w:rPr>
        <w:t xml:space="preserve"> samples collected in potassium-EDTA-anticoagulant tubes (</w:t>
      </w:r>
      <w:r w:rsidRPr="004322CB">
        <w:rPr>
          <w:rFonts w:ascii="Arial" w:hAnsi="Arial" w:cs="Arial"/>
          <w:sz w:val="22"/>
          <w:szCs w:val="22"/>
        </w:rPr>
        <w:t xml:space="preserve">1.9 mg/mL final concentration, </w:t>
      </w:r>
      <w:proofErr w:type="spellStart"/>
      <w:r w:rsidRPr="004322CB">
        <w:rPr>
          <w:rFonts w:ascii="Arial" w:hAnsi="Arial" w:cs="Arial"/>
          <w:sz w:val="22"/>
          <w:szCs w:val="22"/>
        </w:rPr>
        <w:t>Sarstedt</w:t>
      </w:r>
      <w:proofErr w:type="spellEnd"/>
      <w:r w:rsidRPr="004322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322CB">
        <w:rPr>
          <w:rFonts w:ascii="Arial" w:hAnsi="Arial" w:cs="Arial"/>
          <w:sz w:val="22"/>
          <w:szCs w:val="22"/>
        </w:rPr>
        <w:t>Nuembrecht</w:t>
      </w:r>
      <w:proofErr w:type="spellEnd"/>
      <w:r w:rsidRPr="004322CB">
        <w:rPr>
          <w:rFonts w:ascii="Arial" w:hAnsi="Arial" w:cs="Arial"/>
          <w:sz w:val="22"/>
          <w:szCs w:val="22"/>
        </w:rPr>
        <w:t xml:space="preserve">, Germany) </w:t>
      </w:r>
      <w:r w:rsidRPr="004322CB">
        <w:rPr>
          <w:rFonts w:ascii="Arial" w:eastAsia="MS Mincho" w:hAnsi="Arial" w:cs="Arial"/>
          <w:sz w:val="22"/>
          <w:szCs w:val="22"/>
          <w:lang w:eastAsia="ja-JP"/>
        </w:rPr>
        <w:t xml:space="preserve">using a standard hematology analyzer (MEK-6108, Nihon </w:t>
      </w:r>
      <w:proofErr w:type="spellStart"/>
      <w:r w:rsidRPr="004322CB">
        <w:rPr>
          <w:rFonts w:ascii="Arial" w:eastAsia="MS Mincho" w:hAnsi="Arial" w:cs="Arial"/>
          <w:sz w:val="22"/>
          <w:szCs w:val="22"/>
          <w:lang w:eastAsia="ja-JP"/>
        </w:rPr>
        <w:t>Kohden</w:t>
      </w:r>
      <w:proofErr w:type="spellEnd"/>
      <w:r w:rsidRPr="004322CB">
        <w:rPr>
          <w:rFonts w:ascii="Arial" w:eastAsia="MS Mincho" w:hAnsi="Arial" w:cs="Arial"/>
          <w:sz w:val="22"/>
          <w:szCs w:val="22"/>
          <w:lang w:eastAsia="ja-JP"/>
        </w:rPr>
        <w:t xml:space="preserve">, </w:t>
      </w:r>
      <w:proofErr w:type="spellStart"/>
      <w:r w:rsidRPr="004322CB">
        <w:rPr>
          <w:rFonts w:ascii="Arial" w:hAnsi="Arial" w:cs="Arial"/>
          <w:sz w:val="22"/>
          <w:szCs w:val="22"/>
        </w:rPr>
        <w:t>Rosbach</w:t>
      </w:r>
      <w:proofErr w:type="spellEnd"/>
      <w:r w:rsidRPr="004322CB">
        <w:rPr>
          <w:rFonts w:ascii="Arial" w:hAnsi="Arial" w:cs="Arial"/>
          <w:sz w:val="22"/>
          <w:szCs w:val="22"/>
        </w:rPr>
        <w:t xml:space="preserve">, Germany). For coagulation assays and measurement of plasma drug concentrations, blood was collected </w:t>
      </w:r>
      <w:r w:rsidRPr="004322CB">
        <w:rPr>
          <w:rFonts w:ascii="Arial" w:hAnsi="Arial" w:cs="Arial"/>
          <w:sz w:val="22"/>
          <w:szCs w:val="22"/>
          <w:lang w:eastAsia="en-GB"/>
        </w:rPr>
        <w:t xml:space="preserve">in </w:t>
      </w:r>
      <w:r w:rsidRPr="004322CB">
        <w:rPr>
          <w:rFonts w:ascii="Arial" w:eastAsia="MS Mincho" w:hAnsi="Arial" w:cs="Arial"/>
          <w:sz w:val="22"/>
          <w:szCs w:val="22"/>
          <w:lang w:eastAsia="ja-JP"/>
        </w:rPr>
        <w:t>3.2% sodium citrate (</w:t>
      </w:r>
      <w:proofErr w:type="spellStart"/>
      <w:r w:rsidRPr="004322CB">
        <w:rPr>
          <w:rFonts w:ascii="Arial" w:hAnsi="Arial" w:cs="Arial"/>
          <w:sz w:val="22"/>
          <w:szCs w:val="22"/>
        </w:rPr>
        <w:t>Sarstedt</w:t>
      </w:r>
      <w:proofErr w:type="spellEnd"/>
      <w:r w:rsidRPr="004322CB">
        <w:rPr>
          <w:rFonts w:ascii="Arial" w:eastAsia="MS Mincho" w:hAnsi="Arial" w:cs="Arial"/>
          <w:sz w:val="22"/>
          <w:szCs w:val="22"/>
          <w:lang w:eastAsia="ja-JP"/>
        </w:rPr>
        <w:t>) and potassium-EDTA-anticoagulant (</w:t>
      </w:r>
      <w:r w:rsidRPr="004322CB">
        <w:rPr>
          <w:rFonts w:ascii="Arial" w:hAnsi="Arial" w:cs="Arial"/>
          <w:sz w:val="22"/>
          <w:szCs w:val="22"/>
        </w:rPr>
        <w:t xml:space="preserve">1.9 mg/mL final concentration, </w:t>
      </w:r>
      <w:proofErr w:type="spellStart"/>
      <w:r w:rsidRPr="004322CB">
        <w:rPr>
          <w:rFonts w:ascii="Arial" w:hAnsi="Arial" w:cs="Arial"/>
          <w:sz w:val="22"/>
          <w:szCs w:val="22"/>
        </w:rPr>
        <w:t>Sarstedt</w:t>
      </w:r>
      <w:proofErr w:type="spellEnd"/>
      <w:r w:rsidRPr="004322CB">
        <w:rPr>
          <w:rFonts w:ascii="Arial" w:hAnsi="Arial" w:cs="Arial"/>
          <w:sz w:val="22"/>
          <w:szCs w:val="22"/>
        </w:rPr>
        <w:t>)</w:t>
      </w:r>
      <w:r w:rsidRPr="004322CB">
        <w:rPr>
          <w:rFonts w:ascii="Arial" w:eastAsia="MS Mincho" w:hAnsi="Arial" w:cs="Arial"/>
          <w:sz w:val="22"/>
          <w:szCs w:val="22"/>
          <w:lang w:eastAsia="ja-JP"/>
        </w:rPr>
        <w:t xml:space="preserve">, respectively, </w:t>
      </w:r>
      <w:r w:rsidRPr="004322CB">
        <w:rPr>
          <w:rFonts w:ascii="Arial" w:hAnsi="Arial" w:cs="Arial"/>
          <w:sz w:val="22"/>
          <w:szCs w:val="22"/>
        </w:rPr>
        <w:t xml:space="preserve">centrifuged to obtain platelet poor plasma and stored at </w:t>
      </w:r>
      <w:r w:rsidRPr="004322CB">
        <w:rPr>
          <w:rFonts w:ascii="Arial" w:hAnsi="Arial" w:cs="Arial"/>
          <w:sz w:val="22"/>
          <w:szCs w:val="22"/>
        </w:rPr>
        <w:noBreakHyphen/>
        <w:t xml:space="preserve">80°C until assayed. </w:t>
      </w:r>
      <w:r w:rsidRPr="004322CB">
        <w:rPr>
          <w:rStyle w:val="Flietext"/>
          <w:rFonts w:ascii="Arial" w:hAnsi="Arial" w:cs="Arial"/>
          <w:sz w:val="22"/>
          <w:szCs w:val="22"/>
        </w:rPr>
        <w:t>P</w:t>
      </w:r>
      <w:r w:rsidRPr="004322CB">
        <w:rPr>
          <w:rFonts w:ascii="Arial" w:hAnsi="Arial" w:cs="Arial"/>
          <w:sz w:val="22"/>
          <w:szCs w:val="22"/>
        </w:rPr>
        <w:t xml:space="preserve">rothrombin time (PT, </w:t>
      </w:r>
      <w:bookmarkStart w:id="1" w:name="OLE_LINK8"/>
      <w:proofErr w:type="spellStart"/>
      <w:r w:rsidRPr="004322CB">
        <w:rPr>
          <w:rFonts w:ascii="Arial" w:hAnsi="Arial" w:cs="Arial"/>
          <w:sz w:val="22"/>
          <w:szCs w:val="22"/>
        </w:rPr>
        <w:t>Innovin</w:t>
      </w:r>
      <w:bookmarkEnd w:id="1"/>
      <w:proofErr w:type="spellEnd"/>
      <w:r w:rsidRPr="004322CB">
        <w:rPr>
          <w:rFonts w:ascii="Arial" w:eastAsia="TimesNewRomanPS--Identity-H" w:hAnsi="Arial" w:cs="Arial"/>
          <w:sz w:val="22"/>
          <w:szCs w:val="22"/>
          <w:vertAlign w:val="superscript"/>
          <w:lang w:eastAsia="en-GB"/>
        </w:rPr>
        <w:t xml:space="preserve">® </w:t>
      </w:r>
      <w:r w:rsidRPr="004322CB">
        <w:rPr>
          <w:rFonts w:ascii="Arial" w:eastAsia="TimesNewRomanPS--Identity-H" w:hAnsi="Arial" w:cs="Arial"/>
          <w:sz w:val="22"/>
          <w:szCs w:val="22"/>
          <w:lang w:eastAsia="en-GB"/>
        </w:rPr>
        <w:t>reagent</w:t>
      </w:r>
      <w:r w:rsidRPr="004322CB">
        <w:rPr>
          <w:rFonts w:ascii="Arial" w:hAnsi="Arial" w:cs="Arial"/>
          <w:sz w:val="22"/>
          <w:szCs w:val="22"/>
        </w:rPr>
        <w:t xml:space="preserve">), diluted thrombin time </w:t>
      </w:r>
      <w:r w:rsidRPr="004322CB">
        <w:rPr>
          <w:rFonts w:ascii="Arial" w:hAnsi="Arial" w:cs="Arial"/>
          <w:sz w:val="22"/>
          <w:szCs w:val="22"/>
          <w:lang w:eastAsia="en-GB"/>
        </w:rPr>
        <w:t>(dTT, Hyphen BioMed, Neuville sur-Oise, France)</w:t>
      </w:r>
      <w:r w:rsidRPr="004322CB">
        <w:rPr>
          <w:rFonts w:ascii="Arial" w:hAnsi="Arial" w:cs="Arial"/>
          <w:sz w:val="22"/>
          <w:szCs w:val="22"/>
        </w:rPr>
        <w:t xml:space="preserve"> and D-dimer levels (</w:t>
      </w:r>
      <w:proofErr w:type="spellStart"/>
      <w:r w:rsidRPr="004322CB">
        <w:rPr>
          <w:rFonts w:ascii="Arial" w:hAnsi="Arial" w:cs="Arial"/>
          <w:sz w:val="22"/>
          <w:szCs w:val="22"/>
        </w:rPr>
        <w:t>Innovance</w:t>
      </w:r>
      <w:proofErr w:type="spellEnd"/>
      <w:r w:rsidRPr="004322CB">
        <w:rPr>
          <w:rFonts w:ascii="Arial" w:eastAsia="TimesNewRomanPS--Identity-H" w:hAnsi="Arial" w:cs="Arial"/>
          <w:sz w:val="22"/>
          <w:szCs w:val="22"/>
          <w:vertAlign w:val="superscript"/>
          <w:lang w:eastAsia="en-GB"/>
        </w:rPr>
        <w:t>®</w:t>
      </w:r>
      <w:r w:rsidRPr="004322CB">
        <w:rPr>
          <w:rFonts w:ascii="Arial" w:hAnsi="Arial" w:cs="Arial"/>
          <w:sz w:val="22"/>
          <w:szCs w:val="22"/>
        </w:rPr>
        <w:t xml:space="preserve"> D-dimer assay) were determined by standard laboratory methods using a BCS XP analyzer (Siemens, Erlangen, Germany).</w:t>
      </w:r>
      <w:r w:rsidRPr="004322CB">
        <w:rPr>
          <w:rFonts w:ascii="Arial" w:eastAsia="MS Mincho" w:hAnsi="Arial" w:cs="Arial"/>
          <w:sz w:val="22"/>
          <w:szCs w:val="22"/>
          <w:lang w:eastAsia="ja-JP"/>
        </w:rPr>
        <w:t xml:space="preserve"> </w:t>
      </w:r>
      <w:r w:rsidRPr="004322CB">
        <w:rPr>
          <w:rFonts w:ascii="Arial" w:hAnsi="Arial" w:cs="Arial"/>
          <w:sz w:val="22"/>
          <w:szCs w:val="22"/>
          <w:lang w:eastAsia="en-GB"/>
        </w:rPr>
        <w:t>Activated partial thromboplastin time (</w:t>
      </w:r>
      <w:proofErr w:type="spellStart"/>
      <w:r w:rsidRPr="004322CB">
        <w:rPr>
          <w:rFonts w:ascii="Arial" w:hAnsi="Arial" w:cs="Arial"/>
          <w:sz w:val="22"/>
          <w:szCs w:val="22"/>
          <w:lang w:eastAsia="en-GB"/>
        </w:rPr>
        <w:t>aPTT</w:t>
      </w:r>
      <w:proofErr w:type="spellEnd"/>
      <w:r w:rsidRPr="004322CB">
        <w:rPr>
          <w:rFonts w:ascii="Arial" w:hAnsi="Arial" w:cs="Arial"/>
          <w:sz w:val="22"/>
          <w:szCs w:val="22"/>
          <w:lang w:eastAsia="en-GB"/>
        </w:rPr>
        <w:t xml:space="preserve">, CK </w:t>
      </w:r>
      <w:proofErr w:type="spellStart"/>
      <w:r w:rsidRPr="004322CB">
        <w:rPr>
          <w:rFonts w:ascii="Arial" w:hAnsi="Arial" w:cs="Arial"/>
          <w:sz w:val="22"/>
          <w:szCs w:val="22"/>
          <w:lang w:eastAsia="en-GB"/>
        </w:rPr>
        <w:t>Prest</w:t>
      </w:r>
      <w:proofErr w:type="spellEnd"/>
      <w:r w:rsidRPr="004322CB">
        <w:rPr>
          <w:rFonts w:ascii="Arial" w:eastAsia="TimesNewRomanPS--Identity-H" w:hAnsi="Arial" w:cs="Arial"/>
          <w:sz w:val="22"/>
          <w:szCs w:val="22"/>
          <w:vertAlign w:val="superscript"/>
          <w:lang w:eastAsia="en-GB"/>
        </w:rPr>
        <w:t>®</w:t>
      </w:r>
      <w:r w:rsidRPr="004322CB">
        <w:rPr>
          <w:rFonts w:ascii="Arial" w:hAnsi="Arial" w:cs="Arial"/>
          <w:sz w:val="22"/>
          <w:szCs w:val="22"/>
          <w:lang w:eastAsia="en-GB"/>
        </w:rPr>
        <w:t xml:space="preserve">, </w:t>
      </w:r>
      <w:proofErr w:type="spellStart"/>
      <w:r w:rsidRPr="004322CB">
        <w:rPr>
          <w:rFonts w:ascii="Arial" w:hAnsi="Arial" w:cs="Arial"/>
          <w:sz w:val="22"/>
          <w:szCs w:val="22"/>
          <w:lang w:eastAsia="en-GB"/>
        </w:rPr>
        <w:t>Diagnostica</w:t>
      </w:r>
      <w:proofErr w:type="spellEnd"/>
      <w:r w:rsidRPr="004322CB">
        <w:rPr>
          <w:rFonts w:ascii="Arial" w:hAnsi="Arial" w:cs="Arial"/>
          <w:sz w:val="22"/>
          <w:szCs w:val="22"/>
          <w:lang w:eastAsia="en-GB"/>
        </w:rPr>
        <w:t xml:space="preserve"> </w:t>
      </w:r>
      <w:proofErr w:type="spellStart"/>
      <w:r w:rsidRPr="004322CB">
        <w:rPr>
          <w:rFonts w:ascii="Arial" w:hAnsi="Arial" w:cs="Arial"/>
          <w:sz w:val="22"/>
          <w:szCs w:val="22"/>
          <w:lang w:eastAsia="en-GB"/>
        </w:rPr>
        <w:t>Stago</w:t>
      </w:r>
      <w:proofErr w:type="spellEnd"/>
      <w:r w:rsidRPr="004322CB">
        <w:rPr>
          <w:rFonts w:ascii="Arial" w:hAnsi="Arial" w:cs="Arial"/>
          <w:sz w:val="22"/>
          <w:szCs w:val="22"/>
          <w:lang w:eastAsia="en-GB"/>
        </w:rPr>
        <w:t xml:space="preserve">, </w:t>
      </w:r>
      <w:proofErr w:type="spellStart"/>
      <w:r w:rsidRPr="004322CB">
        <w:rPr>
          <w:rFonts w:ascii="Arial" w:hAnsi="Arial" w:cs="Arial"/>
          <w:sz w:val="22"/>
          <w:szCs w:val="22"/>
          <w:lang w:eastAsia="en-GB"/>
        </w:rPr>
        <w:t>Asnieres</w:t>
      </w:r>
      <w:proofErr w:type="spellEnd"/>
      <w:r w:rsidRPr="004322CB">
        <w:rPr>
          <w:rFonts w:ascii="Arial" w:hAnsi="Arial" w:cs="Arial"/>
          <w:sz w:val="22"/>
          <w:szCs w:val="22"/>
          <w:lang w:eastAsia="en-GB"/>
        </w:rPr>
        <w:t xml:space="preserve"> sur Seine, France) and fibrinogen levels (Dade</w:t>
      </w:r>
      <w:r w:rsidRPr="004322CB">
        <w:rPr>
          <w:rFonts w:ascii="Arial" w:eastAsia="TimesNewRomanPS--Identity-H" w:hAnsi="Arial" w:cs="Arial"/>
          <w:sz w:val="22"/>
          <w:szCs w:val="22"/>
          <w:vertAlign w:val="superscript"/>
          <w:lang w:eastAsia="en-GB"/>
        </w:rPr>
        <w:t>®</w:t>
      </w:r>
      <w:r w:rsidRPr="004322CB">
        <w:rPr>
          <w:rFonts w:ascii="Arial" w:hAnsi="Arial" w:cs="Arial"/>
          <w:sz w:val="22"/>
          <w:szCs w:val="22"/>
          <w:lang w:eastAsia="en-GB"/>
        </w:rPr>
        <w:t>, Siemens Healthcare, Marburg, Germany) were measured using standard methods with a CL4 coagulation analyzer (</w:t>
      </w:r>
      <w:proofErr w:type="spellStart"/>
      <w:r w:rsidRPr="004322CB">
        <w:rPr>
          <w:rFonts w:ascii="Arial" w:hAnsi="Arial" w:cs="Arial"/>
          <w:sz w:val="22"/>
          <w:szCs w:val="22"/>
          <w:lang w:eastAsia="en-GB"/>
        </w:rPr>
        <w:t>Behnk</w:t>
      </w:r>
      <w:proofErr w:type="spellEnd"/>
      <w:r w:rsidRPr="004322CB">
        <w:rPr>
          <w:rFonts w:ascii="Arial" w:hAnsi="Arial" w:cs="Arial"/>
          <w:sz w:val="22"/>
          <w:szCs w:val="22"/>
          <w:lang w:eastAsia="en-GB"/>
        </w:rPr>
        <w:t xml:space="preserve"> </w:t>
      </w:r>
      <w:proofErr w:type="spellStart"/>
      <w:r w:rsidRPr="004322CB">
        <w:rPr>
          <w:rFonts w:ascii="Arial" w:hAnsi="Arial" w:cs="Arial"/>
          <w:sz w:val="22"/>
          <w:szCs w:val="22"/>
          <w:lang w:eastAsia="en-GB"/>
        </w:rPr>
        <w:t>Elektronik</w:t>
      </w:r>
      <w:proofErr w:type="spellEnd"/>
      <w:r w:rsidRPr="004322CB">
        <w:rPr>
          <w:rFonts w:ascii="Arial" w:hAnsi="Arial" w:cs="Arial"/>
          <w:sz w:val="22"/>
          <w:szCs w:val="22"/>
          <w:lang w:eastAsia="en-GB"/>
        </w:rPr>
        <w:t xml:space="preserve"> GmbH &amp;Co. KG, Norderstedt, Germany). Before determining fibrinogen, all plasma samples were incubated with 3 mg/mL idarucizumab to neutralize dabigatran concentrations in the sample.</w:t>
      </w:r>
      <w:r w:rsidRPr="004322CB">
        <w:rPr>
          <w:rFonts w:ascii="Arial" w:hAnsi="Arial" w:cs="Arial"/>
          <w:sz w:val="22"/>
          <w:szCs w:val="22"/>
        </w:rPr>
        <w:t xml:space="preserve"> Thrombin–antithrombin (TAT) complexes and FPA were quantified by ELISAs (</w:t>
      </w:r>
      <w:proofErr w:type="spellStart"/>
      <w:r w:rsidRPr="004322CB">
        <w:rPr>
          <w:rFonts w:ascii="Arial" w:hAnsi="Arial" w:cs="Arial"/>
          <w:sz w:val="22"/>
          <w:szCs w:val="22"/>
        </w:rPr>
        <w:t>Enzygnost</w:t>
      </w:r>
      <w:proofErr w:type="spellEnd"/>
      <w:r w:rsidRPr="004322CB">
        <w:rPr>
          <w:rFonts w:ascii="Arial" w:hAnsi="Arial" w:cs="Arial"/>
          <w:sz w:val="22"/>
          <w:szCs w:val="22"/>
        </w:rPr>
        <w:t xml:space="preserve"> TAT, Dade Behring, Marburg, Germany; </w:t>
      </w:r>
      <w:proofErr w:type="spellStart"/>
      <w:r w:rsidRPr="004322CB">
        <w:rPr>
          <w:rFonts w:ascii="Arial" w:hAnsi="Arial" w:cs="Arial"/>
          <w:sz w:val="22"/>
          <w:szCs w:val="22"/>
        </w:rPr>
        <w:t>Zymutest</w:t>
      </w:r>
      <w:proofErr w:type="spellEnd"/>
      <w:r w:rsidRPr="004322CB">
        <w:rPr>
          <w:rFonts w:ascii="Arial" w:hAnsi="Arial" w:cs="Arial"/>
          <w:sz w:val="22"/>
          <w:szCs w:val="22"/>
        </w:rPr>
        <w:t xml:space="preserve"> FPA, Hyphen </w:t>
      </w:r>
      <w:proofErr w:type="spellStart"/>
      <w:r w:rsidRPr="004322CB">
        <w:rPr>
          <w:rFonts w:ascii="Arial" w:hAnsi="Arial" w:cs="Arial"/>
          <w:sz w:val="22"/>
          <w:szCs w:val="22"/>
        </w:rPr>
        <w:t>BioMed</w:t>
      </w:r>
      <w:proofErr w:type="spellEnd"/>
      <w:r w:rsidRPr="004322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322CB">
        <w:rPr>
          <w:rFonts w:ascii="Arial" w:hAnsi="Arial" w:cs="Arial"/>
          <w:sz w:val="22"/>
          <w:szCs w:val="22"/>
        </w:rPr>
        <w:t>Neuville</w:t>
      </w:r>
      <w:proofErr w:type="spellEnd"/>
      <w:r w:rsidRPr="004322CB">
        <w:rPr>
          <w:rFonts w:ascii="Arial" w:hAnsi="Arial" w:cs="Arial"/>
          <w:sz w:val="22"/>
          <w:szCs w:val="22"/>
        </w:rPr>
        <w:t>-sur-</w:t>
      </w:r>
      <w:proofErr w:type="spellStart"/>
      <w:r w:rsidRPr="004322CB">
        <w:rPr>
          <w:rFonts w:ascii="Arial" w:hAnsi="Arial" w:cs="Arial"/>
          <w:sz w:val="22"/>
          <w:szCs w:val="22"/>
        </w:rPr>
        <w:t>Oise,France</w:t>
      </w:r>
      <w:proofErr w:type="spellEnd"/>
      <w:r w:rsidRPr="004322CB">
        <w:rPr>
          <w:rFonts w:ascii="Arial" w:hAnsi="Arial" w:cs="Arial"/>
          <w:sz w:val="22"/>
          <w:szCs w:val="22"/>
        </w:rPr>
        <w:t>).</w:t>
      </w:r>
    </w:p>
    <w:p w14:paraId="3D097B97" w14:textId="77777777" w:rsidR="001506FA" w:rsidRPr="004322CB" w:rsidRDefault="001506FA" w:rsidP="001506FA">
      <w:pPr>
        <w:pStyle w:val="CSText"/>
        <w:spacing w:before="100" w:beforeAutospacing="1" w:after="100" w:afterAutospacing="1" w:line="480" w:lineRule="auto"/>
        <w:contextualSpacing/>
        <w:rPr>
          <w:rFonts w:ascii="Arial" w:hAnsi="Arial" w:cs="Arial"/>
          <w:sz w:val="22"/>
          <w:szCs w:val="22"/>
        </w:rPr>
      </w:pPr>
    </w:p>
    <w:p w14:paraId="2FD715D7" w14:textId="77777777" w:rsidR="001506FA" w:rsidRPr="004322CB" w:rsidRDefault="001506FA" w:rsidP="001506FA">
      <w:pPr>
        <w:pStyle w:val="CSText"/>
        <w:keepNext/>
        <w:spacing w:line="480" w:lineRule="auto"/>
        <w:rPr>
          <w:rFonts w:ascii="Arial" w:eastAsia="MS Mincho" w:hAnsi="Arial" w:cs="Arial"/>
          <w:b/>
          <w:sz w:val="22"/>
          <w:szCs w:val="22"/>
          <w:lang w:eastAsia="ja-JP"/>
        </w:rPr>
      </w:pPr>
      <w:r w:rsidRPr="004322CB">
        <w:rPr>
          <w:rFonts w:ascii="Arial" w:eastAsia="MS Mincho" w:hAnsi="Arial" w:cs="Arial"/>
          <w:b/>
          <w:sz w:val="22"/>
          <w:szCs w:val="22"/>
          <w:lang w:eastAsia="ja-JP"/>
        </w:rPr>
        <w:t xml:space="preserve">Plasma concentrations of dabigatran </w:t>
      </w:r>
    </w:p>
    <w:p w14:paraId="696DA59B" w14:textId="77777777" w:rsidR="001506FA" w:rsidRPr="004322CB" w:rsidRDefault="001506FA" w:rsidP="00FF09F6">
      <w:pPr>
        <w:pStyle w:val="CSText"/>
        <w:keepNext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322CB">
        <w:rPr>
          <w:rFonts w:ascii="Arial" w:hAnsi="Arial" w:cs="Arial"/>
          <w:sz w:val="22"/>
          <w:szCs w:val="22"/>
        </w:rPr>
        <w:t>Plasma concentrations of active dabigatran were determined by the calibrated diluted thrombin time (</w:t>
      </w:r>
      <w:proofErr w:type="spellStart"/>
      <w:r w:rsidRPr="004322CB">
        <w:rPr>
          <w:rFonts w:ascii="Arial" w:hAnsi="Arial" w:cs="Arial"/>
          <w:sz w:val="22"/>
          <w:szCs w:val="22"/>
        </w:rPr>
        <w:t>Hemoclot</w:t>
      </w:r>
      <w:proofErr w:type="spellEnd"/>
      <w:r w:rsidRPr="004322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322CB">
        <w:rPr>
          <w:rFonts w:ascii="Arial" w:hAnsi="Arial" w:cs="Arial"/>
          <w:sz w:val="22"/>
          <w:szCs w:val="22"/>
        </w:rPr>
        <w:t>HyphenBiomed</w:t>
      </w:r>
      <w:proofErr w:type="spellEnd"/>
      <w:r w:rsidRPr="004322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322CB">
        <w:rPr>
          <w:rFonts w:ascii="Arial" w:hAnsi="Arial" w:cs="Arial"/>
          <w:sz w:val="22"/>
          <w:szCs w:val="22"/>
        </w:rPr>
        <w:t>Neuville</w:t>
      </w:r>
      <w:proofErr w:type="spellEnd"/>
      <w:r w:rsidRPr="004322CB">
        <w:rPr>
          <w:rFonts w:ascii="Arial" w:hAnsi="Arial" w:cs="Arial"/>
          <w:sz w:val="22"/>
          <w:szCs w:val="22"/>
        </w:rPr>
        <w:t xml:space="preserve"> sur-Oise, France). The calibration curve was generated by spiking pooled porcine plasma with known amounts of dabigatran and then performing the assay according to the manufacturer’s instructions.</w:t>
      </w:r>
    </w:p>
    <w:p w14:paraId="2E77169B" w14:textId="77777777" w:rsidR="001506FA" w:rsidRPr="004322CB" w:rsidRDefault="001506FA" w:rsidP="001506F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2"/>
          <w:szCs w:val="22"/>
          <w:lang w:val="en-US" w:eastAsia="en-GB"/>
        </w:rPr>
      </w:pPr>
    </w:p>
    <w:p w14:paraId="29AB1658" w14:textId="77777777" w:rsidR="001506FA" w:rsidRPr="004322CB" w:rsidRDefault="001506FA" w:rsidP="00FF09F6">
      <w:pPr>
        <w:keepNext/>
        <w:autoSpaceDE w:val="0"/>
        <w:autoSpaceDN w:val="0"/>
        <w:adjustRightInd w:val="0"/>
        <w:spacing w:before="100" w:beforeAutospacing="1" w:after="100" w:afterAutospacing="1" w:line="480" w:lineRule="auto"/>
        <w:contextualSpacing/>
        <w:rPr>
          <w:rFonts w:ascii="Arial" w:hAnsi="Arial" w:cs="Arial"/>
          <w:b/>
          <w:sz w:val="22"/>
          <w:szCs w:val="22"/>
          <w:lang w:val="en-US" w:eastAsia="de-DE"/>
        </w:rPr>
      </w:pPr>
      <w:r w:rsidRPr="004322CB">
        <w:rPr>
          <w:rFonts w:ascii="Arial" w:hAnsi="Arial" w:cs="Arial"/>
          <w:b/>
          <w:sz w:val="22"/>
          <w:szCs w:val="22"/>
          <w:lang w:val="en-US"/>
        </w:rPr>
        <w:lastRenderedPageBreak/>
        <w:t>Whole-blood assays: thromboelastometry and activated clotting time</w:t>
      </w:r>
    </w:p>
    <w:p w14:paraId="2385063D" w14:textId="446ADC18" w:rsidR="001506FA" w:rsidRPr="004322CB" w:rsidRDefault="001506FA" w:rsidP="00FF09F6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  <w:lang w:val="en-US" w:eastAsia="de-DE"/>
        </w:rPr>
      </w:pPr>
      <w:r w:rsidRPr="004322CB">
        <w:rPr>
          <w:rFonts w:ascii="Arial" w:hAnsi="Arial" w:cs="Arial"/>
          <w:sz w:val="22"/>
          <w:szCs w:val="22"/>
          <w:lang w:val="en-US"/>
        </w:rPr>
        <w:t xml:space="preserve">Whole-blood thromboelastometry was performed on a ROTEM analyzer (TEM International GmbH, Munich, Germany) according to the manufacturer’s instructions using blood samples collected in 3.2% sodium citrate. An extrinsically activated assay using recombinant tissue factor (EXTEM) and an intrinsically activated test using </w:t>
      </w:r>
      <w:proofErr w:type="spellStart"/>
      <w:r w:rsidRPr="004322CB">
        <w:rPr>
          <w:rFonts w:ascii="Arial" w:hAnsi="Arial" w:cs="Arial"/>
          <w:sz w:val="22"/>
          <w:szCs w:val="22"/>
          <w:lang w:val="en-US"/>
        </w:rPr>
        <w:t>ellagic</w:t>
      </w:r>
      <w:proofErr w:type="spellEnd"/>
      <w:r w:rsidRPr="004322CB">
        <w:rPr>
          <w:rFonts w:ascii="Arial" w:hAnsi="Arial" w:cs="Arial"/>
          <w:sz w:val="22"/>
          <w:szCs w:val="22"/>
          <w:lang w:val="en-US"/>
        </w:rPr>
        <w:t xml:space="preserve"> acid and phospholipids </w:t>
      </w:r>
      <w:r w:rsidR="00FF09F6" w:rsidRPr="004322CB">
        <w:rPr>
          <w:rFonts w:ascii="Arial" w:hAnsi="Arial" w:cs="Arial"/>
          <w:sz w:val="22"/>
          <w:szCs w:val="22"/>
          <w:lang w:val="en-US"/>
        </w:rPr>
        <w:br/>
      </w:r>
      <w:r w:rsidRPr="004322CB">
        <w:rPr>
          <w:rFonts w:ascii="Arial" w:hAnsi="Arial" w:cs="Arial"/>
          <w:sz w:val="22"/>
          <w:szCs w:val="22"/>
          <w:lang w:val="en-US"/>
        </w:rPr>
        <w:t xml:space="preserve">(INTEM) were used. </w:t>
      </w:r>
      <w:r w:rsidRPr="004322CB">
        <w:rPr>
          <w:rFonts w:ascii="Arial" w:hAnsi="Arial" w:cs="Arial"/>
          <w:sz w:val="22"/>
          <w:szCs w:val="22"/>
          <w:lang w:val="en-US" w:eastAsia="de-DE"/>
        </w:rPr>
        <w:t xml:space="preserve">The parameters assessed were </w:t>
      </w:r>
      <w:r w:rsidRPr="004322CB">
        <w:rPr>
          <w:rFonts w:ascii="Arial" w:eastAsia="MS Mincho" w:hAnsi="Arial" w:cs="Arial"/>
          <w:sz w:val="22"/>
          <w:szCs w:val="22"/>
          <w:lang w:val="en-US" w:eastAsia="ja-JP"/>
        </w:rPr>
        <w:t xml:space="preserve">clotting time </w:t>
      </w:r>
      <w:r w:rsidRPr="004322CB">
        <w:rPr>
          <w:rFonts w:ascii="Arial" w:hAnsi="Arial" w:cs="Arial"/>
          <w:sz w:val="22"/>
          <w:szCs w:val="22"/>
          <w:lang w:val="en-US" w:eastAsia="de-DE"/>
        </w:rPr>
        <w:t>(CT, sec)</w:t>
      </w:r>
      <w:r w:rsidRPr="004322CB">
        <w:rPr>
          <w:rFonts w:ascii="Arial" w:eastAsia="MS Mincho" w:hAnsi="Arial" w:cs="Arial"/>
          <w:sz w:val="22"/>
          <w:szCs w:val="22"/>
          <w:lang w:val="en-US" w:eastAsia="ja-JP"/>
        </w:rPr>
        <w:t xml:space="preserve">, clot formation </w:t>
      </w:r>
      <w:r w:rsidR="00FF09F6" w:rsidRPr="004322CB">
        <w:rPr>
          <w:rFonts w:ascii="Arial" w:eastAsia="MS Mincho" w:hAnsi="Arial" w:cs="Arial"/>
          <w:sz w:val="22"/>
          <w:szCs w:val="22"/>
          <w:lang w:val="en-US" w:eastAsia="ja-JP"/>
        </w:rPr>
        <w:br/>
      </w:r>
      <w:r w:rsidRPr="004322CB">
        <w:rPr>
          <w:rFonts w:ascii="Arial" w:eastAsia="MS Mincho" w:hAnsi="Arial" w:cs="Arial"/>
          <w:sz w:val="22"/>
          <w:szCs w:val="22"/>
          <w:lang w:val="en-US" w:eastAsia="ja-JP"/>
        </w:rPr>
        <w:t xml:space="preserve">time </w:t>
      </w:r>
      <w:r w:rsidRPr="004322CB">
        <w:rPr>
          <w:rFonts w:ascii="Arial" w:hAnsi="Arial" w:cs="Arial"/>
          <w:sz w:val="22"/>
          <w:szCs w:val="22"/>
          <w:lang w:val="en-US" w:eastAsia="de-DE"/>
        </w:rPr>
        <w:t xml:space="preserve">(CFT, sec), </w:t>
      </w:r>
      <w:r w:rsidRPr="004322CB">
        <w:rPr>
          <w:rFonts w:ascii="Arial" w:eastAsia="MS Mincho" w:hAnsi="Arial" w:cs="Arial"/>
          <w:sz w:val="22"/>
          <w:szCs w:val="22"/>
          <w:lang w:val="en-US" w:eastAsia="ja-JP"/>
        </w:rPr>
        <w:t xml:space="preserve">and maximum clot firmness </w:t>
      </w:r>
      <w:r w:rsidRPr="004322CB">
        <w:rPr>
          <w:rFonts w:ascii="Arial" w:hAnsi="Arial" w:cs="Arial"/>
          <w:sz w:val="22"/>
          <w:szCs w:val="22"/>
          <w:lang w:val="en-US" w:eastAsia="de-DE"/>
        </w:rPr>
        <w:t xml:space="preserve">(MCF, mm). </w:t>
      </w:r>
    </w:p>
    <w:p w14:paraId="414D0496" w14:textId="528A5A5C" w:rsidR="001506FA" w:rsidRPr="004322CB" w:rsidRDefault="001506FA" w:rsidP="00FF09F6">
      <w:pPr>
        <w:autoSpaceDE w:val="0"/>
        <w:autoSpaceDN w:val="0"/>
        <w:adjustRightInd w:val="0"/>
        <w:spacing w:before="100" w:beforeAutospacing="1" w:after="100" w:afterAutospacing="1" w:line="480" w:lineRule="auto"/>
        <w:contextualSpacing/>
        <w:jc w:val="both"/>
        <w:rPr>
          <w:rFonts w:ascii="Arial" w:hAnsi="Arial" w:cs="Arial"/>
          <w:sz w:val="22"/>
          <w:szCs w:val="22"/>
          <w:lang w:val="en-US" w:eastAsia="de-DE"/>
        </w:rPr>
      </w:pPr>
      <w:r w:rsidRPr="004322CB">
        <w:rPr>
          <w:rFonts w:ascii="Arial" w:hAnsi="Arial" w:cs="Arial"/>
          <w:sz w:val="22"/>
          <w:szCs w:val="22"/>
          <w:lang w:val="en-US" w:eastAsia="de-DE"/>
        </w:rPr>
        <w:t xml:space="preserve">Non-anticoagulated whole-blood samples were collected for measurement of activated </w:t>
      </w:r>
      <w:r w:rsidR="00FF09F6" w:rsidRPr="004322CB">
        <w:rPr>
          <w:rFonts w:ascii="Arial" w:hAnsi="Arial" w:cs="Arial"/>
          <w:sz w:val="22"/>
          <w:szCs w:val="22"/>
          <w:lang w:val="en-US" w:eastAsia="de-DE"/>
        </w:rPr>
        <w:br/>
      </w:r>
      <w:r w:rsidRPr="004322CB">
        <w:rPr>
          <w:rFonts w:ascii="Arial" w:hAnsi="Arial" w:cs="Arial"/>
          <w:sz w:val="22"/>
          <w:szCs w:val="22"/>
          <w:lang w:val="en-US" w:eastAsia="de-DE"/>
        </w:rPr>
        <w:t xml:space="preserve">clotting time (ACT) using an i-STAT point-of-care device (Abbott, </w:t>
      </w:r>
      <w:r w:rsidRPr="004322CB">
        <w:rPr>
          <w:rFonts w:ascii="Arial" w:eastAsia="MS Mincho" w:hAnsi="Arial" w:cs="Arial"/>
          <w:sz w:val="22"/>
          <w:szCs w:val="22"/>
          <w:lang w:val="en-US" w:eastAsia="ja-JP"/>
        </w:rPr>
        <w:t>Princeton, NJ</w:t>
      </w:r>
      <w:r w:rsidRPr="004322CB">
        <w:rPr>
          <w:rFonts w:ascii="Arial" w:hAnsi="Arial" w:cs="Arial"/>
          <w:sz w:val="22"/>
          <w:szCs w:val="22"/>
          <w:lang w:val="en-US" w:eastAsia="de-DE"/>
        </w:rPr>
        <w:t xml:space="preserve">) with </w:t>
      </w:r>
      <w:proofErr w:type="spellStart"/>
      <w:r w:rsidRPr="004322CB">
        <w:rPr>
          <w:rFonts w:ascii="Arial" w:hAnsi="Arial" w:cs="Arial"/>
          <w:sz w:val="22"/>
          <w:szCs w:val="22"/>
          <w:lang w:val="en-US" w:eastAsia="de-DE"/>
        </w:rPr>
        <w:t>celite</w:t>
      </w:r>
      <w:proofErr w:type="spellEnd"/>
      <w:r w:rsidRPr="004322CB">
        <w:rPr>
          <w:rFonts w:ascii="Arial" w:hAnsi="Arial" w:cs="Arial"/>
          <w:sz w:val="22"/>
          <w:szCs w:val="22"/>
          <w:lang w:val="en-US" w:eastAsia="de-DE"/>
        </w:rPr>
        <w:t xml:space="preserve"> cartridges.</w:t>
      </w:r>
    </w:p>
    <w:p w14:paraId="42B5D1B3" w14:textId="77777777" w:rsidR="001506FA" w:rsidRPr="004322CB" w:rsidRDefault="001506FA" w:rsidP="001506FA">
      <w:pPr>
        <w:autoSpaceDE w:val="0"/>
        <w:autoSpaceDN w:val="0"/>
        <w:adjustRightInd w:val="0"/>
        <w:spacing w:before="100" w:beforeAutospacing="1" w:after="100" w:afterAutospacing="1" w:line="480" w:lineRule="auto"/>
        <w:contextualSpacing/>
        <w:rPr>
          <w:rFonts w:ascii="Arial" w:hAnsi="Arial" w:cs="Arial"/>
          <w:b/>
          <w:sz w:val="22"/>
          <w:szCs w:val="22"/>
          <w:lang w:val="en-US"/>
        </w:rPr>
      </w:pPr>
    </w:p>
    <w:p w14:paraId="543A8662" w14:textId="77777777" w:rsidR="001506FA" w:rsidRPr="004322CB" w:rsidRDefault="001506FA" w:rsidP="001506FA">
      <w:pPr>
        <w:autoSpaceDE w:val="0"/>
        <w:autoSpaceDN w:val="0"/>
        <w:adjustRightInd w:val="0"/>
        <w:spacing w:before="100" w:beforeAutospacing="1" w:after="100" w:afterAutospacing="1" w:line="480" w:lineRule="auto"/>
        <w:contextualSpacing/>
        <w:rPr>
          <w:rFonts w:ascii="Arial" w:hAnsi="Arial" w:cs="Arial"/>
          <w:sz w:val="22"/>
          <w:szCs w:val="22"/>
          <w:lang w:val="en-US"/>
        </w:rPr>
      </w:pPr>
      <w:r w:rsidRPr="004322CB">
        <w:rPr>
          <w:rFonts w:ascii="Arial" w:hAnsi="Arial" w:cs="Arial"/>
          <w:b/>
          <w:sz w:val="22"/>
          <w:szCs w:val="22"/>
          <w:lang w:val="en-US"/>
        </w:rPr>
        <w:t>Thrombin generation</w:t>
      </w:r>
    </w:p>
    <w:p w14:paraId="64424CF1" w14:textId="77EC4109" w:rsidR="001506FA" w:rsidRPr="004322CB" w:rsidRDefault="001506FA" w:rsidP="00FF09F6">
      <w:pPr>
        <w:widowControl w:val="0"/>
        <w:autoSpaceDE w:val="0"/>
        <w:autoSpaceDN w:val="0"/>
        <w:adjustRightInd w:val="0"/>
        <w:spacing w:before="100" w:beforeAutospacing="1" w:after="100" w:afterAutospacing="1" w:line="480" w:lineRule="auto"/>
        <w:contextualSpacing/>
        <w:jc w:val="both"/>
        <w:rPr>
          <w:lang w:val="en-US"/>
        </w:rPr>
      </w:pPr>
      <w:r w:rsidRPr="004322CB">
        <w:rPr>
          <w:rFonts w:ascii="Arial" w:hAnsi="Arial" w:cs="Arial"/>
          <w:sz w:val="22"/>
          <w:szCs w:val="22"/>
          <w:lang w:val="en-US"/>
        </w:rPr>
        <w:t xml:space="preserve">Thrombin generation </w:t>
      </w:r>
      <w:r w:rsidRPr="004322CB">
        <w:rPr>
          <w:rStyle w:val="Flietext"/>
          <w:rFonts w:ascii="Arial" w:hAnsi="Arial" w:cs="Arial"/>
          <w:sz w:val="22"/>
          <w:szCs w:val="22"/>
          <w:lang w:val="en-US"/>
        </w:rPr>
        <w:t xml:space="preserve">was determined in plasma using calibrated automated </w:t>
      </w:r>
      <w:proofErr w:type="spellStart"/>
      <w:r w:rsidRPr="004322CB">
        <w:rPr>
          <w:rStyle w:val="Flietext"/>
          <w:rFonts w:ascii="Arial" w:hAnsi="Arial" w:cs="Arial"/>
          <w:sz w:val="22"/>
          <w:szCs w:val="22"/>
          <w:lang w:val="en-US"/>
        </w:rPr>
        <w:t>thrombinography</w:t>
      </w:r>
      <w:proofErr w:type="spellEnd"/>
      <w:r w:rsidRPr="004322CB">
        <w:rPr>
          <w:rStyle w:val="Flietext"/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 w:rsidRPr="004322CB">
        <w:rPr>
          <w:rStyle w:val="Flietext"/>
          <w:rFonts w:ascii="Arial" w:hAnsi="Arial" w:cs="Arial"/>
          <w:sz w:val="22"/>
          <w:szCs w:val="22"/>
          <w:lang w:val="en-US"/>
        </w:rPr>
        <w:t>Thrombinoscope</w:t>
      </w:r>
      <w:proofErr w:type="spellEnd"/>
      <w:r w:rsidRPr="004322CB">
        <w:rPr>
          <w:rStyle w:val="Flietext"/>
          <w:rFonts w:ascii="Arial" w:hAnsi="Arial" w:cs="Arial"/>
          <w:sz w:val="22"/>
          <w:szCs w:val="22"/>
          <w:lang w:val="en-US"/>
        </w:rPr>
        <w:t xml:space="preserve"> BV, Maastricht, The Netherlands) </w:t>
      </w:r>
      <w:r w:rsidRPr="004322CB">
        <w:rPr>
          <w:rFonts w:ascii="Arial" w:eastAsia="TimesNewRomanPS--Identity-H" w:hAnsi="Arial" w:cs="Arial"/>
          <w:sz w:val="22"/>
          <w:szCs w:val="22"/>
          <w:lang w:val="en-US" w:eastAsia="en-GB"/>
        </w:rPr>
        <w:t xml:space="preserve">using 5 </w:t>
      </w:r>
      <w:proofErr w:type="spellStart"/>
      <w:r w:rsidRPr="004322CB">
        <w:rPr>
          <w:rFonts w:ascii="Arial" w:eastAsia="TimesNewRomanPS--Identity-H" w:hAnsi="Arial" w:cs="Arial"/>
          <w:sz w:val="22"/>
          <w:szCs w:val="22"/>
          <w:lang w:val="en-US" w:eastAsia="en-GB"/>
        </w:rPr>
        <w:t>pM</w:t>
      </w:r>
      <w:proofErr w:type="spellEnd"/>
      <w:r w:rsidRPr="004322CB">
        <w:rPr>
          <w:rFonts w:ascii="Arial" w:eastAsia="TimesNewRomanPS--Identity-H" w:hAnsi="Arial" w:cs="Arial"/>
          <w:sz w:val="22"/>
          <w:szCs w:val="22"/>
          <w:lang w:val="en-US" w:eastAsia="en-GB"/>
        </w:rPr>
        <w:t xml:space="preserve"> tissue factor (1, 2)</w:t>
      </w:r>
      <w:r w:rsidRPr="004322CB">
        <w:rPr>
          <w:rStyle w:val="Flietext"/>
          <w:rFonts w:ascii="Arial" w:hAnsi="Arial" w:cs="Arial"/>
          <w:sz w:val="22"/>
          <w:szCs w:val="22"/>
          <w:lang w:val="en-US"/>
        </w:rPr>
        <w:t>.</w:t>
      </w:r>
      <w:r w:rsidRPr="004322CB">
        <w:rPr>
          <w:rFonts w:ascii="Arial" w:hAnsi="Arial" w:cs="Arial"/>
          <w:sz w:val="22"/>
          <w:szCs w:val="22"/>
          <w:lang w:val="en-US"/>
        </w:rPr>
        <w:t xml:space="preserve"> Thrombin generation curves were generated using </w:t>
      </w:r>
      <w:proofErr w:type="spellStart"/>
      <w:r w:rsidRPr="004322CB">
        <w:rPr>
          <w:rFonts w:ascii="Arial" w:hAnsi="Arial" w:cs="Arial"/>
          <w:sz w:val="22"/>
          <w:szCs w:val="22"/>
          <w:lang w:val="en-US"/>
        </w:rPr>
        <w:t>Thro</w:t>
      </w:r>
      <w:r w:rsidR="00FF09F6" w:rsidRPr="004322CB">
        <w:rPr>
          <w:rFonts w:ascii="Arial" w:hAnsi="Arial" w:cs="Arial"/>
          <w:sz w:val="22"/>
          <w:szCs w:val="22"/>
          <w:lang w:val="en-US"/>
        </w:rPr>
        <w:t>mbinoscope</w:t>
      </w:r>
      <w:proofErr w:type="spellEnd"/>
      <w:r w:rsidR="00FF09F6" w:rsidRPr="004322CB">
        <w:rPr>
          <w:rFonts w:ascii="Arial" w:hAnsi="Arial" w:cs="Arial"/>
          <w:sz w:val="22"/>
          <w:szCs w:val="22"/>
          <w:lang w:val="en-US"/>
        </w:rPr>
        <w:t xml:space="preserve"> software (version 4, </w:t>
      </w:r>
      <w:proofErr w:type="spellStart"/>
      <w:r w:rsidRPr="004322CB">
        <w:rPr>
          <w:rFonts w:ascii="Arial" w:hAnsi="Arial" w:cs="Arial"/>
          <w:sz w:val="22"/>
          <w:szCs w:val="22"/>
          <w:lang w:val="en-US"/>
        </w:rPr>
        <w:t>Thrombinoscope</w:t>
      </w:r>
      <w:proofErr w:type="spellEnd"/>
      <w:r w:rsidRPr="004322CB">
        <w:rPr>
          <w:rFonts w:ascii="Arial" w:hAnsi="Arial" w:cs="Arial"/>
          <w:sz w:val="22"/>
          <w:szCs w:val="22"/>
          <w:lang w:val="en-US"/>
        </w:rPr>
        <w:t xml:space="preserve"> BV) to determine endogenous thrombin potential (ETP), lag time and peak thrombin formation. Prolonged lag time values that could not be detected by the software were defined as not detectable.</w:t>
      </w:r>
    </w:p>
    <w:p w14:paraId="5E8EB69B" w14:textId="77777777" w:rsidR="001506FA" w:rsidRPr="004322CB" w:rsidRDefault="001506FA" w:rsidP="001506FA">
      <w:pPr>
        <w:widowControl w:val="0"/>
        <w:autoSpaceDE w:val="0"/>
        <w:autoSpaceDN w:val="0"/>
        <w:adjustRightInd w:val="0"/>
        <w:spacing w:before="100" w:beforeAutospacing="1" w:after="100" w:afterAutospacing="1" w:line="480" w:lineRule="auto"/>
        <w:contextualSpacing/>
        <w:rPr>
          <w:lang w:val="en-US"/>
        </w:rPr>
      </w:pPr>
    </w:p>
    <w:p w14:paraId="24003838" w14:textId="77777777" w:rsidR="001506FA" w:rsidRPr="004322CB" w:rsidRDefault="001506FA" w:rsidP="001506FA">
      <w:pPr>
        <w:widowControl w:val="0"/>
        <w:autoSpaceDE w:val="0"/>
        <w:autoSpaceDN w:val="0"/>
        <w:adjustRightInd w:val="0"/>
        <w:spacing w:before="100" w:beforeAutospacing="1" w:after="100" w:afterAutospacing="1" w:line="480" w:lineRule="auto"/>
        <w:contextualSpacing/>
        <w:rPr>
          <w:rFonts w:ascii="Arial" w:hAnsi="Arial" w:cs="Arial"/>
          <w:b/>
          <w:sz w:val="22"/>
          <w:szCs w:val="22"/>
          <w:lang w:val="en-US"/>
        </w:rPr>
      </w:pPr>
      <w:r w:rsidRPr="004322CB">
        <w:rPr>
          <w:rFonts w:ascii="Arial" w:hAnsi="Arial" w:cs="Arial"/>
          <w:b/>
          <w:sz w:val="22"/>
          <w:szCs w:val="22"/>
          <w:lang w:val="en-US"/>
        </w:rPr>
        <w:t>Histopathologic analysis</w:t>
      </w:r>
    </w:p>
    <w:p w14:paraId="37798301" w14:textId="42ED2AD9" w:rsidR="001506FA" w:rsidRPr="004322CB" w:rsidRDefault="001506FA" w:rsidP="00C56631">
      <w:pPr>
        <w:widowControl w:val="0"/>
        <w:autoSpaceDE w:val="0"/>
        <w:autoSpaceDN w:val="0"/>
        <w:adjustRightInd w:val="0"/>
        <w:spacing w:before="100" w:beforeAutospacing="1" w:after="100" w:afterAutospacing="1" w:line="480" w:lineRule="auto"/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r w:rsidRPr="004322CB">
        <w:rPr>
          <w:rFonts w:ascii="Arial" w:hAnsi="Arial" w:cs="Arial"/>
          <w:sz w:val="22"/>
          <w:szCs w:val="22"/>
          <w:lang w:val="en-US"/>
        </w:rPr>
        <w:t xml:space="preserve">After death, internal organs (heart, lungs, liver, and kidneys) were removed immediately and fixed in 10% buffered formalin. Injured parts of the liver were cut into 3-mm-thick slices and examined macroscopically and microscopically by a pathologist blinded to therapy to assess the degree of injury. In addition, representative tissue sections of all 4 organs were </w:t>
      </w:r>
      <w:r w:rsidR="00C56631" w:rsidRPr="004322CB">
        <w:rPr>
          <w:rFonts w:ascii="Arial" w:hAnsi="Arial" w:cs="Arial"/>
          <w:sz w:val="22"/>
          <w:szCs w:val="22"/>
          <w:lang w:val="en-US"/>
        </w:rPr>
        <w:br/>
      </w:r>
      <w:r w:rsidRPr="004322CB">
        <w:rPr>
          <w:rFonts w:ascii="Arial" w:hAnsi="Arial" w:cs="Arial"/>
          <w:sz w:val="22"/>
          <w:szCs w:val="22"/>
          <w:lang w:val="en-US"/>
        </w:rPr>
        <w:t xml:space="preserve">processed to determine the occurrence of thromboembolic events. All samples were embedded in paraffin and stained, both by H&amp;E and by a standard </w:t>
      </w:r>
      <w:proofErr w:type="spellStart"/>
      <w:r w:rsidRPr="004322CB">
        <w:rPr>
          <w:rFonts w:ascii="Arial" w:hAnsi="Arial" w:cs="Arial"/>
          <w:sz w:val="22"/>
          <w:szCs w:val="22"/>
          <w:lang w:val="en-US"/>
        </w:rPr>
        <w:t>elastica</w:t>
      </w:r>
      <w:proofErr w:type="spellEnd"/>
      <w:r w:rsidRPr="004322CB">
        <w:rPr>
          <w:rFonts w:ascii="Arial" w:hAnsi="Arial" w:cs="Arial"/>
          <w:sz w:val="22"/>
          <w:szCs w:val="22"/>
          <w:lang w:val="en-US"/>
        </w:rPr>
        <w:t xml:space="preserve"> van </w:t>
      </w:r>
      <w:proofErr w:type="spellStart"/>
      <w:r w:rsidRPr="004322CB">
        <w:rPr>
          <w:rFonts w:ascii="Arial" w:hAnsi="Arial" w:cs="Arial"/>
          <w:sz w:val="22"/>
          <w:szCs w:val="22"/>
          <w:lang w:val="en-US"/>
        </w:rPr>
        <w:t>Gieson</w:t>
      </w:r>
      <w:proofErr w:type="spellEnd"/>
      <w:r w:rsidRPr="004322CB">
        <w:rPr>
          <w:rFonts w:ascii="Arial" w:hAnsi="Arial" w:cs="Arial"/>
          <w:sz w:val="22"/>
          <w:szCs w:val="22"/>
          <w:lang w:val="en-US"/>
        </w:rPr>
        <w:t xml:space="preserve"> protocol, for histologic examination under light microscopy (Microscope: Nikon, Eclipse 50i; </w:t>
      </w:r>
      <w:r w:rsidRPr="004322CB">
        <w:rPr>
          <w:rFonts w:ascii="Arial" w:hAnsi="Arial" w:cs="Arial"/>
          <w:sz w:val="22"/>
          <w:szCs w:val="22"/>
          <w:lang w:val="en-US"/>
        </w:rPr>
        <w:lastRenderedPageBreak/>
        <w:t xml:space="preserve">Lenses: Nikon, Plan Achromat, 2, NA0.06 [used for images with 20x magnification]; Nikon, Plan Achromat 4, NA 0.1 [used for images with 40x magnification]; and Nikon, Plan Fluor 40, NA0.75 [used for images with 400x magnification]). Both staining methods were applied to sections from all of the tissues. Sections of lung and liver tissue from regions with a high likelihood of thrombus formation were </w:t>
      </w:r>
      <w:proofErr w:type="spellStart"/>
      <w:r w:rsidRPr="004322CB">
        <w:rPr>
          <w:rFonts w:ascii="Arial" w:hAnsi="Arial" w:cs="Arial"/>
          <w:sz w:val="22"/>
          <w:szCs w:val="22"/>
          <w:lang w:val="en-US"/>
        </w:rPr>
        <w:t>immunostained</w:t>
      </w:r>
      <w:proofErr w:type="spellEnd"/>
      <w:r w:rsidRPr="004322CB">
        <w:rPr>
          <w:rFonts w:ascii="Arial" w:hAnsi="Arial" w:cs="Arial"/>
          <w:sz w:val="22"/>
          <w:szCs w:val="22"/>
          <w:lang w:val="en-US"/>
        </w:rPr>
        <w:t xml:space="preserve"> to test for fibrinogen (antibody and detection kit from </w:t>
      </w:r>
      <w:proofErr w:type="spellStart"/>
      <w:r w:rsidRPr="004322CB">
        <w:rPr>
          <w:rFonts w:ascii="Arial" w:hAnsi="Arial" w:cs="Arial"/>
          <w:sz w:val="22"/>
          <w:szCs w:val="22"/>
          <w:lang w:val="en-US"/>
        </w:rPr>
        <w:t>Dako</w:t>
      </w:r>
      <w:proofErr w:type="spellEnd"/>
      <w:r w:rsidRPr="004322CB">
        <w:rPr>
          <w:rFonts w:ascii="Arial" w:hAnsi="Arial" w:cs="Arial"/>
          <w:sz w:val="22"/>
          <w:szCs w:val="22"/>
          <w:lang w:val="en-US"/>
        </w:rPr>
        <w:t>) as described elsewhere (3).</w:t>
      </w:r>
    </w:p>
    <w:p w14:paraId="4BA37BDA" w14:textId="77777777" w:rsidR="001506FA" w:rsidRPr="004322CB" w:rsidRDefault="001506FA" w:rsidP="001506FA">
      <w:pPr>
        <w:widowControl w:val="0"/>
        <w:autoSpaceDE w:val="0"/>
        <w:autoSpaceDN w:val="0"/>
        <w:adjustRightInd w:val="0"/>
        <w:spacing w:before="100" w:beforeAutospacing="1" w:after="100" w:afterAutospacing="1" w:line="480" w:lineRule="auto"/>
        <w:contextualSpacing/>
        <w:rPr>
          <w:rFonts w:ascii="Arial" w:hAnsi="Arial" w:cs="Arial"/>
          <w:sz w:val="22"/>
          <w:szCs w:val="22"/>
          <w:lang w:val="en-US"/>
        </w:rPr>
      </w:pPr>
    </w:p>
    <w:p w14:paraId="59D346C4" w14:textId="77777777" w:rsidR="001506FA" w:rsidRPr="004322CB" w:rsidRDefault="001506FA" w:rsidP="001506FA">
      <w:pPr>
        <w:widowControl w:val="0"/>
        <w:autoSpaceDE w:val="0"/>
        <w:autoSpaceDN w:val="0"/>
        <w:adjustRightInd w:val="0"/>
        <w:spacing w:before="100" w:beforeAutospacing="1" w:after="100" w:afterAutospacing="1" w:line="480" w:lineRule="auto"/>
        <w:contextualSpacing/>
        <w:rPr>
          <w:rFonts w:ascii="Arial" w:hAnsi="Arial" w:cs="Arial"/>
          <w:b/>
          <w:sz w:val="22"/>
          <w:szCs w:val="22"/>
          <w:lang w:val="en-US"/>
        </w:rPr>
      </w:pPr>
      <w:r w:rsidRPr="004322CB">
        <w:rPr>
          <w:rFonts w:ascii="Arial" w:hAnsi="Arial" w:cs="Arial"/>
          <w:b/>
          <w:sz w:val="22"/>
          <w:szCs w:val="22"/>
          <w:lang w:val="en-US"/>
        </w:rPr>
        <w:t>Statistical analysis</w:t>
      </w:r>
    </w:p>
    <w:p w14:paraId="194EAE9D" w14:textId="1F919D00" w:rsidR="001506FA" w:rsidRPr="004322CB" w:rsidRDefault="001506FA" w:rsidP="00C56631">
      <w:pPr>
        <w:widowControl w:val="0"/>
        <w:autoSpaceDE w:val="0"/>
        <w:autoSpaceDN w:val="0"/>
        <w:adjustRightInd w:val="0"/>
        <w:spacing w:before="100" w:beforeAutospacing="1" w:after="100" w:afterAutospacing="1" w:line="480" w:lineRule="auto"/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r w:rsidRPr="004322CB">
        <w:rPr>
          <w:rFonts w:ascii="Arial" w:hAnsi="Arial" w:cs="Arial"/>
          <w:sz w:val="22"/>
          <w:szCs w:val="22"/>
          <w:lang w:val="en-US" w:eastAsia="ja-JP"/>
        </w:rPr>
        <w:t xml:space="preserve">Statistical analysis was performed using SPSS 22 (SPSS, Chicago, IL) and </w:t>
      </w:r>
      <w:proofErr w:type="spellStart"/>
      <w:r w:rsidRPr="004322CB">
        <w:rPr>
          <w:rFonts w:ascii="Arial" w:hAnsi="Arial" w:cs="Arial"/>
          <w:sz w:val="22"/>
          <w:szCs w:val="22"/>
          <w:lang w:val="en-US" w:eastAsia="ja-JP"/>
        </w:rPr>
        <w:t>GraphPad</w:t>
      </w:r>
      <w:proofErr w:type="spellEnd"/>
      <w:r w:rsidRPr="004322CB">
        <w:rPr>
          <w:rFonts w:ascii="Arial" w:hAnsi="Arial" w:cs="Arial"/>
          <w:sz w:val="22"/>
          <w:szCs w:val="22"/>
          <w:lang w:val="en-US" w:eastAsia="ja-JP"/>
        </w:rPr>
        <w:t xml:space="preserve"> Prism 6.0h (</w:t>
      </w:r>
      <w:proofErr w:type="spellStart"/>
      <w:r w:rsidRPr="004322CB">
        <w:rPr>
          <w:rFonts w:ascii="Arial" w:hAnsi="Arial" w:cs="Arial"/>
          <w:sz w:val="22"/>
          <w:szCs w:val="22"/>
          <w:lang w:val="en-US" w:eastAsia="ja-JP"/>
        </w:rPr>
        <w:t>GraphPad</w:t>
      </w:r>
      <w:proofErr w:type="spellEnd"/>
      <w:r w:rsidRPr="004322CB">
        <w:rPr>
          <w:rFonts w:ascii="Arial" w:hAnsi="Arial" w:cs="Arial"/>
          <w:sz w:val="22"/>
          <w:szCs w:val="22"/>
          <w:lang w:val="en-US" w:eastAsia="ja-JP"/>
        </w:rPr>
        <w:t xml:space="preserve"> Software, La Jolla, USA) was used for graphing purposes. Differences in </w:t>
      </w:r>
      <w:r w:rsidR="00C56631" w:rsidRPr="004322CB">
        <w:rPr>
          <w:rFonts w:ascii="Arial" w:hAnsi="Arial" w:cs="Arial"/>
          <w:sz w:val="22"/>
          <w:szCs w:val="22"/>
          <w:lang w:val="en-US" w:eastAsia="ja-JP"/>
        </w:rPr>
        <w:br/>
      </w:r>
      <w:r w:rsidRPr="004322CB">
        <w:rPr>
          <w:rFonts w:ascii="Arial" w:hAnsi="Arial" w:cs="Arial"/>
          <w:sz w:val="22"/>
          <w:szCs w:val="22"/>
          <w:lang w:val="en-US" w:eastAsia="ja-JP"/>
        </w:rPr>
        <w:t xml:space="preserve">total blood loss between groups were assessed using analysis of variance, with post-hoc Tukey adjustment. For comparison of coagulation variables, blood cell count and hemodynamic variables, a repeated measure analysis of variance was used with intervention as group-factor and time as repeated-factor. The group by time interaction was also included to allow the group differences to vary over time. For significant effects, the </w:t>
      </w:r>
      <w:proofErr w:type="spellStart"/>
      <w:r w:rsidRPr="004322CB">
        <w:rPr>
          <w:rFonts w:ascii="Arial" w:hAnsi="Arial" w:cs="Arial"/>
          <w:sz w:val="22"/>
          <w:szCs w:val="22"/>
          <w:lang w:val="en-US" w:eastAsia="ja-JP"/>
        </w:rPr>
        <w:t>Sidak</w:t>
      </w:r>
      <w:proofErr w:type="spellEnd"/>
      <w:r w:rsidRPr="004322CB">
        <w:rPr>
          <w:rFonts w:ascii="Arial" w:hAnsi="Arial" w:cs="Arial"/>
          <w:sz w:val="22"/>
          <w:szCs w:val="22"/>
          <w:lang w:val="en-US" w:eastAsia="ja-JP"/>
        </w:rPr>
        <w:t xml:space="preserve"> method was used post-hoc. Pairwise log-rank tests were used for survival analysis. Statistical tests were performed two-tailed and P-values &lt;0.05 were considered as statistically significant. Data are shown as mean ± standard deviation (SD).</w:t>
      </w:r>
      <w:r w:rsidRPr="004322CB">
        <w:rPr>
          <w:rFonts w:ascii="Arial" w:hAnsi="Arial" w:cs="Arial"/>
          <w:sz w:val="22"/>
          <w:szCs w:val="22"/>
          <w:vertAlign w:val="superscript"/>
          <w:lang w:val="en-US"/>
        </w:rPr>
        <w:t xml:space="preserve"> </w:t>
      </w:r>
    </w:p>
    <w:p w14:paraId="7A8D759A" w14:textId="77777777" w:rsidR="001506FA" w:rsidRPr="004322CB" w:rsidRDefault="001506FA" w:rsidP="001506FA">
      <w:pPr>
        <w:spacing w:line="480" w:lineRule="auto"/>
        <w:contextualSpacing/>
        <w:rPr>
          <w:rFonts w:ascii="Arial" w:hAnsi="Arial" w:cs="Arial"/>
          <w:b/>
          <w:sz w:val="22"/>
          <w:szCs w:val="22"/>
        </w:rPr>
      </w:pPr>
    </w:p>
    <w:p w14:paraId="1FE59A78" w14:textId="77777777" w:rsidR="001506FA" w:rsidRPr="004322CB" w:rsidRDefault="001506FA" w:rsidP="001506FA">
      <w:pPr>
        <w:spacing w:line="480" w:lineRule="auto"/>
        <w:contextualSpacing/>
        <w:rPr>
          <w:rFonts w:ascii="Arial" w:hAnsi="Arial" w:cs="Arial"/>
          <w:b/>
          <w:sz w:val="22"/>
          <w:szCs w:val="22"/>
        </w:rPr>
      </w:pPr>
      <w:r w:rsidRPr="004322CB">
        <w:rPr>
          <w:rFonts w:ascii="Arial" w:hAnsi="Arial" w:cs="Arial"/>
          <w:b/>
          <w:sz w:val="22"/>
          <w:szCs w:val="22"/>
        </w:rPr>
        <w:t>References</w:t>
      </w:r>
    </w:p>
    <w:p w14:paraId="4663BB72" w14:textId="77777777" w:rsidR="001506FA" w:rsidRPr="004322CB" w:rsidRDefault="001506FA" w:rsidP="003507B9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322CB">
        <w:rPr>
          <w:rFonts w:ascii="Arial" w:hAnsi="Arial" w:cs="Arial"/>
          <w:sz w:val="22"/>
          <w:szCs w:val="22"/>
        </w:rPr>
        <w:t>Hemker HC, Giesen P, Al Dieri R, Regnault V, de Smedt E, Wagenvoord R, Lecompte T, Beguin S. Calibrated automated thrombin generation measurement in clotting plasma. Pathophysiol Haemost Thromb. 2003;33:4-15.</w:t>
      </w:r>
    </w:p>
    <w:p w14:paraId="7B1AD3AF" w14:textId="77777777" w:rsidR="001506FA" w:rsidRPr="004322CB" w:rsidRDefault="001506FA" w:rsidP="003507B9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322CB">
        <w:rPr>
          <w:rFonts w:ascii="Arial" w:hAnsi="Arial" w:cs="Arial"/>
          <w:sz w:val="22"/>
          <w:szCs w:val="22"/>
        </w:rPr>
        <w:t>Spronk HM, Dielis AW, De Smedt E, van Oerle R, Fens D, Prins MH, Hamulyak K, ten Cate H. Assessment of thrombin generation II: Validation of the Calibrated Automated Thrombogram in platelet-poor plasma in a clinical laboratory. Thromb Haemost. 2008;100:362-364.</w:t>
      </w:r>
    </w:p>
    <w:p w14:paraId="4F37E785" w14:textId="0FA4E80A" w:rsidR="001506FA" w:rsidRPr="004322CB" w:rsidRDefault="001506FA" w:rsidP="003507B9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322CB">
        <w:rPr>
          <w:rFonts w:ascii="Arial" w:hAnsi="Arial" w:cs="Arial"/>
          <w:sz w:val="22"/>
          <w:szCs w:val="22"/>
        </w:rPr>
        <w:lastRenderedPageBreak/>
        <w:t xml:space="preserve">Grottke O, Braunschweig T, Spronk HM, Esch S, Rieg AD, van Oerle R, ten Cate H, </w:t>
      </w:r>
      <w:r w:rsidR="00486DD6" w:rsidRPr="004322CB">
        <w:rPr>
          <w:rFonts w:ascii="Arial" w:hAnsi="Arial" w:cs="Arial"/>
          <w:sz w:val="22"/>
          <w:szCs w:val="22"/>
        </w:rPr>
        <w:br/>
      </w:r>
      <w:r w:rsidRPr="004322CB">
        <w:rPr>
          <w:rFonts w:ascii="Arial" w:hAnsi="Arial" w:cs="Arial"/>
          <w:sz w:val="22"/>
          <w:szCs w:val="22"/>
        </w:rPr>
        <w:t xml:space="preserve">Fitzner C, Tolba R, Rossaint R. Increasing concentrations of prothrombin complex concentrate induce disseminated intravascular coagulation in a pig model of </w:t>
      </w:r>
      <w:r w:rsidR="00486DD6" w:rsidRPr="004322CB">
        <w:rPr>
          <w:rFonts w:ascii="Arial" w:hAnsi="Arial" w:cs="Arial"/>
          <w:sz w:val="22"/>
          <w:szCs w:val="22"/>
        </w:rPr>
        <w:br/>
      </w:r>
      <w:r w:rsidRPr="004322CB">
        <w:rPr>
          <w:rFonts w:ascii="Arial" w:hAnsi="Arial" w:cs="Arial"/>
          <w:sz w:val="22"/>
          <w:szCs w:val="22"/>
        </w:rPr>
        <w:t>coagulopathy with blunt liver injury. Blood. 2011;118:1943-51.</w:t>
      </w:r>
    </w:p>
    <w:p w14:paraId="7E321A0D" w14:textId="49FA0D80" w:rsidR="000655B4" w:rsidRPr="004322CB" w:rsidRDefault="000655B4" w:rsidP="000655B4">
      <w:pPr>
        <w:spacing w:line="480" w:lineRule="auto"/>
        <w:contextualSpacing/>
        <w:rPr>
          <w:rFonts w:ascii="Arial" w:hAnsi="Arial" w:cs="Arial"/>
          <w:sz w:val="22"/>
          <w:szCs w:val="22"/>
        </w:rPr>
      </w:pPr>
    </w:p>
    <w:p w14:paraId="36B4512E" w14:textId="77777777" w:rsidR="009F3F06" w:rsidRPr="004322CB" w:rsidRDefault="009F3F06" w:rsidP="00E675AB">
      <w:pPr>
        <w:pStyle w:val="ListParagraph"/>
        <w:spacing w:line="480" w:lineRule="auto"/>
        <w:ind w:left="714"/>
        <w:rPr>
          <w:rFonts w:ascii="Arial" w:hAnsi="Arial" w:cs="Arial"/>
          <w:sz w:val="22"/>
          <w:szCs w:val="22"/>
        </w:rPr>
      </w:pPr>
    </w:p>
    <w:p w14:paraId="0F5BE338" w14:textId="44667111" w:rsidR="00486DD6" w:rsidRPr="004322CB" w:rsidRDefault="00486DD6">
      <w:pPr>
        <w:spacing w:after="0"/>
        <w:rPr>
          <w:rFonts w:ascii="Arial" w:hAnsi="Arial" w:cs="Arial"/>
          <w:b/>
          <w:kern w:val="24"/>
          <w:sz w:val="22"/>
          <w:szCs w:val="22"/>
          <w:lang w:eastAsia="en-GB"/>
        </w:rPr>
      </w:pPr>
      <w:r w:rsidRPr="004322CB">
        <w:rPr>
          <w:rFonts w:ascii="Arial" w:hAnsi="Arial" w:cs="Arial"/>
          <w:b/>
          <w:kern w:val="24"/>
          <w:sz w:val="22"/>
          <w:szCs w:val="22"/>
          <w:lang w:eastAsia="en-GB"/>
        </w:rPr>
        <w:br w:type="page"/>
      </w:r>
    </w:p>
    <w:p w14:paraId="4744F55E" w14:textId="61B94C29" w:rsidR="00486DD6" w:rsidRPr="004322CB" w:rsidRDefault="00486DD6" w:rsidP="00486DD6">
      <w:pPr>
        <w:spacing w:line="480" w:lineRule="auto"/>
        <w:rPr>
          <w:rFonts w:ascii="Arial" w:hAnsi="Arial" w:cs="Arial"/>
          <w:sz w:val="22"/>
          <w:szCs w:val="22"/>
        </w:rPr>
      </w:pPr>
      <w:r w:rsidRPr="004322CB">
        <w:rPr>
          <w:rFonts w:ascii="Arial" w:hAnsi="Arial" w:cs="Arial"/>
          <w:b/>
          <w:kern w:val="24"/>
          <w:sz w:val="22"/>
          <w:szCs w:val="22"/>
          <w:lang w:eastAsia="en-GB"/>
        </w:rPr>
        <w:lastRenderedPageBreak/>
        <w:t>Supplemental table 1:</w:t>
      </w:r>
      <w:r w:rsidRPr="004322CB">
        <w:rPr>
          <w:rFonts w:ascii="Arial" w:hAnsi="Arial" w:cs="Arial"/>
          <w:kern w:val="24"/>
          <w:sz w:val="22"/>
          <w:szCs w:val="22"/>
          <w:lang w:eastAsia="en-GB"/>
        </w:rPr>
        <w:t xml:space="preserve"> </w:t>
      </w:r>
      <w:r w:rsidRPr="004322CB">
        <w:rPr>
          <w:rFonts w:ascii="Arial" w:hAnsi="Arial" w:cs="Arial"/>
          <w:b/>
          <w:sz w:val="22"/>
          <w:szCs w:val="22"/>
        </w:rPr>
        <w:t>Hemodynamic variables and</w:t>
      </w:r>
      <w:r w:rsidRPr="004322CB">
        <w:rPr>
          <w:rFonts w:ascii="Arial" w:hAnsi="Arial" w:cs="Arial"/>
          <w:sz w:val="22"/>
          <w:szCs w:val="22"/>
        </w:rPr>
        <w:t xml:space="preserve"> </w:t>
      </w:r>
      <w:r w:rsidRPr="004322CB">
        <w:rPr>
          <w:rFonts w:ascii="Arial" w:hAnsi="Arial" w:cs="Arial"/>
          <w:b/>
          <w:sz w:val="22"/>
          <w:szCs w:val="22"/>
        </w:rPr>
        <w:t xml:space="preserve">lactate levels. </w:t>
      </w:r>
      <w:r w:rsidRPr="004322CB">
        <w:rPr>
          <w:rFonts w:ascii="Arial" w:hAnsi="Arial" w:cs="Arial"/>
          <w:sz w:val="22"/>
          <w:szCs w:val="22"/>
        </w:rPr>
        <w:t xml:space="preserve">Data are shown as mean ± standard deviation (SD). </w:t>
      </w:r>
      <w:r w:rsidR="00097399" w:rsidRPr="004322CB">
        <w:rPr>
          <w:rFonts w:ascii="Arial" w:hAnsi="Arial" w:cs="Arial"/>
          <w:sz w:val="22"/>
          <w:szCs w:val="22"/>
        </w:rPr>
        <w:t>In each group,</w:t>
      </w:r>
      <w:r w:rsidRPr="004322CB">
        <w:rPr>
          <w:rFonts w:ascii="Arial" w:hAnsi="Arial" w:cs="Arial"/>
          <w:sz w:val="22"/>
          <w:szCs w:val="22"/>
        </w:rPr>
        <w:t xml:space="preserve"> n=9 animals initially. *P&lt;0.05 vs. control group; †P&lt;0.05 vs. TXA–FCH group; ‡P&lt;0.05 vs. PCC25 group. </w:t>
      </w:r>
      <w:r w:rsidR="00097399" w:rsidRPr="004322CB">
        <w:rPr>
          <w:rFonts w:ascii="Arial" w:hAnsi="Arial" w:cs="Arial"/>
          <w:sz w:val="22"/>
          <w:szCs w:val="22"/>
        </w:rPr>
        <w:t>Between-group differences are presented hierarchically as follows</w:t>
      </w:r>
      <w:r w:rsidRPr="004322CB">
        <w:rPr>
          <w:rFonts w:ascii="Arial" w:hAnsi="Arial" w:cs="Arial"/>
          <w:sz w:val="22"/>
          <w:szCs w:val="22"/>
        </w:rPr>
        <w:t>: IDA and PCC50 (‡,†,*)</w:t>
      </w:r>
      <w:r w:rsidRPr="004322CB">
        <w:rPr>
          <w:rFonts w:ascii="Arial" w:hAnsi="Arial" w:cs="Arial"/>
          <w:sz w:val="22"/>
          <w:szCs w:val="22"/>
        </w:rPr>
        <w:sym w:font="Wingdings" w:char="F0E0"/>
      </w:r>
      <w:r w:rsidRPr="004322CB">
        <w:rPr>
          <w:rFonts w:ascii="Arial" w:hAnsi="Arial" w:cs="Arial"/>
          <w:sz w:val="22"/>
          <w:szCs w:val="22"/>
        </w:rPr>
        <w:t xml:space="preserve"> PCC25 (†,*) </w:t>
      </w:r>
      <w:r w:rsidRPr="004322CB">
        <w:rPr>
          <w:rFonts w:ascii="Arial" w:hAnsi="Arial" w:cs="Arial"/>
          <w:sz w:val="22"/>
          <w:szCs w:val="22"/>
        </w:rPr>
        <w:sym w:font="Wingdings" w:char="F0E0"/>
      </w:r>
      <w:r w:rsidRPr="004322CB">
        <w:rPr>
          <w:rFonts w:ascii="Arial" w:hAnsi="Arial" w:cs="Arial"/>
          <w:sz w:val="22"/>
          <w:szCs w:val="22"/>
        </w:rPr>
        <w:t xml:space="preserve"> TXA–FCH (*) </w:t>
      </w:r>
      <w:r w:rsidRPr="004322CB">
        <w:rPr>
          <w:rFonts w:ascii="Arial" w:hAnsi="Arial" w:cs="Arial"/>
          <w:sz w:val="22"/>
          <w:szCs w:val="22"/>
        </w:rPr>
        <w:sym w:font="Wingdings" w:char="F0E0"/>
      </w:r>
      <w:r w:rsidRPr="004322CB">
        <w:rPr>
          <w:rFonts w:ascii="Arial" w:hAnsi="Arial" w:cs="Arial"/>
          <w:sz w:val="22"/>
          <w:szCs w:val="22"/>
        </w:rPr>
        <w:t xml:space="preserve"> control.</w:t>
      </w:r>
    </w:p>
    <w:tbl>
      <w:tblPr>
        <w:tblStyle w:val="LightShading"/>
        <w:tblW w:w="96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1559"/>
        <w:gridCol w:w="2031"/>
        <w:gridCol w:w="2031"/>
        <w:gridCol w:w="2032"/>
      </w:tblGrid>
      <w:tr w:rsidR="004322CB" w:rsidRPr="004322CB" w14:paraId="248D4CB2" w14:textId="77777777" w:rsidTr="00863A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2FEF5F71" w14:textId="77777777" w:rsidR="00DC0813" w:rsidRPr="004322CB" w:rsidRDefault="00DC0813" w:rsidP="00863AC9">
            <w:pPr>
              <w:spacing w:after="1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D2D51D0" w14:textId="77777777" w:rsidR="00DC0813" w:rsidRPr="004322CB" w:rsidRDefault="00DC0813" w:rsidP="00863AC9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  <w:vAlign w:val="center"/>
          </w:tcPr>
          <w:p w14:paraId="1EA85149" w14:textId="77777777" w:rsidR="00DC0813" w:rsidRPr="004322CB" w:rsidRDefault="00DC0813" w:rsidP="00863AC9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Mean arterial pressure [mmHg]</w:t>
            </w:r>
          </w:p>
        </w:tc>
        <w:tc>
          <w:tcPr>
            <w:tcW w:w="2031" w:type="dxa"/>
            <w:vAlign w:val="center"/>
          </w:tcPr>
          <w:p w14:paraId="3A432441" w14:textId="77777777" w:rsidR="00DC0813" w:rsidRPr="004322CB" w:rsidRDefault="00DC0813" w:rsidP="00863AC9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Cardiac output [l/min]</w:t>
            </w:r>
          </w:p>
        </w:tc>
        <w:tc>
          <w:tcPr>
            <w:tcW w:w="2032" w:type="dxa"/>
            <w:vAlign w:val="center"/>
          </w:tcPr>
          <w:p w14:paraId="3CD29713" w14:textId="77777777" w:rsidR="00DC0813" w:rsidRPr="004322CB" w:rsidRDefault="00DC0813" w:rsidP="00863AC9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Lactate</w:t>
            </w:r>
          </w:p>
          <w:p w14:paraId="75FA75FC" w14:textId="77777777" w:rsidR="00DC0813" w:rsidRPr="004322CB" w:rsidRDefault="00DC0813" w:rsidP="00863AC9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[mmol/L]</w:t>
            </w:r>
          </w:p>
        </w:tc>
      </w:tr>
      <w:tr w:rsidR="004322CB" w:rsidRPr="004322CB" w14:paraId="1224236F" w14:textId="77777777" w:rsidTr="00863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vAlign w:val="center"/>
          </w:tcPr>
          <w:p w14:paraId="5BC3FDC9" w14:textId="77777777" w:rsidR="00DC0813" w:rsidRPr="004322CB" w:rsidRDefault="00DC0813" w:rsidP="00863AC9">
            <w:pPr>
              <w:spacing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Baseline</w:t>
            </w:r>
          </w:p>
        </w:tc>
        <w:tc>
          <w:tcPr>
            <w:tcW w:w="1559" w:type="dxa"/>
            <w:vAlign w:val="center"/>
          </w:tcPr>
          <w:p w14:paraId="08EBFFE9" w14:textId="77777777" w:rsidR="00DC0813" w:rsidRPr="004322CB" w:rsidRDefault="00DC0813" w:rsidP="00863AC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Control</w:t>
            </w:r>
          </w:p>
          <w:p w14:paraId="60C532BB" w14:textId="77777777" w:rsidR="00DC0813" w:rsidRPr="004322CB" w:rsidRDefault="00DC0813" w:rsidP="00863AC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TXA–FCH</w:t>
            </w:r>
          </w:p>
          <w:p w14:paraId="08382CC5" w14:textId="77777777" w:rsidR="00DC0813" w:rsidRPr="004322CB" w:rsidRDefault="00DC0813" w:rsidP="00863AC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PCC25</w:t>
            </w:r>
          </w:p>
          <w:p w14:paraId="6E1A2634" w14:textId="77777777" w:rsidR="00DC0813" w:rsidRPr="004322CB" w:rsidRDefault="00DC0813" w:rsidP="00863AC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PCC50</w:t>
            </w:r>
          </w:p>
          <w:p w14:paraId="7C389245" w14:textId="77777777" w:rsidR="00DC0813" w:rsidRPr="004322CB" w:rsidRDefault="00DC0813" w:rsidP="00863AC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IDA</w:t>
            </w:r>
          </w:p>
        </w:tc>
        <w:tc>
          <w:tcPr>
            <w:tcW w:w="2031" w:type="dxa"/>
            <w:vAlign w:val="center"/>
          </w:tcPr>
          <w:p w14:paraId="21506B29" w14:textId="77777777" w:rsidR="00DC0813" w:rsidRPr="004322CB" w:rsidRDefault="00DC0813" w:rsidP="00863AC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—</w:t>
            </w:r>
          </w:p>
          <w:p w14:paraId="252BD4BE" w14:textId="77777777" w:rsidR="00DC0813" w:rsidRPr="004322CB" w:rsidRDefault="00DC0813" w:rsidP="00863AC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—</w:t>
            </w:r>
          </w:p>
          <w:p w14:paraId="1D8D567E" w14:textId="77777777" w:rsidR="00DC0813" w:rsidRPr="004322CB" w:rsidRDefault="00DC0813" w:rsidP="00863AC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—</w:t>
            </w:r>
          </w:p>
          <w:p w14:paraId="523BCE9A" w14:textId="77777777" w:rsidR="00DC0813" w:rsidRPr="004322CB" w:rsidRDefault="00DC0813" w:rsidP="00863AC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—</w:t>
            </w:r>
          </w:p>
          <w:p w14:paraId="5B71D7F0" w14:textId="77777777" w:rsidR="00DC0813" w:rsidRPr="004322CB" w:rsidRDefault="00DC0813" w:rsidP="00863AC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—</w:t>
            </w:r>
          </w:p>
        </w:tc>
        <w:tc>
          <w:tcPr>
            <w:tcW w:w="2031" w:type="dxa"/>
            <w:vAlign w:val="center"/>
          </w:tcPr>
          <w:p w14:paraId="397604E7" w14:textId="77777777" w:rsidR="00DC0813" w:rsidRPr="004322CB" w:rsidRDefault="00DC0813" w:rsidP="00863AC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—</w:t>
            </w:r>
          </w:p>
          <w:p w14:paraId="7FA6EF46" w14:textId="77777777" w:rsidR="00DC0813" w:rsidRPr="004322CB" w:rsidRDefault="00DC0813" w:rsidP="00863AC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—</w:t>
            </w:r>
          </w:p>
          <w:p w14:paraId="42365D12" w14:textId="77777777" w:rsidR="00DC0813" w:rsidRPr="004322CB" w:rsidRDefault="00DC0813" w:rsidP="00863AC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—</w:t>
            </w:r>
          </w:p>
          <w:p w14:paraId="3A9D5322" w14:textId="77777777" w:rsidR="00DC0813" w:rsidRPr="004322CB" w:rsidRDefault="00DC0813" w:rsidP="00863AC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—</w:t>
            </w:r>
          </w:p>
          <w:p w14:paraId="408AFFCA" w14:textId="77777777" w:rsidR="00DC0813" w:rsidRPr="004322CB" w:rsidRDefault="00DC0813" w:rsidP="00863AC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—</w:t>
            </w:r>
          </w:p>
        </w:tc>
        <w:tc>
          <w:tcPr>
            <w:tcW w:w="2032" w:type="dxa"/>
            <w:vAlign w:val="center"/>
          </w:tcPr>
          <w:p w14:paraId="2F83CA51" w14:textId="77777777" w:rsidR="00DC0813" w:rsidRPr="004322CB" w:rsidRDefault="00DC0813" w:rsidP="00863AC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1.8 ± 0.7</w:t>
            </w:r>
          </w:p>
          <w:p w14:paraId="6DF54869" w14:textId="77777777" w:rsidR="00DC0813" w:rsidRPr="004322CB" w:rsidRDefault="00DC0813" w:rsidP="00863AC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 xml:space="preserve">1.7 ± 0.9 </w:t>
            </w:r>
          </w:p>
          <w:p w14:paraId="75E7CCD1" w14:textId="77777777" w:rsidR="00DC0813" w:rsidRPr="004322CB" w:rsidRDefault="00DC0813" w:rsidP="00863AC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1.7 ± 0.5</w:t>
            </w:r>
          </w:p>
          <w:p w14:paraId="58A964B0" w14:textId="77777777" w:rsidR="00DC0813" w:rsidRPr="004322CB" w:rsidRDefault="00DC0813" w:rsidP="00863AC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1.2 ± 0.3</w:t>
            </w:r>
          </w:p>
          <w:p w14:paraId="75888A07" w14:textId="77777777" w:rsidR="00DC0813" w:rsidRPr="004322CB" w:rsidRDefault="00DC0813" w:rsidP="00863AC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1.8 ± 1.3</w:t>
            </w:r>
          </w:p>
        </w:tc>
      </w:tr>
      <w:tr w:rsidR="004322CB" w:rsidRPr="004322CB" w14:paraId="6411010B" w14:textId="77777777" w:rsidTr="00863AC9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vAlign w:val="center"/>
          </w:tcPr>
          <w:p w14:paraId="0F701A97" w14:textId="77777777" w:rsidR="00DC0813" w:rsidRPr="004322CB" w:rsidRDefault="00DC0813" w:rsidP="00863AC9">
            <w:pPr>
              <w:spacing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After dabigatran</w:t>
            </w:r>
          </w:p>
        </w:tc>
        <w:tc>
          <w:tcPr>
            <w:tcW w:w="1559" w:type="dxa"/>
            <w:vAlign w:val="center"/>
          </w:tcPr>
          <w:p w14:paraId="5AB8CE59" w14:textId="77777777" w:rsidR="00DC0813" w:rsidRPr="004322CB" w:rsidRDefault="00DC0813" w:rsidP="00863AC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Control</w:t>
            </w:r>
          </w:p>
          <w:p w14:paraId="7ED10EB6" w14:textId="77777777" w:rsidR="00DC0813" w:rsidRPr="004322CB" w:rsidRDefault="00DC0813" w:rsidP="00863AC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TXA–FCH</w:t>
            </w:r>
          </w:p>
          <w:p w14:paraId="352E48EA" w14:textId="77777777" w:rsidR="00DC0813" w:rsidRPr="004322CB" w:rsidRDefault="00DC0813" w:rsidP="00863AC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PCC25</w:t>
            </w:r>
          </w:p>
          <w:p w14:paraId="4BB008F5" w14:textId="77777777" w:rsidR="00DC0813" w:rsidRPr="004322CB" w:rsidRDefault="00DC0813" w:rsidP="00863AC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PCC50</w:t>
            </w:r>
          </w:p>
          <w:p w14:paraId="3B547193" w14:textId="77777777" w:rsidR="00DC0813" w:rsidRPr="004322CB" w:rsidRDefault="00DC0813" w:rsidP="00863AC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IDA</w:t>
            </w:r>
          </w:p>
        </w:tc>
        <w:tc>
          <w:tcPr>
            <w:tcW w:w="2031" w:type="dxa"/>
            <w:vAlign w:val="center"/>
          </w:tcPr>
          <w:p w14:paraId="3195F4B0" w14:textId="77777777" w:rsidR="00DC0813" w:rsidRPr="004322CB" w:rsidRDefault="00DC0813" w:rsidP="00863AC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62 ± 2</w:t>
            </w:r>
          </w:p>
          <w:p w14:paraId="60D8C712" w14:textId="77777777" w:rsidR="00DC0813" w:rsidRPr="004322CB" w:rsidRDefault="00DC0813" w:rsidP="00863AC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61 ± 5</w:t>
            </w:r>
          </w:p>
          <w:p w14:paraId="7759F426" w14:textId="77777777" w:rsidR="00DC0813" w:rsidRPr="004322CB" w:rsidRDefault="00DC0813" w:rsidP="00863AC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62 ± 4</w:t>
            </w:r>
          </w:p>
          <w:p w14:paraId="50F84440" w14:textId="77777777" w:rsidR="00DC0813" w:rsidRPr="004322CB" w:rsidRDefault="00DC0813" w:rsidP="00863AC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62 ± 3</w:t>
            </w:r>
          </w:p>
          <w:p w14:paraId="5F5F1B32" w14:textId="77777777" w:rsidR="00DC0813" w:rsidRPr="004322CB" w:rsidRDefault="00DC0813" w:rsidP="00863AC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61 ± 3</w:t>
            </w:r>
          </w:p>
        </w:tc>
        <w:tc>
          <w:tcPr>
            <w:tcW w:w="2031" w:type="dxa"/>
            <w:vAlign w:val="center"/>
          </w:tcPr>
          <w:p w14:paraId="5EA34619" w14:textId="77777777" w:rsidR="00DC0813" w:rsidRPr="004322CB" w:rsidRDefault="00DC0813" w:rsidP="00863AC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3.7 ± 0.3</w:t>
            </w:r>
          </w:p>
          <w:p w14:paraId="38C50D5E" w14:textId="77777777" w:rsidR="00DC0813" w:rsidRPr="004322CB" w:rsidRDefault="00DC0813" w:rsidP="00863AC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3.9 ± 0.5</w:t>
            </w:r>
          </w:p>
          <w:p w14:paraId="7A9E9248" w14:textId="77777777" w:rsidR="00DC0813" w:rsidRPr="004322CB" w:rsidRDefault="00DC0813" w:rsidP="00863AC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4.0 ± 0.4</w:t>
            </w:r>
          </w:p>
          <w:p w14:paraId="305ECAC5" w14:textId="77777777" w:rsidR="00DC0813" w:rsidRPr="004322CB" w:rsidRDefault="00DC0813" w:rsidP="00863AC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4.0 ± 0.3</w:t>
            </w:r>
          </w:p>
          <w:p w14:paraId="3F95AFB9" w14:textId="77777777" w:rsidR="00DC0813" w:rsidRPr="004322CB" w:rsidRDefault="00DC0813" w:rsidP="00863AC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3.9 ± 0.3</w:t>
            </w:r>
          </w:p>
        </w:tc>
        <w:tc>
          <w:tcPr>
            <w:tcW w:w="2032" w:type="dxa"/>
            <w:vAlign w:val="center"/>
          </w:tcPr>
          <w:p w14:paraId="6C8322F9" w14:textId="77777777" w:rsidR="00DC0813" w:rsidRPr="004322CB" w:rsidRDefault="00DC0813" w:rsidP="00863AC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2.3 ± 0.2</w:t>
            </w:r>
          </w:p>
          <w:p w14:paraId="7DE19155" w14:textId="77777777" w:rsidR="00DC0813" w:rsidRPr="004322CB" w:rsidRDefault="00DC0813" w:rsidP="00863AC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1.8 ± 0.5</w:t>
            </w:r>
          </w:p>
          <w:p w14:paraId="519152DA" w14:textId="77777777" w:rsidR="00DC0813" w:rsidRPr="004322CB" w:rsidRDefault="00DC0813" w:rsidP="00863AC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2.1 ± 0.7</w:t>
            </w:r>
          </w:p>
          <w:p w14:paraId="4F246177" w14:textId="77777777" w:rsidR="00DC0813" w:rsidRPr="004322CB" w:rsidRDefault="00DC0813" w:rsidP="00863AC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1.9 ± 0.6</w:t>
            </w:r>
          </w:p>
          <w:p w14:paraId="41BBFE21" w14:textId="77777777" w:rsidR="00DC0813" w:rsidRPr="004322CB" w:rsidRDefault="00DC0813" w:rsidP="00863AC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2.5 ± 0.3</w:t>
            </w:r>
          </w:p>
        </w:tc>
      </w:tr>
      <w:tr w:rsidR="004322CB" w:rsidRPr="004322CB" w14:paraId="44CB8271" w14:textId="77777777" w:rsidTr="00863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vAlign w:val="center"/>
          </w:tcPr>
          <w:p w14:paraId="7B61E0A7" w14:textId="77777777" w:rsidR="00DC0813" w:rsidRPr="004322CB" w:rsidRDefault="00DC0813" w:rsidP="00863AC9">
            <w:pPr>
              <w:spacing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12 min post-trauma</w:t>
            </w:r>
          </w:p>
        </w:tc>
        <w:tc>
          <w:tcPr>
            <w:tcW w:w="1559" w:type="dxa"/>
            <w:vAlign w:val="center"/>
          </w:tcPr>
          <w:p w14:paraId="74F468D1" w14:textId="77777777" w:rsidR="00DC0813" w:rsidRPr="004322CB" w:rsidRDefault="00DC0813" w:rsidP="00863AC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Control</w:t>
            </w:r>
          </w:p>
          <w:p w14:paraId="5F660765" w14:textId="77777777" w:rsidR="00DC0813" w:rsidRPr="004322CB" w:rsidRDefault="00DC0813" w:rsidP="00863AC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TXA–FCH</w:t>
            </w:r>
          </w:p>
          <w:p w14:paraId="68369610" w14:textId="77777777" w:rsidR="00DC0813" w:rsidRPr="004322CB" w:rsidRDefault="00DC0813" w:rsidP="00863AC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PCC25</w:t>
            </w:r>
          </w:p>
          <w:p w14:paraId="1127E4FE" w14:textId="77777777" w:rsidR="00DC0813" w:rsidRPr="004322CB" w:rsidRDefault="00DC0813" w:rsidP="00863AC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PCC50</w:t>
            </w:r>
          </w:p>
          <w:p w14:paraId="42889D72" w14:textId="77777777" w:rsidR="00DC0813" w:rsidRPr="004322CB" w:rsidRDefault="00DC0813" w:rsidP="00863AC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IDA</w:t>
            </w:r>
          </w:p>
        </w:tc>
        <w:tc>
          <w:tcPr>
            <w:tcW w:w="2031" w:type="dxa"/>
            <w:vAlign w:val="center"/>
          </w:tcPr>
          <w:p w14:paraId="0E0CE899" w14:textId="77777777" w:rsidR="00DC0813" w:rsidRPr="004322CB" w:rsidRDefault="00DC0813" w:rsidP="00863AC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41 ± 7</w:t>
            </w:r>
          </w:p>
          <w:p w14:paraId="2043E251" w14:textId="77777777" w:rsidR="00DC0813" w:rsidRPr="004322CB" w:rsidRDefault="00DC0813" w:rsidP="00863AC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46 ± 8</w:t>
            </w:r>
          </w:p>
          <w:p w14:paraId="674E01C2" w14:textId="77777777" w:rsidR="00DC0813" w:rsidRPr="004322CB" w:rsidRDefault="00DC0813" w:rsidP="00863AC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42 ± 4</w:t>
            </w:r>
          </w:p>
          <w:p w14:paraId="36A6627E" w14:textId="77777777" w:rsidR="00DC0813" w:rsidRPr="004322CB" w:rsidRDefault="00DC0813" w:rsidP="00863AC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43 ± 8</w:t>
            </w:r>
          </w:p>
          <w:p w14:paraId="281D4EA5" w14:textId="77777777" w:rsidR="00DC0813" w:rsidRPr="004322CB" w:rsidRDefault="00DC0813" w:rsidP="00863AC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42 ± 5</w:t>
            </w:r>
          </w:p>
        </w:tc>
        <w:tc>
          <w:tcPr>
            <w:tcW w:w="2031" w:type="dxa"/>
            <w:vAlign w:val="center"/>
          </w:tcPr>
          <w:p w14:paraId="075EE5BD" w14:textId="77777777" w:rsidR="00DC0813" w:rsidRPr="004322CB" w:rsidRDefault="00DC0813" w:rsidP="00863AC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3.0 ± 0.5</w:t>
            </w:r>
          </w:p>
          <w:p w14:paraId="5EA0364F" w14:textId="77777777" w:rsidR="00DC0813" w:rsidRPr="004322CB" w:rsidRDefault="00DC0813" w:rsidP="00863AC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3.3 ± 0.5</w:t>
            </w:r>
          </w:p>
          <w:p w14:paraId="43506CCF" w14:textId="77777777" w:rsidR="00DC0813" w:rsidRPr="004322CB" w:rsidRDefault="00DC0813" w:rsidP="00863AC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3.5 ± 0.6</w:t>
            </w:r>
          </w:p>
          <w:p w14:paraId="7F6B218E" w14:textId="77777777" w:rsidR="00DC0813" w:rsidRPr="004322CB" w:rsidRDefault="00DC0813" w:rsidP="00863AC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3.0 ± 1.0</w:t>
            </w:r>
          </w:p>
          <w:p w14:paraId="4BF3350E" w14:textId="77777777" w:rsidR="00DC0813" w:rsidRPr="004322CB" w:rsidRDefault="00DC0813" w:rsidP="00863AC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3.5 ± 0.7</w:t>
            </w:r>
          </w:p>
        </w:tc>
        <w:tc>
          <w:tcPr>
            <w:tcW w:w="2032" w:type="dxa"/>
            <w:vAlign w:val="center"/>
          </w:tcPr>
          <w:p w14:paraId="4C47264A" w14:textId="77777777" w:rsidR="00DC0813" w:rsidRPr="004322CB" w:rsidRDefault="00DC0813" w:rsidP="00863AC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2.4 ± 0.3</w:t>
            </w:r>
          </w:p>
          <w:p w14:paraId="6094B44E" w14:textId="77777777" w:rsidR="00DC0813" w:rsidRPr="004322CB" w:rsidRDefault="00DC0813" w:rsidP="00863AC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2.1 ± 0.4</w:t>
            </w:r>
          </w:p>
          <w:p w14:paraId="43D602DB" w14:textId="77777777" w:rsidR="00DC0813" w:rsidRPr="004322CB" w:rsidRDefault="00DC0813" w:rsidP="00863AC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2.2 ± 0.5</w:t>
            </w:r>
          </w:p>
          <w:p w14:paraId="04386254" w14:textId="77777777" w:rsidR="00DC0813" w:rsidRPr="004322CB" w:rsidRDefault="00DC0813" w:rsidP="00863AC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2.1 ± 0.5</w:t>
            </w:r>
          </w:p>
          <w:p w14:paraId="0220F108" w14:textId="77777777" w:rsidR="00DC0813" w:rsidRPr="004322CB" w:rsidRDefault="00DC0813" w:rsidP="00863AC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2.7 ± 0.2</w:t>
            </w:r>
          </w:p>
        </w:tc>
      </w:tr>
      <w:tr w:rsidR="004322CB" w:rsidRPr="004322CB" w14:paraId="1C3B19E6" w14:textId="77777777" w:rsidTr="00863AC9">
        <w:trPr>
          <w:trHeight w:val="1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vAlign w:val="center"/>
          </w:tcPr>
          <w:p w14:paraId="4E580E48" w14:textId="77777777" w:rsidR="00DC0813" w:rsidRPr="004322CB" w:rsidRDefault="00DC0813" w:rsidP="00863AC9">
            <w:pPr>
              <w:spacing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30 min post-trauma</w:t>
            </w:r>
          </w:p>
        </w:tc>
        <w:tc>
          <w:tcPr>
            <w:tcW w:w="1559" w:type="dxa"/>
            <w:vAlign w:val="center"/>
          </w:tcPr>
          <w:p w14:paraId="2328B9D9" w14:textId="77777777" w:rsidR="00DC0813" w:rsidRPr="004322CB" w:rsidRDefault="00DC0813" w:rsidP="00863AC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Control</w:t>
            </w:r>
          </w:p>
          <w:p w14:paraId="6C6E7D91" w14:textId="77777777" w:rsidR="00DC0813" w:rsidRPr="004322CB" w:rsidRDefault="00DC0813" w:rsidP="00863AC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TXA–FCH</w:t>
            </w:r>
          </w:p>
          <w:p w14:paraId="65D4054E" w14:textId="77777777" w:rsidR="00DC0813" w:rsidRPr="004322CB" w:rsidRDefault="00DC0813" w:rsidP="00863AC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PCC25</w:t>
            </w:r>
          </w:p>
          <w:p w14:paraId="11DC7541" w14:textId="77777777" w:rsidR="00DC0813" w:rsidRPr="004322CB" w:rsidRDefault="00DC0813" w:rsidP="00863AC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PCC50</w:t>
            </w:r>
          </w:p>
          <w:p w14:paraId="518AF203" w14:textId="77777777" w:rsidR="00DC0813" w:rsidRPr="004322CB" w:rsidRDefault="00DC0813" w:rsidP="00863AC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IDA</w:t>
            </w:r>
          </w:p>
        </w:tc>
        <w:tc>
          <w:tcPr>
            <w:tcW w:w="2031" w:type="dxa"/>
            <w:vAlign w:val="center"/>
          </w:tcPr>
          <w:p w14:paraId="5A734E28" w14:textId="77777777" w:rsidR="00DC0813" w:rsidRPr="004322CB" w:rsidRDefault="00DC0813" w:rsidP="00863AC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31 ± 7</w:t>
            </w:r>
          </w:p>
          <w:p w14:paraId="148A320B" w14:textId="77777777" w:rsidR="00DC0813" w:rsidRPr="004322CB" w:rsidRDefault="00DC0813" w:rsidP="00863AC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35 ± 4</w:t>
            </w:r>
          </w:p>
          <w:p w14:paraId="14AE9DD9" w14:textId="77777777" w:rsidR="00DC0813" w:rsidRPr="004322CB" w:rsidRDefault="00DC0813" w:rsidP="00863AC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35 ± 8</w:t>
            </w:r>
          </w:p>
          <w:p w14:paraId="09EA5D1C" w14:textId="77777777" w:rsidR="00DC0813" w:rsidRPr="004322CB" w:rsidRDefault="00DC0813" w:rsidP="00863AC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46 ± 9*</w:t>
            </w:r>
            <w:r w:rsidRPr="004322CB"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†</w:t>
            </w:r>
            <w:r w:rsidRPr="004322CB">
              <w:rPr>
                <w:rFonts w:ascii="Arial" w:eastAsia="Times New Roman" w:hAnsi="Arial" w:cs="Arial"/>
                <w:color w:val="auto"/>
                <w:sz w:val="22"/>
                <w:szCs w:val="22"/>
                <w:vertAlign w:val="superscript"/>
              </w:rPr>
              <w:t>‡</w:t>
            </w:r>
          </w:p>
          <w:p w14:paraId="7F02B563" w14:textId="77777777" w:rsidR="00DC0813" w:rsidRPr="004322CB" w:rsidRDefault="00DC0813" w:rsidP="00863AC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54 ± 5*</w:t>
            </w:r>
            <w:r w:rsidRPr="004322CB"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†</w:t>
            </w:r>
            <w:r w:rsidRPr="004322CB">
              <w:rPr>
                <w:rFonts w:ascii="Arial" w:eastAsia="Times New Roman" w:hAnsi="Arial" w:cs="Arial"/>
                <w:color w:val="auto"/>
                <w:sz w:val="22"/>
                <w:szCs w:val="22"/>
                <w:vertAlign w:val="superscript"/>
              </w:rPr>
              <w:t>‡</w:t>
            </w:r>
          </w:p>
        </w:tc>
        <w:tc>
          <w:tcPr>
            <w:tcW w:w="2031" w:type="dxa"/>
            <w:vAlign w:val="center"/>
          </w:tcPr>
          <w:p w14:paraId="25F59C57" w14:textId="77777777" w:rsidR="00DC0813" w:rsidRPr="004322CB" w:rsidRDefault="00DC0813" w:rsidP="00863AC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2.3 ± 0.5</w:t>
            </w:r>
          </w:p>
          <w:p w14:paraId="5A7B755E" w14:textId="77777777" w:rsidR="00DC0813" w:rsidRPr="004322CB" w:rsidRDefault="00DC0813" w:rsidP="00863AC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3.0 ± 0.3*</w:t>
            </w:r>
          </w:p>
          <w:p w14:paraId="4D528717" w14:textId="77777777" w:rsidR="00DC0813" w:rsidRPr="004322CB" w:rsidRDefault="00DC0813" w:rsidP="00863AC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3.1 ± 0.9*</w:t>
            </w:r>
          </w:p>
          <w:p w14:paraId="7215656E" w14:textId="77777777" w:rsidR="00DC0813" w:rsidRPr="004322CB" w:rsidRDefault="00DC0813" w:rsidP="00863AC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3.5 ± 0.5*</w:t>
            </w:r>
          </w:p>
          <w:p w14:paraId="39E11244" w14:textId="77777777" w:rsidR="00DC0813" w:rsidRPr="004322CB" w:rsidRDefault="00DC0813" w:rsidP="00863AC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4.1 ± 0.5*</w:t>
            </w:r>
            <w:r w:rsidRPr="004322CB"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†</w:t>
            </w:r>
            <w:r w:rsidRPr="004322CB">
              <w:rPr>
                <w:rFonts w:ascii="Arial" w:eastAsia="Times New Roman" w:hAnsi="Arial" w:cs="Arial"/>
                <w:color w:val="auto"/>
                <w:sz w:val="22"/>
                <w:szCs w:val="22"/>
                <w:vertAlign w:val="superscript"/>
              </w:rPr>
              <w:t>‡</w:t>
            </w:r>
          </w:p>
        </w:tc>
        <w:tc>
          <w:tcPr>
            <w:tcW w:w="2032" w:type="dxa"/>
            <w:vAlign w:val="center"/>
          </w:tcPr>
          <w:p w14:paraId="0A86845C" w14:textId="77777777" w:rsidR="00DC0813" w:rsidRPr="004322CB" w:rsidRDefault="00DC0813" w:rsidP="00863AC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3.1 ± 0.5</w:t>
            </w:r>
          </w:p>
          <w:p w14:paraId="6590861A" w14:textId="77777777" w:rsidR="00DC0813" w:rsidRPr="004322CB" w:rsidRDefault="00DC0813" w:rsidP="00863AC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2.4 ± 0.3</w:t>
            </w:r>
          </w:p>
          <w:p w14:paraId="747574A0" w14:textId="77777777" w:rsidR="00DC0813" w:rsidRPr="004322CB" w:rsidRDefault="00DC0813" w:rsidP="00863AC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3.4 ± 0.9</w:t>
            </w:r>
          </w:p>
          <w:p w14:paraId="59080E84" w14:textId="77777777" w:rsidR="00DC0813" w:rsidRPr="004322CB" w:rsidRDefault="00DC0813" w:rsidP="00863AC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2.5 ± 0.7</w:t>
            </w:r>
          </w:p>
          <w:p w14:paraId="2521C97A" w14:textId="77777777" w:rsidR="00DC0813" w:rsidRPr="004322CB" w:rsidRDefault="00DC0813" w:rsidP="00863AC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3.0 ± 0.3</w:t>
            </w:r>
          </w:p>
        </w:tc>
      </w:tr>
      <w:tr w:rsidR="004322CB" w:rsidRPr="004322CB" w14:paraId="28BA0B29" w14:textId="77777777" w:rsidTr="00863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vAlign w:val="center"/>
          </w:tcPr>
          <w:p w14:paraId="225D5876" w14:textId="77777777" w:rsidR="00DC0813" w:rsidRPr="004322CB" w:rsidRDefault="00DC0813" w:rsidP="00863AC9">
            <w:pPr>
              <w:spacing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60 min post-trauma</w:t>
            </w:r>
          </w:p>
        </w:tc>
        <w:tc>
          <w:tcPr>
            <w:tcW w:w="1559" w:type="dxa"/>
            <w:vAlign w:val="center"/>
          </w:tcPr>
          <w:p w14:paraId="72175A6A" w14:textId="77777777" w:rsidR="00DC0813" w:rsidRPr="004322CB" w:rsidRDefault="00DC0813" w:rsidP="00863AC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Control</w:t>
            </w:r>
          </w:p>
          <w:p w14:paraId="04F49384" w14:textId="77777777" w:rsidR="00DC0813" w:rsidRPr="004322CB" w:rsidRDefault="00DC0813" w:rsidP="00863AC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TXA–FCH</w:t>
            </w:r>
          </w:p>
          <w:p w14:paraId="35CBDDEF" w14:textId="77777777" w:rsidR="00DC0813" w:rsidRPr="004322CB" w:rsidRDefault="00DC0813" w:rsidP="00863AC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PCC25</w:t>
            </w:r>
          </w:p>
          <w:p w14:paraId="690DEF64" w14:textId="77777777" w:rsidR="00DC0813" w:rsidRPr="004322CB" w:rsidRDefault="00DC0813" w:rsidP="00863AC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PCC50</w:t>
            </w:r>
          </w:p>
          <w:p w14:paraId="56A5B9CD" w14:textId="77777777" w:rsidR="00DC0813" w:rsidRPr="004322CB" w:rsidRDefault="00DC0813" w:rsidP="00863AC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IDA</w:t>
            </w:r>
          </w:p>
        </w:tc>
        <w:tc>
          <w:tcPr>
            <w:tcW w:w="2031" w:type="dxa"/>
            <w:vAlign w:val="center"/>
          </w:tcPr>
          <w:p w14:paraId="2ED5CB95" w14:textId="77777777" w:rsidR="00DC0813" w:rsidRPr="004322CB" w:rsidRDefault="00DC0813" w:rsidP="00863AC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28 ± 5</w:t>
            </w:r>
          </w:p>
          <w:p w14:paraId="5AEFF25D" w14:textId="77777777" w:rsidR="00DC0813" w:rsidRPr="004322CB" w:rsidRDefault="00DC0813" w:rsidP="00863AC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27 ± 4</w:t>
            </w:r>
          </w:p>
          <w:p w14:paraId="4231AE74" w14:textId="77777777" w:rsidR="00DC0813" w:rsidRPr="004322CB" w:rsidRDefault="00DC0813" w:rsidP="00863AC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36 ± 14</w:t>
            </w:r>
          </w:p>
          <w:p w14:paraId="06FE7BB9" w14:textId="77777777" w:rsidR="00DC0813" w:rsidRPr="004322CB" w:rsidRDefault="00DC0813" w:rsidP="00863AC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51 ± 9*</w:t>
            </w:r>
            <w:r w:rsidRPr="004322CB"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†</w:t>
            </w:r>
            <w:r w:rsidRPr="004322CB">
              <w:rPr>
                <w:rFonts w:ascii="Arial" w:eastAsia="Times New Roman" w:hAnsi="Arial" w:cs="Arial"/>
                <w:color w:val="auto"/>
                <w:sz w:val="22"/>
                <w:szCs w:val="22"/>
                <w:vertAlign w:val="superscript"/>
              </w:rPr>
              <w:t>‡</w:t>
            </w:r>
          </w:p>
          <w:p w14:paraId="6BDD2B0A" w14:textId="77777777" w:rsidR="00DC0813" w:rsidRPr="004322CB" w:rsidRDefault="00DC0813" w:rsidP="00863AC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52 ± 4*</w:t>
            </w:r>
            <w:r w:rsidRPr="004322CB"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†</w:t>
            </w:r>
            <w:r w:rsidRPr="004322CB">
              <w:rPr>
                <w:rFonts w:ascii="Arial" w:eastAsia="Times New Roman" w:hAnsi="Arial" w:cs="Arial"/>
                <w:color w:val="auto"/>
                <w:sz w:val="22"/>
                <w:szCs w:val="22"/>
                <w:vertAlign w:val="superscript"/>
              </w:rPr>
              <w:t>‡</w:t>
            </w:r>
          </w:p>
        </w:tc>
        <w:tc>
          <w:tcPr>
            <w:tcW w:w="2031" w:type="dxa"/>
            <w:vAlign w:val="center"/>
          </w:tcPr>
          <w:p w14:paraId="1EC91FBD" w14:textId="77777777" w:rsidR="00DC0813" w:rsidRPr="004322CB" w:rsidRDefault="00DC0813" w:rsidP="00863AC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2.1 ± 0.5</w:t>
            </w:r>
          </w:p>
          <w:p w14:paraId="24D347F0" w14:textId="77777777" w:rsidR="00DC0813" w:rsidRPr="004322CB" w:rsidRDefault="00DC0813" w:rsidP="00863AC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2.6 ± 0.5</w:t>
            </w:r>
          </w:p>
          <w:p w14:paraId="587B9774" w14:textId="77777777" w:rsidR="00DC0813" w:rsidRPr="004322CB" w:rsidRDefault="00DC0813" w:rsidP="00863AC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2.9 ± 0.9</w:t>
            </w:r>
          </w:p>
          <w:p w14:paraId="186E321B" w14:textId="77777777" w:rsidR="00DC0813" w:rsidRPr="004322CB" w:rsidRDefault="00DC0813" w:rsidP="00863AC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3.7 ± 0.5*</w:t>
            </w:r>
            <w:r w:rsidRPr="004322CB"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†</w:t>
            </w:r>
            <w:r w:rsidRPr="004322CB">
              <w:rPr>
                <w:rFonts w:ascii="Arial" w:eastAsia="Times New Roman" w:hAnsi="Arial" w:cs="Arial"/>
                <w:color w:val="auto"/>
                <w:sz w:val="22"/>
                <w:szCs w:val="22"/>
                <w:vertAlign w:val="superscript"/>
              </w:rPr>
              <w:t>‡</w:t>
            </w:r>
          </w:p>
          <w:p w14:paraId="5684FE0A" w14:textId="77777777" w:rsidR="00DC0813" w:rsidRPr="004322CB" w:rsidRDefault="00DC0813" w:rsidP="00863AC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vertAlign w:val="subscript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4.0 ± 0.4*</w:t>
            </w:r>
            <w:r w:rsidRPr="004322CB"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†</w:t>
            </w:r>
            <w:r w:rsidRPr="004322CB">
              <w:rPr>
                <w:rFonts w:ascii="Arial" w:eastAsia="Times New Roman" w:hAnsi="Arial" w:cs="Arial"/>
                <w:color w:val="auto"/>
                <w:sz w:val="22"/>
                <w:szCs w:val="22"/>
                <w:vertAlign w:val="superscript"/>
              </w:rPr>
              <w:t>‡</w:t>
            </w:r>
          </w:p>
        </w:tc>
        <w:tc>
          <w:tcPr>
            <w:tcW w:w="2032" w:type="dxa"/>
            <w:vAlign w:val="center"/>
          </w:tcPr>
          <w:p w14:paraId="4712A35E" w14:textId="77777777" w:rsidR="00DC0813" w:rsidRPr="004322CB" w:rsidRDefault="00DC0813" w:rsidP="00863AC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5.5 ± 1.9</w:t>
            </w:r>
          </w:p>
          <w:p w14:paraId="31122FE8" w14:textId="77777777" w:rsidR="00DC0813" w:rsidRPr="004322CB" w:rsidRDefault="00DC0813" w:rsidP="00863AC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3.8 ± 1.3</w:t>
            </w:r>
          </w:p>
          <w:p w14:paraId="21C49A32" w14:textId="77777777" w:rsidR="00DC0813" w:rsidRPr="004322CB" w:rsidRDefault="00DC0813" w:rsidP="00863AC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3.8 ± 1.0</w:t>
            </w:r>
          </w:p>
          <w:p w14:paraId="0E5C2B83" w14:textId="77777777" w:rsidR="00DC0813" w:rsidRPr="004322CB" w:rsidRDefault="00DC0813" w:rsidP="00863AC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2.8 ± 0.8*</w:t>
            </w:r>
            <w:r w:rsidRPr="004322CB">
              <w:rPr>
                <w:rFonts w:ascii="Arial" w:eastAsia="Times New Roman" w:hAnsi="Arial" w:cs="Arial"/>
                <w:color w:val="auto"/>
                <w:sz w:val="22"/>
                <w:szCs w:val="22"/>
                <w:vertAlign w:val="superscript"/>
              </w:rPr>
              <w:t>‡</w:t>
            </w:r>
          </w:p>
          <w:p w14:paraId="00FDEEAD" w14:textId="77777777" w:rsidR="00DC0813" w:rsidRPr="004322CB" w:rsidRDefault="00DC0813" w:rsidP="00863AC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2.9 ± 0.3*</w:t>
            </w:r>
            <w:r w:rsidRPr="004322CB">
              <w:rPr>
                <w:rFonts w:ascii="Arial" w:eastAsia="Times New Roman" w:hAnsi="Arial" w:cs="Arial"/>
                <w:color w:val="auto"/>
                <w:sz w:val="22"/>
                <w:szCs w:val="22"/>
                <w:vertAlign w:val="superscript"/>
              </w:rPr>
              <w:t>‡</w:t>
            </w:r>
          </w:p>
        </w:tc>
      </w:tr>
      <w:tr w:rsidR="004322CB" w:rsidRPr="004322CB" w14:paraId="47EE910A" w14:textId="77777777" w:rsidTr="00863AC9">
        <w:trPr>
          <w:trHeight w:val="1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vAlign w:val="center"/>
          </w:tcPr>
          <w:p w14:paraId="044AF319" w14:textId="77777777" w:rsidR="00DC0813" w:rsidRPr="004322CB" w:rsidRDefault="00DC0813" w:rsidP="00863AC9">
            <w:pPr>
              <w:spacing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120 min post-trauma</w:t>
            </w:r>
          </w:p>
        </w:tc>
        <w:tc>
          <w:tcPr>
            <w:tcW w:w="1559" w:type="dxa"/>
            <w:vAlign w:val="center"/>
          </w:tcPr>
          <w:p w14:paraId="4A5CC4D6" w14:textId="77777777" w:rsidR="00DC0813" w:rsidRPr="004322CB" w:rsidRDefault="00DC0813" w:rsidP="00863AC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Control</w:t>
            </w:r>
          </w:p>
          <w:p w14:paraId="63F81128" w14:textId="77777777" w:rsidR="00DC0813" w:rsidRPr="004322CB" w:rsidRDefault="00DC0813" w:rsidP="00863AC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TXA–FCH</w:t>
            </w:r>
          </w:p>
          <w:p w14:paraId="3EB711BC" w14:textId="77777777" w:rsidR="00DC0813" w:rsidRPr="004322CB" w:rsidRDefault="00DC0813" w:rsidP="00863AC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PCC25</w:t>
            </w:r>
          </w:p>
          <w:p w14:paraId="103029D9" w14:textId="77777777" w:rsidR="00DC0813" w:rsidRPr="004322CB" w:rsidRDefault="00DC0813" w:rsidP="00863AC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PCC50</w:t>
            </w:r>
          </w:p>
          <w:p w14:paraId="22C2276D" w14:textId="77777777" w:rsidR="00DC0813" w:rsidRPr="004322CB" w:rsidRDefault="00DC0813" w:rsidP="00863AC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IDA</w:t>
            </w:r>
          </w:p>
        </w:tc>
        <w:tc>
          <w:tcPr>
            <w:tcW w:w="2031" w:type="dxa"/>
            <w:vAlign w:val="center"/>
          </w:tcPr>
          <w:p w14:paraId="0D6F3FEA" w14:textId="77777777" w:rsidR="00DC0813" w:rsidRPr="004322CB" w:rsidRDefault="00DC0813" w:rsidP="00863AC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17 ± 5</w:t>
            </w:r>
          </w:p>
          <w:p w14:paraId="7FF3BA23" w14:textId="77777777" w:rsidR="00DC0813" w:rsidRPr="004322CB" w:rsidRDefault="00DC0813" w:rsidP="00863AC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23 ± 7</w:t>
            </w:r>
          </w:p>
          <w:p w14:paraId="4438D184" w14:textId="77777777" w:rsidR="00DC0813" w:rsidRPr="004322CB" w:rsidRDefault="00DC0813" w:rsidP="00863AC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43 ± 9*</w:t>
            </w:r>
            <w:r w:rsidRPr="004322CB"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†</w:t>
            </w:r>
          </w:p>
          <w:p w14:paraId="52CA9815" w14:textId="77777777" w:rsidR="00DC0813" w:rsidRPr="004322CB" w:rsidRDefault="00DC0813" w:rsidP="00863AC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51 ± 7*</w:t>
            </w:r>
            <w:r w:rsidRPr="004322CB"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†</w:t>
            </w:r>
            <w:r w:rsidRPr="004322CB">
              <w:rPr>
                <w:rFonts w:ascii="Arial" w:eastAsia="Times New Roman" w:hAnsi="Arial" w:cs="Arial"/>
                <w:color w:val="auto"/>
                <w:sz w:val="22"/>
                <w:szCs w:val="22"/>
                <w:vertAlign w:val="superscript"/>
              </w:rPr>
              <w:t>‡</w:t>
            </w:r>
          </w:p>
          <w:p w14:paraId="41394362" w14:textId="77777777" w:rsidR="00DC0813" w:rsidRPr="004322CB" w:rsidRDefault="00DC0813" w:rsidP="00863AC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50 ± 4*</w:t>
            </w:r>
            <w:r w:rsidRPr="004322CB"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†</w:t>
            </w:r>
            <w:r w:rsidRPr="004322CB">
              <w:rPr>
                <w:rFonts w:ascii="Arial" w:eastAsia="Times New Roman" w:hAnsi="Arial" w:cs="Arial"/>
                <w:color w:val="auto"/>
                <w:sz w:val="22"/>
                <w:szCs w:val="22"/>
                <w:vertAlign w:val="superscript"/>
              </w:rPr>
              <w:t>‡</w:t>
            </w:r>
          </w:p>
        </w:tc>
        <w:tc>
          <w:tcPr>
            <w:tcW w:w="2031" w:type="dxa"/>
            <w:vAlign w:val="center"/>
          </w:tcPr>
          <w:p w14:paraId="4CDAD3B4" w14:textId="77777777" w:rsidR="00DC0813" w:rsidRPr="004322CB" w:rsidRDefault="00DC0813" w:rsidP="00863AC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1.0 ± 0.3</w:t>
            </w:r>
          </w:p>
          <w:p w14:paraId="01F876B6" w14:textId="77777777" w:rsidR="00DC0813" w:rsidRPr="004322CB" w:rsidRDefault="00DC0813" w:rsidP="00863AC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2.0 ± 0.9</w:t>
            </w:r>
          </w:p>
          <w:p w14:paraId="33EEE12F" w14:textId="77777777" w:rsidR="00DC0813" w:rsidRPr="004322CB" w:rsidRDefault="00DC0813" w:rsidP="00863AC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3.4 ± 0.4</w:t>
            </w:r>
          </w:p>
          <w:p w14:paraId="6E41A356" w14:textId="77777777" w:rsidR="00DC0813" w:rsidRPr="004322CB" w:rsidRDefault="00DC0813" w:rsidP="00863AC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3.8 ± 0.5*</w:t>
            </w:r>
            <w:r w:rsidRPr="004322CB"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†</w:t>
            </w:r>
            <w:r w:rsidRPr="004322CB">
              <w:rPr>
                <w:rFonts w:ascii="Arial" w:eastAsia="Times New Roman" w:hAnsi="Arial" w:cs="Arial"/>
                <w:color w:val="auto"/>
                <w:sz w:val="22"/>
                <w:szCs w:val="22"/>
                <w:vertAlign w:val="superscript"/>
              </w:rPr>
              <w:t>‡</w:t>
            </w:r>
          </w:p>
          <w:p w14:paraId="67241439" w14:textId="77777777" w:rsidR="00DC0813" w:rsidRPr="004322CB" w:rsidRDefault="00DC0813" w:rsidP="00863AC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4.0 ± 0.5*</w:t>
            </w:r>
            <w:r w:rsidRPr="004322CB"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†</w:t>
            </w:r>
            <w:r w:rsidRPr="004322CB">
              <w:rPr>
                <w:rFonts w:ascii="Arial" w:eastAsia="Times New Roman" w:hAnsi="Arial" w:cs="Arial"/>
                <w:color w:val="auto"/>
                <w:sz w:val="22"/>
                <w:szCs w:val="22"/>
                <w:vertAlign w:val="superscript"/>
              </w:rPr>
              <w:t>‡</w:t>
            </w:r>
          </w:p>
        </w:tc>
        <w:tc>
          <w:tcPr>
            <w:tcW w:w="2032" w:type="dxa"/>
            <w:vAlign w:val="center"/>
          </w:tcPr>
          <w:p w14:paraId="6E28C3D1" w14:textId="77777777" w:rsidR="00DC0813" w:rsidRPr="004322CB" w:rsidRDefault="00DC0813" w:rsidP="00863AC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9.3 ± 2.0</w:t>
            </w:r>
          </w:p>
          <w:p w14:paraId="2CED2575" w14:textId="77777777" w:rsidR="00DC0813" w:rsidRPr="004322CB" w:rsidRDefault="00DC0813" w:rsidP="00863AC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7.9 ± 1.5</w:t>
            </w:r>
          </w:p>
          <w:p w14:paraId="20C2CF26" w14:textId="77777777" w:rsidR="00DC0813" w:rsidRPr="004322CB" w:rsidRDefault="00DC0813" w:rsidP="00863AC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5.8 ± 3.2*</w:t>
            </w:r>
            <w:r w:rsidRPr="004322CB"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†</w:t>
            </w:r>
          </w:p>
          <w:p w14:paraId="6C91AFE1" w14:textId="77777777" w:rsidR="00DC0813" w:rsidRPr="004322CB" w:rsidRDefault="00DC0813" w:rsidP="00863AC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2.3 ± 0.5*</w:t>
            </w:r>
            <w:r w:rsidRPr="004322CB"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†</w:t>
            </w:r>
            <w:r w:rsidRPr="004322CB">
              <w:rPr>
                <w:rFonts w:ascii="Arial" w:eastAsia="Times New Roman" w:hAnsi="Arial" w:cs="Arial"/>
                <w:color w:val="auto"/>
                <w:sz w:val="22"/>
                <w:szCs w:val="22"/>
                <w:vertAlign w:val="superscript"/>
              </w:rPr>
              <w:t>‡</w:t>
            </w:r>
          </w:p>
          <w:p w14:paraId="2C154B18" w14:textId="77777777" w:rsidR="00DC0813" w:rsidRPr="004322CB" w:rsidRDefault="00DC0813" w:rsidP="00863AC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2.4 ± 0.4*</w:t>
            </w:r>
            <w:r w:rsidRPr="004322CB"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†</w:t>
            </w:r>
            <w:r w:rsidRPr="004322CB">
              <w:rPr>
                <w:rFonts w:ascii="Arial" w:eastAsia="Times New Roman" w:hAnsi="Arial" w:cs="Arial"/>
                <w:color w:val="auto"/>
                <w:sz w:val="22"/>
                <w:szCs w:val="22"/>
                <w:vertAlign w:val="superscript"/>
              </w:rPr>
              <w:t>‡</w:t>
            </w:r>
          </w:p>
        </w:tc>
      </w:tr>
      <w:tr w:rsidR="004322CB" w:rsidRPr="004322CB" w14:paraId="5A6A362E" w14:textId="77777777" w:rsidTr="00863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vAlign w:val="center"/>
          </w:tcPr>
          <w:p w14:paraId="263F04C0" w14:textId="77777777" w:rsidR="00DC0813" w:rsidRPr="004322CB" w:rsidRDefault="00DC0813" w:rsidP="00863AC9">
            <w:pPr>
              <w:spacing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180 min post-trauma</w:t>
            </w:r>
          </w:p>
        </w:tc>
        <w:tc>
          <w:tcPr>
            <w:tcW w:w="1559" w:type="dxa"/>
            <w:vAlign w:val="center"/>
          </w:tcPr>
          <w:p w14:paraId="5AA6049A" w14:textId="77777777" w:rsidR="00DC0813" w:rsidRPr="004322CB" w:rsidRDefault="00DC0813" w:rsidP="00863AC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Control</w:t>
            </w:r>
          </w:p>
          <w:p w14:paraId="2E0B7365" w14:textId="77777777" w:rsidR="00DC0813" w:rsidRPr="004322CB" w:rsidRDefault="00DC0813" w:rsidP="00863AC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TXA–FCH</w:t>
            </w:r>
          </w:p>
          <w:p w14:paraId="0856AF4E" w14:textId="77777777" w:rsidR="00DC0813" w:rsidRPr="004322CB" w:rsidRDefault="00DC0813" w:rsidP="00863AC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PCC25</w:t>
            </w:r>
          </w:p>
          <w:p w14:paraId="008FED00" w14:textId="77777777" w:rsidR="00DC0813" w:rsidRPr="004322CB" w:rsidRDefault="00DC0813" w:rsidP="00863AC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PCC50</w:t>
            </w:r>
          </w:p>
          <w:p w14:paraId="2C83CC2D" w14:textId="77777777" w:rsidR="00DC0813" w:rsidRPr="004322CB" w:rsidRDefault="00DC0813" w:rsidP="00863AC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IDA</w:t>
            </w:r>
          </w:p>
        </w:tc>
        <w:tc>
          <w:tcPr>
            <w:tcW w:w="2031" w:type="dxa"/>
            <w:vAlign w:val="center"/>
          </w:tcPr>
          <w:p w14:paraId="573CB682" w14:textId="77777777" w:rsidR="00DC0813" w:rsidRPr="004322CB" w:rsidRDefault="00DC0813" w:rsidP="00863AC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—</w:t>
            </w:r>
          </w:p>
          <w:p w14:paraId="4F328E9A" w14:textId="77777777" w:rsidR="00DC0813" w:rsidRPr="004322CB" w:rsidRDefault="00DC0813" w:rsidP="00863AC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—</w:t>
            </w:r>
          </w:p>
          <w:p w14:paraId="6195855B" w14:textId="77777777" w:rsidR="00DC0813" w:rsidRPr="004322CB" w:rsidRDefault="00DC0813" w:rsidP="00863AC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44 ± 9</w:t>
            </w:r>
          </w:p>
          <w:p w14:paraId="4029E4FA" w14:textId="77777777" w:rsidR="00DC0813" w:rsidRPr="004322CB" w:rsidRDefault="00DC0813" w:rsidP="00863AC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51 ± 7</w:t>
            </w:r>
            <w:r w:rsidRPr="004322CB">
              <w:rPr>
                <w:rFonts w:ascii="Arial" w:eastAsia="Times New Roman" w:hAnsi="Arial" w:cs="Arial"/>
                <w:color w:val="auto"/>
                <w:sz w:val="22"/>
                <w:szCs w:val="22"/>
                <w:vertAlign w:val="superscript"/>
              </w:rPr>
              <w:t>‡</w:t>
            </w:r>
          </w:p>
          <w:p w14:paraId="22421A65" w14:textId="77777777" w:rsidR="00DC0813" w:rsidRPr="004322CB" w:rsidRDefault="00DC0813" w:rsidP="00863AC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50 ± 4</w:t>
            </w:r>
            <w:r w:rsidRPr="004322CB">
              <w:rPr>
                <w:rFonts w:ascii="Arial" w:eastAsia="Times New Roman" w:hAnsi="Arial" w:cs="Arial"/>
                <w:color w:val="auto"/>
                <w:sz w:val="22"/>
                <w:szCs w:val="22"/>
                <w:vertAlign w:val="superscript"/>
              </w:rPr>
              <w:t>‡</w:t>
            </w:r>
          </w:p>
        </w:tc>
        <w:tc>
          <w:tcPr>
            <w:tcW w:w="2031" w:type="dxa"/>
            <w:vAlign w:val="center"/>
          </w:tcPr>
          <w:p w14:paraId="5CFB6AC8" w14:textId="77777777" w:rsidR="00DC0813" w:rsidRPr="004322CB" w:rsidRDefault="00DC0813" w:rsidP="00863AC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—</w:t>
            </w:r>
          </w:p>
          <w:p w14:paraId="343C6F8C" w14:textId="77777777" w:rsidR="00DC0813" w:rsidRPr="004322CB" w:rsidRDefault="00DC0813" w:rsidP="00863AC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—</w:t>
            </w:r>
          </w:p>
          <w:p w14:paraId="0D900F20" w14:textId="77777777" w:rsidR="00DC0813" w:rsidRPr="004322CB" w:rsidRDefault="00DC0813" w:rsidP="00863AC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3.3 ± 0.4</w:t>
            </w:r>
          </w:p>
          <w:p w14:paraId="6AA0FA1E" w14:textId="77777777" w:rsidR="00DC0813" w:rsidRPr="004322CB" w:rsidRDefault="00DC0813" w:rsidP="00863AC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3.7 ± 0.5</w:t>
            </w:r>
          </w:p>
          <w:p w14:paraId="3CA83348" w14:textId="77777777" w:rsidR="00DC0813" w:rsidRPr="004322CB" w:rsidRDefault="00DC0813" w:rsidP="00863AC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4.0 ± 0.5</w:t>
            </w:r>
            <w:r w:rsidRPr="004322CB">
              <w:rPr>
                <w:rFonts w:ascii="Arial" w:eastAsia="Times New Roman" w:hAnsi="Arial" w:cs="Arial"/>
                <w:color w:val="auto"/>
                <w:sz w:val="22"/>
                <w:szCs w:val="22"/>
                <w:vertAlign w:val="superscript"/>
              </w:rPr>
              <w:t>‡</w:t>
            </w:r>
          </w:p>
        </w:tc>
        <w:tc>
          <w:tcPr>
            <w:tcW w:w="2032" w:type="dxa"/>
            <w:vAlign w:val="center"/>
          </w:tcPr>
          <w:p w14:paraId="1BC41797" w14:textId="77777777" w:rsidR="00DC0813" w:rsidRPr="004322CB" w:rsidRDefault="00DC0813" w:rsidP="00863AC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—</w:t>
            </w:r>
          </w:p>
          <w:p w14:paraId="4CC9CBCE" w14:textId="77777777" w:rsidR="00DC0813" w:rsidRPr="004322CB" w:rsidRDefault="00DC0813" w:rsidP="00863AC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—</w:t>
            </w:r>
          </w:p>
          <w:p w14:paraId="749C7067" w14:textId="77777777" w:rsidR="00DC0813" w:rsidRPr="004322CB" w:rsidRDefault="00DC0813" w:rsidP="00863AC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3.7 ± 1.3</w:t>
            </w:r>
          </w:p>
          <w:p w14:paraId="30912611" w14:textId="77777777" w:rsidR="00DC0813" w:rsidRPr="004322CB" w:rsidRDefault="00DC0813" w:rsidP="00863AC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1.9 ± 0.5</w:t>
            </w:r>
            <w:r w:rsidRPr="004322CB">
              <w:rPr>
                <w:rFonts w:ascii="Arial" w:eastAsia="Times New Roman" w:hAnsi="Arial" w:cs="Arial"/>
                <w:color w:val="auto"/>
                <w:sz w:val="22"/>
                <w:szCs w:val="22"/>
                <w:vertAlign w:val="superscript"/>
              </w:rPr>
              <w:t>‡</w:t>
            </w:r>
          </w:p>
          <w:p w14:paraId="4B6E1D63" w14:textId="77777777" w:rsidR="00DC0813" w:rsidRPr="004322CB" w:rsidRDefault="00DC0813" w:rsidP="00863AC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1.8 ± 0.5</w:t>
            </w:r>
            <w:r w:rsidRPr="004322CB">
              <w:rPr>
                <w:rFonts w:ascii="Arial" w:eastAsia="Times New Roman" w:hAnsi="Arial" w:cs="Arial"/>
                <w:color w:val="auto"/>
                <w:sz w:val="22"/>
                <w:szCs w:val="22"/>
                <w:vertAlign w:val="superscript"/>
              </w:rPr>
              <w:t>‡</w:t>
            </w:r>
          </w:p>
        </w:tc>
      </w:tr>
      <w:tr w:rsidR="004322CB" w:rsidRPr="004322CB" w14:paraId="71DA02E5" w14:textId="77777777" w:rsidTr="00863AC9">
        <w:trPr>
          <w:trHeight w:val="1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vAlign w:val="center"/>
          </w:tcPr>
          <w:p w14:paraId="37AD6D09" w14:textId="77777777" w:rsidR="00DC0813" w:rsidRPr="004322CB" w:rsidRDefault="00DC0813" w:rsidP="00863AC9">
            <w:pPr>
              <w:spacing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240 min post-trauma</w:t>
            </w:r>
          </w:p>
        </w:tc>
        <w:tc>
          <w:tcPr>
            <w:tcW w:w="1559" w:type="dxa"/>
            <w:vAlign w:val="center"/>
          </w:tcPr>
          <w:p w14:paraId="133CC272" w14:textId="77777777" w:rsidR="00DC0813" w:rsidRPr="004322CB" w:rsidRDefault="00DC0813" w:rsidP="00863AC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Control</w:t>
            </w:r>
          </w:p>
          <w:p w14:paraId="1CFC5087" w14:textId="77777777" w:rsidR="00DC0813" w:rsidRPr="004322CB" w:rsidRDefault="00DC0813" w:rsidP="00863AC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TXA–FCH</w:t>
            </w:r>
          </w:p>
          <w:p w14:paraId="16AA1EF7" w14:textId="77777777" w:rsidR="00DC0813" w:rsidRPr="004322CB" w:rsidRDefault="00DC0813" w:rsidP="00863AC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PCC25</w:t>
            </w:r>
          </w:p>
          <w:p w14:paraId="1772ADFE" w14:textId="77777777" w:rsidR="00DC0813" w:rsidRPr="004322CB" w:rsidRDefault="00DC0813" w:rsidP="00863AC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PCC50</w:t>
            </w:r>
          </w:p>
          <w:p w14:paraId="2589AEF5" w14:textId="77777777" w:rsidR="00DC0813" w:rsidRPr="004322CB" w:rsidRDefault="00DC0813" w:rsidP="00863AC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IDA</w:t>
            </w:r>
          </w:p>
        </w:tc>
        <w:tc>
          <w:tcPr>
            <w:tcW w:w="2031" w:type="dxa"/>
            <w:vAlign w:val="center"/>
          </w:tcPr>
          <w:p w14:paraId="2E09C3FF" w14:textId="77777777" w:rsidR="00DC0813" w:rsidRPr="004322CB" w:rsidRDefault="00DC0813" w:rsidP="00863AC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—</w:t>
            </w:r>
          </w:p>
          <w:p w14:paraId="47B0E30E" w14:textId="77777777" w:rsidR="00DC0813" w:rsidRPr="004322CB" w:rsidRDefault="00DC0813" w:rsidP="00863AC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—</w:t>
            </w:r>
          </w:p>
          <w:p w14:paraId="68036C9F" w14:textId="77777777" w:rsidR="00DC0813" w:rsidRPr="004322CB" w:rsidRDefault="00DC0813" w:rsidP="00863AC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43 ± 7</w:t>
            </w:r>
          </w:p>
          <w:p w14:paraId="666AF61D" w14:textId="77777777" w:rsidR="00DC0813" w:rsidRPr="004322CB" w:rsidRDefault="00DC0813" w:rsidP="00863AC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53 ± 8</w:t>
            </w:r>
            <w:r w:rsidRPr="004322CB">
              <w:rPr>
                <w:rFonts w:ascii="Arial" w:eastAsia="Times New Roman" w:hAnsi="Arial" w:cs="Arial"/>
                <w:color w:val="auto"/>
                <w:sz w:val="22"/>
                <w:szCs w:val="22"/>
                <w:vertAlign w:val="superscript"/>
              </w:rPr>
              <w:t>‡</w:t>
            </w:r>
          </w:p>
          <w:p w14:paraId="30709505" w14:textId="77777777" w:rsidR="00DC0813" w:rsidRPr="004322CB" w:rsidRDefault="00DC0813" w:rsidP="00863AC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51 ± 5</w:t>
            </w:r>
            <w:r w:rsidRPr="004322CB">
              <w:rPr>
                <w:rFonts w:ascii="Arial" w:eastAsia="Times New Roman" w:hAnsi="Arial" w:cs="Arial"/>
                <w:color w:val="auto"/>
                <w:sz w:val="22"/>
                <w:szCs w:val="22"/>
                <w:vertAlign w:val="superscript"/>
              </w:rPr>
              <w:t>‡</w:t>
            </w:r>
          </w:p>
        </w:tc>
        <w:tc>
          <w:tcPr>
            <w:tcW w:w="2031" w:type="dxa"/>
            <w:vAlign w:val="center"/>
          </w:tcPr>
          <w:p w14:paraId="6A11BC87" w14:textId="77777777" w:rsidR="00DC0813" w:rsidRPr="004322CB" w:rsidRDefault="00DC0813" w:rsidP="00863AC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—</w:t>
            </w:r>
          </w:p>
          <w:p w14:paraId="457A6D78" w14:textId="77777777" w:rsidR="00DC0813" w:rsidRPr="004322CB" w:rsidRDefault="00DC0813" w:rsidP="00863AC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—</w:t>
            </w:r>
          </w:p>
          <w:p w14:paraId="04C67A0D" w14:textId="77777777" w:rsidR="00DC0813" w:rsidRPr="004322CB" w:rsidRDefault="00DC0813" w:rsidP="00863AC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3.4 ± 0.4</w:t>
            </w:r>
          </w:p>
          <w:p w14:paraId="4D44F5F3" w14:textId="77777777" w:rsidR="00DC0813" w:rsidRPr="004322CB" w:rsidRDefault="00DC0813" w:rsidP="00863AC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3.8 ± 0.4</w:t>
            </w:r>
          </w:p>
          <w:p w14:paraId="699C5214" w14:textId="77777777" w:rsidR="00DC0813" w:rsidRPr="004322CB" w:rsidRDefault="00DC0813" w:rsidP="00863AC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3.9 ± 0.5</w:t>
            </w:r>
          </w:p>
        </w:tc>
        <w:tc>
          <w:tcPr>
            <w:tcW w:w="2032" w:type="dxa"/>
            <w:vAlign w:val="center"/>
          </w:tcPr>
          <w:p w14:paraId="2D05AB33" w14:textId="77777777" w:rsidR="00DC0813" w:rsidRPr="004322CB" w:rsidRDefault="00DC0813" w:rsidP="00863AC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—</w:t>
            </w:r>
          </w:p>
          <w:p w14:paraId="4D858683" w14:textId="77777777" w:rsidR="00DC0813" w:rsidRPr="004322CB" w:rsidRDefault="00DC0813" w:rsidP="00863AC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—</w:t>
            </w:r>
          </w:p>
          <w:p w14:paraId="16863844" w14:textId="77777777" w:rsidR="00DC0813" w:rsidRPr="004322CB" w:rsidRDefault="00DC0813" w:rsidP="00863AC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3.5 ± 2.1</w:t>
            </w:r>
          </w:p>
          <w:p w14:paraId="36295907" w14:textId="77777777" w:rsidR="00DC0813" w:rsidRPr="004322CB" w:rsidRDefault="00DC0813" w:rsidP="00863AC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1.5 ± 0.4</w:t>
            </w:r>
            <w:r w:rsidRPr="004322CB">
              <w:rPr>
                <w:rFonts w:ascii="Arial" w:eastAsia="Times New Roman" w:hAnsi="Arial" w:cs="Arial"/>
                <w:color w:val="auto"/>
                <w:sz w:val="22"/>
                <w:szCs w:val="22"/>
                <w:vertAlign w:val="superscript"/>
              </w:rPr>
              <w:t>‡</w:t>
            </w:r>
          </w:p>
          <w:p w14:paraId="6B493097" w14:textId="77777777" w:rsidR="00DC0813" w:rsidRPr="004322CB" w:rsidRDefault="00DC0813" w:rsidP="00863AC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2CB">
              <w:rPr>
                <w:rFonts w:ascii="Arial" w:hAnsi="Arial" w:cs="Arial"/>
                <w:color w:val="auto"/>
                <w:sz w:val="22"/>
                <w:szCs w:val="22"/>
              </w:rPr>
              <w:t>1.3 ± 0.3</w:t>
            </w:r>
            <w:r w:rsidRPr="004322CB">
              <w:rPr>
                <w:rFonts w:ascii="Arial" w:eastAsia="Times New Roman" w:hAnsi="Arial" w:cs="Arial"/>
                <w:color w:val="auto"/>
                <w:sz w:val="22"/>
                <w:szCs w:val="22"/>
                <w:vertAlign w:val="superscript"/>
              </w:rPr>
              <w:t>‡</w:t>
            </w:r>
          </w:p>
        </w:tc>
      </w:tr>
    </w:tbl>
    <w:p w14:paraId="4F0E7D40" w14:textId="41C65F21" w:rsidR="00486DD6" w:rsidRPr="004322CB" w:rsidRDefault="00B723FD" w:rsidP="00B723FD">
      <w:pPr>
        <w:spacing w:line="480" w:lineRule="auto"/>
        <w:ind w:left="357"/>
        <w:rPr>
          <w:rFonts w:ascii="Arial" w:hAnsi="Arial" w:cs="Arial"/>
          <w:sz w:val="22"/>
          <w:szCs w:val="22"/>
        </w:rPr>
      </w:pPr>
      <w:r w:rsidRPr="004322CB">
        <w:rPr>
          <w:rFonts w:ascii="Arial" w:hAnsi="Arial" w:cs="Arial"/>
          <w:b/>
          <w:sz w:val="22"/>
          <w:szCs w:val="22"/>
        </w:rPr>
        <w:br/>
      </w:r>
      <w:r w:rsidRPr="004322CB">
        <w:rPr>
          <w:rFonts w:ascii="Arial" w:hAnsi="Arial" w:cs="Arial"/>
          <w:sz w:val="22"/>
          <w:szCs w:val="22"/>
        </w:rPr>
        <w:t>Treatment groups: placebo [Control]; tranexamic acid (20 mg/kg) plus fibrinogen concentrate (80 mg/kg) [TXA–FCH]; prothrombin comp</w:t>
      </w:r>
      <w:r w:rsidR="00CD20BF" w:rsidRPr="004322CB">
        <w:rPr>
          <w:rFonts w:ascii="Arial" w:hAnsi="Arial" w:cs="Arial"/>
          <w:sz w:val="22"/>
          <w:szCs w:val="22"/>
        </w:rPr>
        <w:t>lex concentrate (25 IU/kg or 50 </w:t>
      </w:r>
      <w:r w:rsidRPr="004322CB">
        <w:rPr>
          <w:rFonts w:ascii="Arial" w:hAnsi="Arial" w:cs="Arial"/>
          <w:sz w:val="22"/>
          <w:szCs w:val="22"/>
        </w:rPr>
        <w:t>IU/kg) plus tranexamic acid plus fibrinogen concentrate [PCC25 and PCC50];</w:t>
      </w:r>
      <w:r w:rsidR="00CD20BF" w:rsidRPr="004322CB">
        <w:rPr>
          <w:rFonts w:ascii="Arial" w:hAnsi="Arial" w:cs="Arial"/>
          <w:sz w:val="22"/>
          <w:szCs w:val="22"/>
        </w:rPr>
        <w:t xml:space="preserve"> or 60 </w:t>
      </w:r>
      <w:r w:rsidRPr="004322CB">
        <w:rPr>
          <w:rFonts w:ascii="Arial" w:hAnsi="Arial" w:cs="Arial"/>
          <w:sz w:val="22"/>
          <w:szCs w:val="22"/>
        </w:rPr>
        <w:t>mg/kg idarucizumab plus tranexamic acid plus fibrinogen concentrate [IDA]</w:t>
      </w:r>
    </w:p>
    <w:p w14:paraId="20ED2D94" w14:textId="77777777" w:rsidR="00497113" w:rsidRPr="004322CB" w:rsidRDefault="00497113">
      <w:pPr>
        <w:spacing w:after="0"/>
        <w:rPr>
          <w:rFonts w:ascii="Arial" w:hAnsi="Arial" w:cs="Arial"/>
          <w:sz w:val="22"/>
          <w:szCs w:val="22"/>
        </w:rPr>
      </w:pPr>
      <w:r w:rsidRPr="004322CB">
        <w:rPr>
          <w:rFonts w:ascii="Arial" w:hAnsi="Arial" w:cs="Arial"/>
          <w:sz w:val="22"/>
          <w:szCs w:val="22"/>
        </w:rPr>
        <w:br w:type="page"/>
      </w:r>
    </w:p>
    <w:p w14:paraId="4F9901D9" w14:textId="08516034" w:rsidR="00497113" w:rsidRPr="004322CB" w:rsidRDefault="00497113" w:rsidP="00497113">
      <w:pPr>
        <w:spacing w:line="480" w:lineRule="auto"/>
        <w:jc w:val="both"/>
        <w:rPr>
          <w:rFonts w:ascii="Arial" w:eastAsiaTheme="minorHAnsi" w:hAnsi="Arial" w:cs="Arial"/>
          <w:sz w:val="22"/>
          <w:szCs w:val="22"/>
        </w:rPr>
      </w:pPr>
      <w:r w:rsidRPr="004322CB">
        <w:rPr>
          <w:rFonts w:ascii="Arial" w:hAnsi="Arial" w:cs="Arial"/>
          <w:b/>
          <w:sz w:val="22"/>
          <w:szCs w:val="22"/>
        </w:rPr>
        <w:lastRenderedPageBreak/>
        <w:t>Supplemental figure 1: Sub-analysis of animals in the PCC25 group, based on plasma dabigatran concentrations immediately after trauma</w:t>
      </w:r>
      <w:r w:rsidR="000951E3" w:rsidRPr="004322CB">
        <w:rPr>
          <w:rFonts w:ascii="Arial" w:hAnsi="Arial" w:cs="Arial"/>
          <w:b/>
          <w:sz w:val="22"/>
          <w:szCs w:val="22"/>
        </w:rPr>
        <w:t xml:space="preserve"> (high concentrations, PCC25</w:t>
      </w:r>
      <w:r w:rsidR="000951E3" w:rsidRPr="004322CB">
        <w:rPr>
          <w:rFonts w:ascii="Arial" w:hAnsi="Arial" w:cs="Arial"/>
          <w:b/>
          <w:sz w:val="22"/>
          <w:szCs w:val="22"/>
          <w:vertAlign w:val="subscript"/>
        </w:rPr>
        <w:t>high</w:t>
      </w:r>
      <w:r w:rsidR="000951E3" w:rsidRPr="004322CB">
        <w:rPr>
          <w:rFonts w:ascii="Arial" w:hAnsi="Arial" w:cs="Arial"/>
          <w:b/>
          <w:sz w:val="22"/>
          <w:szCs w:val="22"/>
        </w:rPr>
        <w:t>; low concentrations, PCC25</w:t>
      </w:r>
      <w:r w:rsidR="000951E3" w:rsidRPr="004322CB">
        <w:rPr>
          <w:rFonts w:ascii="Arial" w:hAnsi="Arial" w:cs="Arial"/>
          <w:b/>
          <w:sz w:val="22"/>
          <w:szCs w:val="22"/>
          <w:vertAlign w:val="subscript"/>
        </w:rPr>
        <w:t>low</w:t>
      </w:r>
      <w:r w:rsidR="000951E3" w:rsidRPr="004322CB">
        <w:rPr>
          <w:rFonts w:ascii="Arial" w:hAnsi="Arial" w:cs="Arial"/>
          <w:b/>
          <w:sz w:val="22"/>
          <w:szCs w:val="22"/>
        </w:rPr>
        <w:t>)</w:t>
      </w:r>
      <w:r w:rsidRPr="004322CB">
        <w:rPr>
          <w:rFonts w:ascii="Arial" w:hAnsi="Arial" w:cs="Arial"/>
          <w:b/>
          <w:sz w:val="22"/>
          <w:szCs w:val="22"/>
        </w:rPr>
        <w:t xml:space="preserve">. </w:t>
      </w:r>
      <w:r w:rsidRPr="004322CB">
        <w:rPr>
          <w:rFonts w:ascii="Arial" w:hAnsi="Arial" w:cs="Arial"/>
          <w:sz w:val="22"/>
          <w:szCs w:val="22"/>
        </w:rPr>
        <w:t>Blood loss 12 minutes after liver injury but before intervention, and at the end of the experiment (</w:t>
      </w:r>
      <w:r w:rsidR="000951E3" w:rsidRPr="004322CB">
        <w:rPr>
          <w:rFonts w:ascii="Arial" w:hAnsi="Arial" w:cs="Arial"/>
          <w:sz w:val="22"/>
          <w:szCs w:val="22"/>
        </w:rPr>
        <w:t>240 minutes after liver injury)</w:t>
      </w:r>
      <w:r w:rsidRPr="004322CB">
        <w:rPr>
          <w:rFonts w:ascii="Arial" w:hAnsi="Arial" w:cs="Arial"/>
          <w:sz w:val="22"/>
          <w:szCs w:val="22"/>
        </w:rPr>
        <w:t xml:space="preserve"> (</w:t>
      </w:r>
      <w:r w:rsidRPr="004322CB">
        <w:rPr>
          <w:rFonts w:ascii="Arial" w:hAnsi="Arial" w:cs="Arial"/>
          <w:b/>
          <w:sz w:val="22"/>
          <w:szCs w:val="22"/>
        </w:rPr>
        <w:t>A</w:t>
      </w:r>
      <w:r w:rsidR="000951E3" w:rsidRPr="004322CB">
        <w:rPr>
          <w:rFonts w:ascii="Arial" w:hAnsi="Arial" w:cs="Arial"/>
          <w:sz w:val="22"/>
          <w:szCs w:val="22"/>
        </w:rPr>
        <w:t>);</w:t>
      </w:r>
      <w:r w:rsidRPr="004322CB">
        <w:rPr>
          <w:rFonts w:ascii="Arial" w:hAnsi="Arial" w:cs="Arial"/>
          <w:sz w:val="22"/>
          <w:szCs w:val="22"/>
        </w:rPr>
        <w:t xml:space="preserve"> </w:t>
      </w:r>
      <w:r w:rsidR="000951E3" w:rsidRPr="004322CB">
        <w:rPr>
          <w:rFonts w:ascii="Arial" w:hAnsi="Arial" w:cs="Arial"/>
          <w:sz w:val="22"/>
          <w:szCs w:val="22"/>
        </w:rPr>
        <w:t>s</w:t>
      </w:r>
      <w:r w:rsidRPr="004322CB">
        <w:rPr>
          <w:rFonts w:ascii="Arial" w:hAnsi="Arial" w:cs="Arial"/>
          <w:sz w:val="22"/>
          <w:szCs w:val="22"/>
        </w:rPr>
        <w:t>urvival data presented as a Kaplan-Meier curve (</w:t>
      </w:r>
      <w:r w:rsidRPr="004322CB">
        <w:rPr>
          <w:rFonts w:ascii="Arial" w:hAnsi="Arial" w:cs="Arial"/>
          <w:b/>
          <w:sz w:val="22"/>
          <w:szCs w:val="22"/>
        </w:rPr>
        <w:t>B</w:t>
      </w:r>
      <w:r w:rsidRPr="004322CB">
        <w:rPr>
          <w:rFonts w:ascii="Arial" w:hAnsi="Arial" w:cs="Arial"/>
          <w:sz w:val="22"/>
          <w:szCs w:val="22"/>
        </w:rPr>
        <w:t xml:space="preserve">); </w:t>
      </w:r>
      <w:r w:rsidR="002D4CE1" w:rsidRPr="004322CB">
        <w:rPr>
          <w:rFonts w:ascii="Arial" w:hAnsi="Arial" w:cs="Arial"/>
          <w:sz w:val="22"/>
          <w:szCs w:val="22"/>
        </w:rPr>
        <w:t>d</w:t>
      </w:r>
      <w:r w:rsidRPr="004322CB">
        <w:rPr>
          <w:rFonts w:ascii="Arial" w:hAnsi="Arial" w:cs="Arial"/>
          <w:sz w:val="22"/>
          <w:szCs w:val="22"/>
        </w:rPr>
        <w:t>abigatran levels</w:t>
      </w:r>
      <w:r w:rsidRPr="004322CB">
        <w:rPr>
          <w:rFonts w:ascii="Arial" w:hAnsi="Arial" w:cs="Arial"/>
          <w:b/>
          <w:sz w:val="22"/>
          <w:szCs w:val="22"/>
        </w:rPr>
        <w:t xml:space="preserve"> (C)</w:t>
      </w:r>
      <w:r w:rsidR="002D4CE1" w:rsidRPr="004322CB">
        <w:rPr>
          <w:rFonts w:ascii="Arial" w:hAnsi="Arial" w:cs="Arial"/>
          <w:sz w:val="22"/>
          <w:szCs w:val="22"/>
        </w:rPr>
        <w:t>;</w:t>
      </w:r>
      <w:r w:rsidRPr="004322CB">
        <w:rPr>
          <w:rFonts w:ascii="Arial" w:eastAsia="Calibri" w:hAnsi="Arial" w:cs="Arial"/>
          <w:b/>
          <w:sz w:val="22"/>
          <w:szCs w:val="22"/>
        </w:rPr>
        <w:t xml:space="preserve"> </w:t>
      </w:r>
      <w:r w:rsidR="002D4CE1" w:rsidRPr="004322CB">
        <w:rPr>
          <w:rFonts w:ascii="Arial" w:eastAsia="Calibri" w:hAnsi="Arial" w:cs="Arial"/>
          <w:sz w:val="22"/>
          <w:szCs w:val="22"/>
        </w:rPr>
        <w:t>e</w:t>
      </w:r>
      <w:r w:rsidRPr="004322CB">
        <w:rPr>
          <w:rFonts w:ascii="Arial" w:hAnsi="Arial" w:cs="Arial"/>
          <w:sz w:val="22"/>
          <w:szCs w:val="22"/>
        </w:rPr>
        <w:t>ndogenous thrombin potential (ETP) (</w:t>
      </w:r>
      <w:r w:rsidRPr="004322CB">
        <w:rPr>
          <w:rFonts w:ascii="Arial" w:hAnsi="Arial" w:cs="Arial"/>
          <w:b/>
          <w:sz w:val="22"/>
          <w:szCs w:val="22"/>
        </w:rPr>
        <w:t>D</w:t>
      </w:r>
      <w:r w:rsidRPr="004322CB">
        <w:rPr>
          <w:rFonts w:ascii="Arial" w:hAnsi="Arial" w:cs="Arial"/>
          <w:sz w:val="22"/>
          <w:szCs w:val="22"/>
        </w:rPr>
        <w:t>); prothrombin time</w:t>
      </w:r>
      <w:r w:rsidR="002D4CE1" w:rsidRPr="004322CB">
        <w:rPr>
          <w:rFonts w:ascii="Arial" w:hAnsi="Arial" w:cs="Arial"/>
          <w:sz w:val="22"/>
          <w:szCs w:val="22"/>
        </w:rPr>
        <w:t xml:space="preserve"> (PT)</w:t>
      </w:r>
      <w:r w:rsidRPr="004322CB">
        <w:rPr>
          <w:rFonts w:ascii="Arial" w:hAnsi="Arial" w:cs="Arial"/>
          <w:sz w:val="22"/>
          <w:szCs w:val="22"/>
        </w:rPr>
        <w:t xml:space="preserve"> (</w:t>
      </w:r>
      <w:r w:rsidRPr="004322CB">
        <w:rPr>
          <w:rFonts w:ascii="Arial" w:hAnsi="Arial" w:cs="Arial"/>
          <w:b/>
          <w:sz w:val="22"/>
          <w:szCs w:val="22"/>
        </w:rPr>
        <w:t>E</w:t>
      </w:r>
      <w:r w:rsidRPr="004322CB">
        <w:rPr>
          <w:rFonts w:ascii="Arial" w:hAnsi="Arial" w:cs="Arial"/>
          <w:sz w:val="22"/>
          <w:szCs w:val="22"/>
        </w:rPr>
        <w:t xml:space="preserve">); activated partial thromboplastin time </w:t>
      </w:r>
      <w:r w:rsidR="002D4CE1" w:rsidRPr="004322CB">
        <w:rPr>
          <w:rFonts w:ascii="Arial" w:hAnsi="Arial" w:cs="Arial"/>
          <w:sz w:val="22"/>
          <w:szCs w:val="22"/>
        </w:rPr>
        <w:t>(aPTT) (</w:t>
      </w:r>
      <w:r w:rsidR="002D4CE1" w:rsidRPr="004322CB">
        <w:rPr>
          <w:rFonts w:ascii="Arial" w:hAnsi="Arial" w:cs="Arial"/>
          <w:b/>
          <w:sz w:val="22"/>
          <w:szCs w:val="22"/>
        </w:rPr>
        <w:t>F</w:t>
      </w:r>
      <w:r w:rsidR="002D4CE1" w:rsidRPr="004322CB">
        <w:rPr>
          <w:rFonts w:ascii="Arial" w:hAnsi="Arial" w:cs="Arial"/>
          <w:sz w:val="22"/>
          <w:szCs w:val="22"/>
        </w:rPr>
        <w:t>)</w:t>
      </w:r>
      <w:r w:rsidRPr="004322CB">
        <w:rPr>
          <w:rFonts w:ascii="Arial" w:hAnsi="Arial" w:cs="Arial"/>
          <w:sz w:val="22"/>
          <w:szCs w:val="22"/>
        </w:rPr>
        <w:t xml:space="preserve">. Data </w:t>
      </w:r>
      <w:r w:rsidR="002D4CE1" w:rsidRPr="004322CB">
        <w:rPr>
          <w:rFonts w:ascii="Arial" w:hAnsi="Arial" w:cs="Arial"/>
          <w:sz w:val="22"/>
          <w:szCs w:val="22"/>
        </w:rPr>
        <w:t xml:space="preserve">in plots C–F </w:t>
      </w:r>
      <w:r w:rsidRPr="004322CB">
        <w:rPr>
          <w:rFonts w:ascii="Arial" w:hAnsi="Arial" w:cs="Arial"/>
          <w:sz w:val="22"/>
          <w:szCs w:val="22"/>
        </w:rPr>
        <w:t xml:space="preserve">are shown as mean ± </w:t>
      </w:r>
      <w:r w:rsidR="002D4CE1" w:rsidRPr="004322CB">
        <w:rPr>
          <w:rFonts w:ascii="Arial" w:hAnsi="Arial" w:cs="Arial"/>
          <w:sz w:val="22"/>
          <w:szCs w:val="22"/>
        </w:rPr>
        <w:t xml:space="preserve">standard deviation. </w:t>
      </w:r>
      <w:r w:rsidRPr="004322CB">
        <w:rPr>
          <w:rFonts w:ascii="Arial" w:hAnsi="Arial" w:cs="Arial"/>
          <w:sz w:val="22"/>
          <w:szCs w:val="22"/>
        </w:rPr>
        <w:t>PCC25</w:t>
      </w:r>
      <w:r w:rsidRPr="004322CB">
        <w:rPr>
          <w:rFonts w:ascii="Arial" w:hAnsi="Arial" w:cs="Arial"/>
          <w:sz w:val="22"/>
          <w:szCs w:val="22"/>
          <w:vertAlign w:val="subscript"/>
        </w:rPr>
        <w:t>high</w:t>
      </w:r>
      <w:r w:rsidR="003667BD" w:rsidRPr="004322CB">
        <w:rPr>
          <w:rFonts w:ascii="Arial" w:hAnsi="Arial" w:cs="Arial"/>
          <w:sz w:val="22"/>
          <w:szCs w:val="22"/>
        </w:rPr>
        <w:t>,</w:t>
      </w:r>
      <w:r w:rsidRPr="004322CB">
        <w:rPr>
          <w:rFonts w:ascii="Arial" w:hAnsi="Arial" w:cs="Arial"/>
          <w:sz w:val="22"/>
          <w:szCs w:val="22"/>
        </w:rPr>
        <w:t xml:space="preserve"> n=6; PCC25</w:t>
      </w:r>
      <w:r w:rsidRPr="004322CB">
        <w:rPr>
          <w:rFonts w:ascii="Arial" w:hAnsi="Arial" w:cs="Arial"/>
          <w:sz w:val="22"/>
          <w:szCs w:val="22"/>
          <w:vertAlign w:val="subscript"/>
        </w:rPr>
        <w:t>low</w:t>
      </w:r>
      <w:r w:rsidR="003667BD" w:rsidRPr="004322CB">
        <w:rPr>
          <w:rFonts w:ascii="Arial" w:hAnsi="Arial" w:cs="Arial"/>
          <w:sz w:val="22"/>
          <w:szCs w:val="22"/>
        </w:rPr>
        <w:t>, n=3.</w:t>
      </w:r>
    </w:p>
    <w:p w14:paraId="785A5B87" w14:textId="6BF2F190" w:rsidR="00C36AC2" w:rsidRPr="004322CB" w:rsidRDefault="009B6DF9" w:rsidP="000951E3">
      <w:pPr>
        <w:spacing w:line="480" w:lineRule="auto"/>
        <w:jc w:val="both"/>
      </w:pPr>
      <w:r w:rsidRPr="004322CB">
        <w:rPr>
          <w:noProof/>
          <w:lang w:val="en-US"/>
        </w:rPr>
        <w:drawing>
          <wp:inline distT="0" distB="0" distL="0" distR="0" wp14:anchorId="0960C7B1" wp14:editId="491A68AF">
            <wp:extent cx="5755640" cy="6303010"/>
            <wp:effectExtent l="0" t="0" r="1016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.tif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630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6AC2" w:rsidRPr="004322CB" w:rsidSect="000655B4">
      <w:headerReference w:type="default" r:id="rId8"/>
      <w:pgSz w:w="11900" w:h="16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2ACB9" w14:textId="77777777" w:rsidR="00215DB6" w:rsidRDefault="00215DB6" w:rsidP="009F3F06">
      <w:pPr>
        <w:spacing w:after="0"/>
      </w:pPr>
      <w:r>
        <w:separator/>
      </w:r>
    </w:p>
  </w:endnote>
  <w:endnote w:type="continuationSeparator" w:id="0">
    <w:p w14:paraId="7951917D" w14:textId="77777777" w:rsidR="00215DB6" w:rsidRDefault="00215DB6" w:rsidP="009F3F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-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077AE" w14:textId="77777777" w:rsidR="00215DB6" w:rsidRDefault="00215DB6" w:rsidP="009F3F06">
      <w:pPr>
        <w:spacing w:after="0"/>
      </w:pPr>
      <w:r>
        <w:separator/>
      </w:r>
    </w:p>
  </w:footnote>
  <w:footnote w:type="continuationSeparator" w:id="0">
    <w:p w14:paraId="0E4E0D3B" w14:textId="77777777" w:rsidR="00215DB6" w:rsidRDefault="00215DB6" w:rsidP="009F3F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FAF93" w14:textId="30E08227" w:rsidR="003507B9" w:rsidRPr="003507B9" w:rsidRDefault="003507B9" w:rsidP="003507B9">
    <w:pPr>
      <w:pStyle w:val="Header"/>
      <w:tabs>
        <w:tab w:val="clear" w:pos="4536"/>
        <w:tab w:val="left" w:pos="3828"/>
      </w:tabs>
      <w:rPr>
        <w:rFonts w:asciiTheme="minorHAnsi" w:hAnsiTheme="minorHAnsi" w:cstheme="minorHAnsi"/>
        <w:sz w:val="22"/>
        <w:lang w:val="en-GB"/>
      </w:rPr>
    </w:pPr>
    <w:r w:rsidRPr="003507B9">
      <w:rPr>
        <w:rFonts w:asciiTheme="minorHAnsi" w:hAnsiTheme="minorHAnsi" w:cstheme="minorHAnsi"/>
        <w:sz w:val="22"/>
        <w:lang w:val="en-GB"/>
      </w:rPr>
      <w:t xml:space="preserve">HONICKEL ET AL. </w:t>
    </w:r>
    <w:r w:rsidRPr="003507B9">
      <w:rPr>
        <w:rFonts w:asciiTheme="minorHAnsi" w:hAnsiTheme="minorHAnsi" w:cstheme="minorHAnsi"/>
        <w:sz w:val="22"/>
        <w:lang w:val="en-GB"/>
      </w:rPr>
      <w:tab/>
      <w:t xml:space="preserve">Trauma and dabigatran: multimodal </w:t>
    </w:r>
    <w:proofErr w:type="spellStart"/>
    <w:r w:rsidRPr="003507B9">
      <w:rPr>
        <w:rFonts w:asciiTheme="minorHAnsi" w:hAnsiTheme="minorHAnsi" w:cstheme="minorHAnsi"/>
        <w:sz w:val="22"/>
        <w:lang w:val="en-GB"/>
      </w:rPr>
      <w:t>hemostatic</w:t>
    </w:r>
    <w:proofErr w:type="spellEnd"/>
    <w:r w:rsidRPr="003507B9">
      <w:rPr>
        <w:rFonts w:asciiTheme="minorHAnsi" w:hAnsiTheme="minorHAnsi" w:cstheme="minorHAnsi"/>
        <w:sz w:val="22"/>
        <w:lang w:val="en-GB"/>
      </w:rPr>
      <w:t xml:space="preserve"> therapy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B034A"/>
    <w:multiLevelType w:val="hybridMultilevel"/>
    <w:tmpl w:val="D19C06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43272"/>
    <w:multiLevelType w:val="hybridMultilevel"/>
    <w:tmpl w:val="FF46CD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0MzEyNbW0NDUwMjZW0lEKTi0uzszPAykwqgUAhMj0Xi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esthesiology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9rppxwrap9ewge20fmvzfwj902efex5df5a&quot;&gt;Multimodal ms&lt;record-ids&gt;&lt;item&gt;28&lt;/item&gt;&lt;item&gt;29&lt;/item&gt;&lt;item&gt;45&lt;/item&gt;&lt;/record-ids&gt;&lt;/item&gt;&lt;/Libraries&gt;"/>
  </w:docVars>
  <w:rsids>
    <w:rsidRoot w:val="00484E4F"/>
    <w:rsid w:val="000245C5"/>
    <w:rsid w:val="00024AF2"/>
    <w:rsid w:val="000401E1"/>
    <w:rsid w:val="000655B4"/>
    <w:rsid w:val="000951E3"/>
    <w:rsid w:val="00097399"/>
    <w:rsid w:val="001506FA"/>
    <w:rsid w:val="00196B73"/>
    <w:rsid w:val="001A7571"/>
    <w:rsid w:val="001A7CA2"/>
    <w:rsid w:val="00215DB6"/>
    <w:rsid w:val="00284F92"/>
    <w:rsid w:val="002C1FB5"/>
    <w:rsid w:val="002D4CE1"/>
    <w:rsid w:val="003507B9"/>
    <w:rsid w:val="003667BD"/>
    <w:rsid w:val="004322CB"/>
    <w:rsid w:val="004566D5"/>
    <w:rsid w:val="00484E4F"/>
    <w:rsid w:val="00486DD6"/>
    <w:rsid w:val="00497113"/>
    <w:rsid w:val="004D0FF7"/>
    <w:rsid w:val="005A2D50"/>
    <w:rsid w:val="005E1486"/>
    <w:rsid w:val="006612A2"/>
    <w:rsid w:val="00677B31"/>
    <w:rsid w:val="006A02D4"/>
    <w:rsid w:val="006A2DBD"/>
    <w:rsid w:val="00720533"/>
    <w:rsid w:val="00783A18"/>
    <w:rsid w:val="007B355F"/>
    <w:rsid w:val="007F2AD9"/>
    <w:rsid w:val="00814354"/>
    <w:rsid w:val="0085211F"/>
    <w:rsid w:val="008746A9"/>
    <w:rsid w:val="008D79F8"/>
    <w:rsid w:val="008E20A3"/>
    <w:rsid w:val="00922D55"/>
    <w:rsid w:val="009B6DF9"/>
    <w:rsid w:val="009F3F06"/>
    <w:rsid w:val="00A91CA5"/>
    <w:rsid w:val="00AE08C1"/>
    <w:rsid w:val="00B4212C"/>
    <w:rsid w:val="00B51DFC"/>
    <w:rsid w:val="00B55600"/>
    <w:rsid w:val="00B723FD"/>
    <w:rsid w:val="00B90523"/>
    <w:rsid w:val="00BB7266"/>
    <w:rsid w:val="00BD7829"/>
    <w:rsid w:val="00BF3D83"/>
    <w:rsid w:val="00C36AC2"/>
    <w:rsid w:val="00C56631"/>
    <w:rsid w:val="00C61F24"/>
    <w:rsid w:val="00CC220E"/>
    <w:rsid w:val="00CD20BF"/>
    <w:rsid w:val="00D37BC0"/>
    <w:rsid w:val="00D51CCA"/>
    <w:rsid w:val="00D70BE3"/>
    <w:rsid w:val="00DC0813"/>
    <w:rsid w:val="00E675AB"/>
    <w:rsid w:val="00EA2AB2"/>
    <w:rsid w:val="00F1041B"/>
    <w:rsid w:val="00F24FD5"/>
    <w:rsid w:val="00F27EE6"/>
    <w:rsid w:val="00FC20F2"/>
    <w:rsid w:val="00FF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1FF6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E4F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484E4F"/>
    <w:rPr>
      <w:i/>
      <w:iCs/>
    </w:rPr>
  </w:style>
  <w:style w:type="character" w:customStyle="1" w:styleId="Flietext">
    <w:name w:val="Fließtext"/>
    <w:rsid w:val="00484E4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st">
    <w:name w:val="st"/>
    <w:basedOn w:val="DefaultParagraphFont"/>
    <w:rsid w:val="00484E4F"/>
  </w:style>
  <w:style w:type="paragraph" w:customStyle="1" w:styleId="CSText">
    <w:name w:val="CS Text"/>
    <w:basedOn w:val="Normal"/>
    <w:link w:val="CSTextChar"/>
    <w:qFormat/>
    <w:rsid w:val="00484E4F"/>
    <w:pPr>
      <w:spacing w:after="0"/>
    </w:pPr>
    <w:rPr>
      <w:rFonts w:ascii="Times New Roman" w:eastAsia="SimSun" w:hAnsi="Times New Roman"/>
      <w:lang w:val="en-US" w:eastAsia="de-DE"/>
    </w:rPr>
  </w:style>
  <w:style w:type="character" w:customStyle="1" w:styleId="CSTextChar">
    <w:name w:val="CS Text Char"/>
    <w:link w:val="CSText"/>
    <w:rsid w:val="00484E4F"/>
    <w:rPr>
      <w:rFonts w:ascii="Times New Roman" w:eastAsia="SimSun" w:hAnsi="Times New Roman" w:cs="Times New Roman"/>
      <w:lang w:val="en-US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484E4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84E4F"/>
  </w:style>
  <w:style w:type="character" w:customStyle="1" w:styleId="CommentTextChar">
    <w:name w:val="Comment Text Char"/>
    <w:basedOn w:val="DefaultParagraphFont"/>
    <w:link w:val="CommentText"/>
    <w:uiPriority w:val="99"/>
    <w:rsid w:val="00484E4F"/>
    <w:rPr>
      <w:rFonts w:ascii="Cambria" w:eastAsia="Cambria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E4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E4F"/>
    <w:rPr>
      <w:rFonts w:ascii="Cambria" w:eastAsia="Cambria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E4F"/>
    <w:pPr>
      <w:spacing w:after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E4F"/>
    <w:rPr>
      <w:rFonts w:ascii="Times New Roman" w:eastAsia="Cambria" w:hAnsi="Times New Roman" w:cs="Times New Roman"/>
      <w:sz w:val="18"/>
      <w:szCs w:val="18"/>
    </w:rPr>
  </w:style>
  <w:style w:type="paragraph" w:customStyle="1" w:styleId="EndNoteBibliography">
    <w:name w:val="EndNote Bibliography"/>
    <w:basedOn w:val="Normal"/>
    <w:link w:val="EndNoteBibliographyChar"/>
    <w:rsid w:val="00484E4F"/>
    <w:pPr>
      <w:spacing w:line="480" w:lineRule="auto"/>
    </w:pPr>
    <w:rPr>
      <w:rFonts w:ascii="Arial" w:hAnsi="Arial" w:cs="Arial"/>
      <w:noProof/>
      <w:sz w:val="22"/>
      <w:lang w:val="en-US"/>
    </w:rPr>
  </w:style>
  <w:style w:type="character" w:customStyle="1" w:styleId="EndNoteBibliographyChar">
    <w:name w:val="EndNote Bibliography Char"/>
    <w:link w:val="EndNoteBibliography"/>
    <w:rsid w:val="00484E4F"/>
    <w:rPr>
      <w:rFonts w:ascii="Arial" w:eastAsia="Cambria" w:hAnsi="Arial" w:cs="Arial"/>
      <w:noProof/>
      <w:sz w:val="22"/>
      <w:lang w:val="en-US"/>
    </w:rPr>
  </w:style>
  <w:style w:type="paragraph" w:styleId="ListParagraph">
    <w:name w:val="List Paragraph"/>
    <w:basedOn w:val="Normal"/>
    <w:uiPriority w:val="34"/>
    <w:qFormat/>
    <w:rsid w:val="008D79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3F0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F3F06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9F3F06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F3F06"/>
    <w:rPr>
      <w:rFonts w:ascii="Cambria" w:eastAsia="Cambria" w:hAnsi="Cambria" w:cs="Times New Roman"/>
    </w:rPr>
  </w:style>
  <w:style w:type="table" w:styleId="LightShading">
    <w:name w:val="Light Shading"/>
    <w:basedOn w:val="TableNormal"/>
    <w:uiPriority w:val="60"/>
    <w:rsid w:val="00E675AB"/>
    <w:rPr>
      <w:rFonts w:eastAsiaTheme="minorEastAsia"/>
      <w:color w:val="000000" w:themeColor="text1" w:themeShade="BF"/>
      <w:lang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0655B4"/>
    <w:pPr>
      <w:spacing w:after="0"/>
      <w:jc w:val="center"/>
    </w:pPr>
    <w:rPr>
      <w:rFonts w:ascii="Arial" w:hAnsi="Arial" w:cs="Arial"/>
      <w:noProof/>
      <w:sz w:val="22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655B4"/>
    <w:rPr>
      <w:rFonts w:ascii="Arial" w:eastAsia="Cambria" w:hAnsi="Arial" w:cs="Arial"/>
      <w:noProof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Boehringer Ingelheim</Company>
  <LinksUpToDate>false</LinksUpToDate>
  <CharactersWithSpaces>8748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Office-Anwender</dc:creator>
  <cp:lastModifiedBy>Moore, Emily</cp:lastModifiedBy>
  <cp:revision>2</cp:revision>
  <dcterms:created xsi:type="dcterms:W3CDTF">2017-08-02T13:30:00Z</dcterms:created>
  <dcterms:modified xsi:type="dcterms:W3CDTF">2017-08-02T13:30:00Z</dcterms:modified>
</cp:coreProperties>
</file>