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F" w:rsidRPr="005C7E5B" w:rsidRDefault="0072352F" w:rsidP="00AB1606">
      <w:pPr>
        <w:pStyle w:val="Caption"/>
        <w:rPr>
          <w:sz w:val="24"/>
          <w:szCs w:val="24"/>
        </w:rPr>
      </w:pPr>
      <w:bookmarkStart w:id="0" w:name="_Ref343166815"/>
      <w:bookmarkStart w:id="1" w:name="_Toc358788496"/>
      <w:bookmarkStart w:id="2" w:name="_Toc414701645"/>
      <w:proofErr w:type="gramStart"/>
      <w:r w:rsidRPr="005C7E5B">
        <w:rPr>
          <w:sz w:val="24"/>
          <w:szCs w:val="24"/>
          <w:lang w:val="en-US"/>
        </w:rPr>
        <w:t>Supplementary Table</w:t>
      </w:r>
      <w:bookmarkEnd w:id="0"/>
      <w:r w:rsidRPr="005C7E5B">
        <w:rPr>
          <w:sz w:val="24"/>
          <w:szCs w:val="24"/>
          <w:lang w:val="en-US"/>
        </w:rPr>
        <w:t xml:space="preserve"> 3.</w:t>
      </w:r>
      <w:proofErr w:type="gramEnd"/>
      <w:r w:rsidRPr="005C7E5B">
        <w:rPr>
          <w:sz w:val="24"/>
          <w:szCs w:val="24"/>
          <w:lang w:val="en-US"/>
        </w:rPr>
        <w:t xml:space="preserve"> Major protocol deviations and patients excluded from the per-protocol </w:t>
      </w:r>
      <w:bookmarkEnd w:id="1"/>
      <w:bookmarkEnd w:id="2"/>
      <w:r w:rsidRPr="005C7E5B">
        <w:rPr>
          <w:sz w:val="24"/>
          <w:szCs w:val="24"/>
          <w:lang w:val="en-US"/>
        </w:rPr>
        <w:t>population.</w:t>
      </w:r>
    </w:p>
    <w:tbl>
      <w:tblPr>
        <w:tblW w:w="5000" w:type="pct"/>
        <w:jc w:val="center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666"/>
        <w:gridCol w:w="1316"/>
        <w:gridCol w:w="1441"/>
        <w:gridCol w:w="1262"/>
        <w:gridCol w:w="1249"/>
      </w:tblGrid>
      <w:tr w:rsidR="0072352F" w:rsidRPr="005C7E5B" w:rsidTr="00E61F37">
        <w:trPr>
          <w:cantSplit/>
          <w:trHeight w:val="576"/>
          <w:tblHeader/>
          <w:jc w:val="center"/>
        </w:trPr>
        <w:tc>
          <w:tcPr>
            <w:tcW w:w="2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52F" w:rsidRPr="005C7E5B" w:rsidRDefault="0072352F" w:rsidP="00E61F37">
            <w:pPr>
              <w:keepNext/>
              <w:keepLines/>
              <w:adjustRightInd w:val="0"/>
              <w:spacing w:before="40" w:line="240" w:lineRule="auto"/>
              <w:jc w:val="center"/>
              <w:rPr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52F" w:rsidRPr="005C7E5B" w:rsidRDefault="0072352F" w:rsidP="00E61F37">
            <w:pPr>
              <w:keepNext/>
              <w:keepLines/>
              <w:adjustRightInd w:val="0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5C7E5B">
              <w:rPr>
                <w:b/>
                <w:color w:val="000000"/>
                <w:szCs w:val="24"/>
              </w:rPr>
              <w:t>Xenon</w:t>
            </w:r>
            <w:r w:rsidRPr="005C7E5B">
              <w:rPr>
                <w:b/>
                <w:color w:val="000000"/>
                <w:szCs w:val="24"/>
              </w:rPr>
              <w:br/>
              <w:t>(N=161)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52F" w:rsidRPr="005C7E5B" w:rsidRDefault="0072352F" w:rsidP="00E61F37">
            <w:pPr>
              <w:keepNext/>
              <w:keepLines/>
              <w:adjustRightInd w:val="0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5C7E5B">
              <w:rPr>
                <w:b/>
                <w:color w:val="000000"/>
                <w:szCs w:val="24"/>
              </w:rPr>
              <w:t>Sevoflurane</w:t>
            </w:r>
            <w:r w:rsidRPr="005C7E5B">
              <w:rPr>
                <w:b/>
                <w:color w:val="000000"/>
                <w:szCs w:val="24"/>
              </w:rPr>
              <w:br/>
              <w:t>(N=165)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52F" w:rsidRPr="005C7E5B" w:rsidRDefault="0072352F" w:rsidP="00E61F37">
            <w:pPr>
              <w:keepNext/>
              <w:keepLines/>
              <w:adjustRightInd w:val="0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5C7E5B">
              <w:rPr>
                <w:b/>
                <w:color w:val="000000"/>
                <w:szCs w:val="24"/>
              </w:rPr>
              <w:t>TIVA</w:t>
            </w:r>
            <w:r w:rsidRPr="005C7E5B">
              <w:rPr>
                <w:b/>
                <w:color w:val="000000"/>
                <w:szCs w:val="24"/>
              </w:rPr>
              <w:br/>
              <w:t>(N=166)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52F" w:rsidRPr="005C7E5B" w:rsidRDefault="0072352F" w:rsidP="00E61F37">
            <w:pPr>
              <w:keepNext/>
              <w:keepLines/>
              <w:adjustRightInd w:val="0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5C7E5B">
              <w:rPr>
                <w:b/>
                <w:color w:val="000000"/>
                <w:szCs w:val="24"/>
              </w:rPr>
              <w:t>Total</w:t>
            </w:r>
            <w:r w:rsidRPr="005C7E5B">
              <w:rPr>
                <w:b/>
                <w:color w:val="000000"/>
                <w:szCs w:val="24"/>
              </w:rPr>
              <w:br/>
              <w:t>(N=492)</w:t>
            </w:r>
          </w:p>
        </w:tc>
      </w:tr>
      <w:tr w:rsidR="000C5C95" w:rsidRPr="000C5C95" w:rsidTr="00E61F37">
        <w:trPr>
          <w:cantSplit/>
          <w:trHeight w:val="228"/>
          <w:jc w:val="center"/>
        </w:trPr>
        <w:tc>
          <w:tcPr>
            <w:tcW w:w="2591" w:type="pct"/>
            <w:tcBorders>
              <w:top w:val="single" w:sz="4" w:space="0" w:color="auto"/>
            </w:tcBorders>
            <w:shd w:val="clear" w:color="auto" w:fill="FFFFFF"/>
          </w:tcPr>
          <w:p w:rsidR="0072352F" w:rsidRPr="000C5C95" w:rsidRDefault="0072352F" w:rsidP="00884BC1">
            <w:pPr>
              <w:keepNext/>
              <w:keepLines/>
              <w:adjustRightInd w:val="0"/>
              <w:spacing w:before="40" w:after="40" w:line="240" w:lineRule="auto"/>
              <w:rPr>
                <w:szCs w:val="24"/>
              </w:rPr>
            </w:pPr>
            <w:r w:rsidRPr="000C5C95">
              <w:rPr>
                <w:szCs w:val="24"/>
              </w:rPr>
              <w:t>At least 1 major deviation</w:t>
            </w:r>
            <w:r w:rsidR="005C7E5B" w:rsidRPr="000C5C95">
              <w:rPr>
                <w:szCs w:val="24"/>
              </w:rPr>
              <w:t>, n</w:t>
            </w:r>
            <w:r w:rsidRPr="000C5C95">
              <w:rPr>
                <w:szCs w:val="24"/>
              </w:rPr>
              <w:t xml:space="preserve"> (% of ITT Population)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/>
          </w:tcPr>
          <w:p w:rsidR="0072352F" w:rsidRPr="000C5C95" w:rsidRDefault="005C7E5B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15 (9</w:t>
            </w:r>
            <w:r w:rsidR="0072352F" w:rsidRPr="000C5C95">
              <w:rPr>
                <w:szCs w:val="24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14 (9)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17 (10)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46 (9)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Last cardiac troponin (either I or T) or CK-MB concentration measured before randomization was above that for diagnosis of myocardial infarction type 1</w:t>
            </w:r>
            <w:r w:rsidRPr="000C5C95">
              <w:rPr>
                <w:szCs w:val="24"/>
                <w:vertAlign w:val="superscript"/>
              </w:rPr>
              <w:t>a</w:t>
            </w:r>
            <w:r w:rsidRPr="000C5C95">
              <w:rPr>
                <w:szCs w:val="24"/>
              </w:rPr>
              <w:t>.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5C7E5B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</w:t>
            </w:r>
            <w:r w:rsidR="0072352F" w:rsidRPr="000C5C95">
              <w:rPr>
                <w:szCs w:val="24"/>
              </w:rPr>
              <w:t>)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4 (2)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6 (4)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12 (2)</w:t>
            </w:r>
          </w:p>
        </w:tc>
      </w:tr>
      <w:tr w:rsidR="000C5C95" w:rsidRPr="000C5C95" w:rsidTr="00E61F37">
        <w:trPr>
          <w:cantSplit/>
          <w:trHeight w:val="17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Ketamine administered between Visit 2 and Visit 11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5C7E5B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</w:t>
            </w:r>
            <w:r w:rsidR="0072352F" w:rsidRPr="000C5C95">
              <w:rPr>
                <w:szCs w:val="24"/>
              </w:rPr>
              <w:t>)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3 (2)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4 (2)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9 (2)</w:t>
            </w:r>
          </w:p>
        </w:tc>
      </w:tr>
      <w:tr w:rsidR="000C5C95" w:rsidRPr="000C5C95" w:rsidTr="00E61F37">
        <w:trPr>
          <w:cantSplit/>
          <w:trHeight w:val="503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Surgery was different from an elective isolated coronary artery bypass graft surgery with CPB and cardiac arrest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3 (2)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6 (1)</w:t>
            </w:r>
          </w:p>
        </w:tc>
      </w:tr>
      <w:tr w:rsidR="000C5C95" w:rsidRPr="000C5C95" w:rsidTr="00E61F37">
        <w:trPr>
          <w:cantSplit/>
          <w:trHeight w:val="245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Clonidine administered between Visit 2 and Visit 8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5C7E5B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</w:t>
            </w:r>
            <w:r w:rsidR="0072352F" w:rsidRPr="000C5C95">
              <w:rPr>
                <w:szCs w:val="24"/>
              </w:rPr>
              <w:t>)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(1)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6 (1)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Sevoflurane administered between Visit 2 and Visit 11 for xenon or TIVA patients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4 (3)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5 (1)</w:t>
            </w:r>
          </w:p>
        </w:tc>
      </w:tr>
      <w:tr w:rsidR="000C5C95" w:rsidRPr="000C5C95" w:rsidTr="00E61F37">
        <w:trPr>
          <w:cantSplit/>
          <w:trHeight w:val="285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Randomization was performed before intubation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(1)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3 (1)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 xml:space="preserve">Study treatment was not re-administered during post-bypass 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5C7E5B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(1</w:t>
            </w:r>
            <w:r w:rsidR="0072352F" w:rsidRPr="000C5C95">
              <w:rPr>
                <w:szCs w:val="24"/>
              </w:rPr>
              <w:t>)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2 (0)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proofErr w:type="spellStart"/>
            <w:r w:rsidRPr="000C5C95">
              <w:rPr>
                <w:szCs w:val="24"/>
              </w:rPr>
              <w:t>Nicorandil</w:t>
            </w:r>
            <w:proofErr w:type="spellEnd"/>
            <w:r w:rsidRPr="000C5C95">
              <w:rPr>
                <w:szCs w:val="24"/>
              </w:rPr>
              <w:t xml:space="preserve"> administered on the day of surgical procedure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(0)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 xml:space="preserve">No cardiac troponin I concentration reported between 12 and 48 hours after the end of surgery 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(0)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Patient who had participated in a drug or device trial within 30 days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(0)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Sevoflurane or xenon administered the day of the surgery before the time of randomization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(0)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Sulfonylurea medication administered the day of the surgical procedure</w:t>
            </w:r>
          </w:p>
        </w:tc>
        <w:tc>
          <w:tcPr>
            <w:tcW w:w="602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659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7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1" w:type="pct"/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(0)</w:t>
            </w:r>
          </w:p>
        </w:tc>
      </w:tr>
      <w:tr w:rsidR="000C5C95" w:rsidRPr="000C5C95" w:rsidTr="00E61F37">
        <w:trPr>
          <w:cantSplit/>
          <w:trHeight w:val="349"/>
          <w:jc w:val="center"/>
        </w:trPr>
        <w:tc>
          <w:tcPr>
            <w:tcW w:w="2591" w:type="pct"/>
            <w:tcBorders>
              <w:bottom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ind w:left="109"/>
              <w:rPr>
                <w:szCs w:val="24"/>
              </w:rPr>
            </w:pPr>
            <w:r w:rsidRPr="000C5C95">
              <w:rPr>
                <w:szCs w:val="24"/>
              </w:rPr>
              <w:t>Xenon administered between the day of Visit 2 and the date and time of Visit 11 for sevoflurane or TIVA patients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(1)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/>
          </w:tcPr>
          <w:p w:rsidR="0072352F" w:rsidRPr="000C5C95" w:rsidRDefault="0072352F" w:rsidP="00E61F37">
            <w:pPr>
              <w:keepNext/>
              <w:keepLines/>
              <w:adjustRightInd w:val="0"/>
              <w:spacing w:before="40" w:after="40" w:line="240" w:lineRule="auto"/>
              <w:jc w:val="center"/>
              <w:rPr>
                <w:szCs w:val="24"/>
              </w:rPr>
            </w:pPr>
            <w:r w:rsidRPr="000C5C95">
              <w:rPr>
                <w:szCs w:val="24"/>
              </w:rPr>
              <w:t>1 (0)</w:t>
            </w:r>
          </w:p>
        </w:tc>
      </w:tr>
    </w:tbl>
    <w:p w:rsidR="0072352F" w:rsidRPr="000C5C95" w:rsidRDefault="0072352F" w:rsidP="00AB1606">
      <w:pPr>
        <w:keepNext/>
        <w:keepLines/>
        <w:spacing w:after="0"/>
        <w:rPr>
          <w:szCs w:val="24"/>
        </w:rPr>
      </w:pPr>
      <w:proofErr w:type="spellStart"/>
      <w:proofErr w:type="gramStart"/>
      <w:r w:rsidRPr="000C5C95">
        <w:rPr>
          <w:szCs w:val="24"/>
          <w:vertAlign w:val="superscript"/>
        </w:rPr>
        <w:t>a</w:t>
      </w:r>
      <w:r w:rsidRPr="000C5C95">
        <w:rPr>
          <w:szCs w:val="24"/>
        </w:rPr>
        <w:t>The</w:t>
      </w:r>
      <w:proofErr w:type="spellEnd"/>
      <w:proofErr w:type="gramEnd"/>
      <w:r w:rsidRPr="000C5C95">
        <w:rPr>
          <w:szCs w:val="24"/>
        </w:rPr>
        <w:t xml:space="preserve"> deviation was considered major if the concentration of the cardiac necrosis marker before randomization was missing or more than 2 times above the center-defined decision limit for the diagnosis of myocardial infarction type 1.</w:t>
      </w:r>
    </w:p>
    <w:p w:rsidR="0072352F" w:rsidRPr="000C5C95" w:rsidRDefault="0072352F">
      <w:bookmarkStart w:id="3" w:name="_GoBack"/>
      <w:bookmarkEnd w:id="3"/>
    </w:p>
    <w:sectPr w:rsidR="0072352F" w:rsidRPr="000C5C95" w:rsidSect="00AB16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606"/>
    <w:rsid w:val="000C5C95"/>
    <w:rsid w:val="001E200D"/>
    <w:rsid w:val="002271B6"/>
    <w:rsid w:val="00247705"/>
    <w:rsid w:val="0025687A"/>
    <w:rsid w:val="00275283"/>
    <w:rsid w:val="002B2CAE"/>
    <w:rsid w:val="003E378B"/>
    <w:rsid w:val="0046582D"/>
    <w:rsid w:val="00465F47"/>
    <w:rsid w:val="00475359"/>
    <w:rsid w:val="005567DA"/>
    <w:rsid w:val="005C7E5B"/>
    <w:rsid w:val="005F4ECB"/>
    <w:rsid w:val="00601A00"/>
    <w:rsid w:val="0072352F"/>
    <w:rsid w:val="007D7A11"/>
    <w:rsid w:val="007E5070"/>
    <w:rsid w:val="00846F62"/>
    <w:rsid w:val="00884BC1"/>
    <w:rsid w:val="00951B1A"/>
    <w:rsid w:val="00972E8D"/>
    <w:rsid w:val="00983E56"/>
    <w:rsid w:val="00995BC2"/>
    <w:rsid w:val="00A14B7A"/>
    <w:rsid w:val="00A520C7"/>
    <w:rsid w:val="00A52561"/>
    <w:rsid w:val="00A7172A"/>
    <w:rsid w:val="00AB1606"/>
    <w:rsid w:val="00C05ED0"/>
    <w:rsid w:val="00C51E3D"/>
    <w:rsid w:val="00CB3D0F"/>
    <w:rsid w:val="00CF1031"/>
    <w:rsid w:val="00CF2FDB"/>
    <w:rsid w:val="00D43D68"/>
    <w:rsid w:val="00D73671"/>
    <w:rsid w:val="00D907AF"/>
    <w:rsid w:val="00D938B1"/>
    <w:rsid w:val="00E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06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wcp_Caption,Légende_Legend"/>
    <w:basedOn w:val="Normal"/>
    <w:next w:val="Normal"/>
    <w:link w:val="CaptionChar"/>
    <w:uiPriority w:val="99"/>
    <w:qFormat/>
    <w:rsid w:val="00AB1606"/>
    <w:pPr>
      <w:suppressAutoHyphens/>
      <w:spacing w:before="120" w:after="120" w:line="320" w:lineRule="exact"/>
    </w:pPr>
    <w:rPr>
      <w:b/>
      <w:sz w:val="20"/>
      <w:szCs w:val="20"/>
      <w:lang w:val="nl-NL" w:eastAsia="nl-NL"/>
    </w:rPr>
  </w:style>
  <w:style w:type="character" w:customStyle="1" w:styleId="CaptionChar">
    <w:name w:val="Caption Char"/>
    <w:aliases w:val="wcp_Caption Char,Légende_Legend Char"/>
    <w:link w:val="Caption"/>
    <w:uiPriority w:val="99"/>
    <w:locked/>
    <w:rsid w:val="00AB1606"/>
    <w:rPr>
      <w:rFonts w:ascii="Times New Roman" w:hAnsi="Times New Roman"/>
      <w:b/>
      <w:sz w:val="20"/>
    </w:rPr>
  </w:style>
  <w:style w:type="character" w:styleId="CommentReference">
    <w:name w:val="annotation reference"/>
    <w:uiPriority w:val="99"/>
    <w:semiHidden/>
    <w:rsid w:val="00884B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4BC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B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84BC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3</vt:lpstr>
    </vt:vector>
  </TitlesOfParts>
  <Company>Air Liquide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3</dc:title>
  <dc:creator>Kurt Liittschwager</dc:creator>
  <cp:lastModifiedBy>Kurt Liittschwager</cp:lastModifiedBy>
  <cp:revision>3</cp:revision>
  <dcterms:created xsi:type="dcterms:W3CDTF">2017-02-15T16:42:00Z</dcterms:created>
  <dcterms:modified xsi:type="dcterms:W3CDTF">2017-02-16T14:41:00Z</dcterms:modified>
</cp:coreProperties>
</file>