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F0" w:rsidRPr="00E137CE" w:rsidRDefault="003001F0" w:rsidP="000E31D5">
      <w:pPr>
        <w:spacing w:line="480" w:lineRule="auto"/>
        <w:jc w:val="center"/>
        <w:rPr>
          <w:rFonts w:ascii="Times" w:hAnsi="Times" w:cs="Times"/>
          <w:b/>
          <w:bCs/>
          <w:color w:val="000000"/>
          <w:sz w:val="40"/>
          <w:szCs w:val="40"/>
        </w:rPr>
      </w:pPr>
      <w:r w:rsidRPr="00E137CE">
        <w:rPr>
          <w:rFonts w:ascii="Times" w:hAnsi="Times" w:cs="Times"/>
          <w:b/>
          <w:bCs/>
          <w:color w:val="000000"/>
          <w:sz w:val="40"/>
          <w:szCs w:val="40"/>
        </w:rPr>
        <w:t>Prevalence and prognosis impact of patient-ventilator asynchrony in early phase of weaning according to two detection methods</w:t>
      </w:r>
    </w:p>
    <w:p w:rsidR="003001F0" w:rsidRPr="00E137CE" w:rsidRDefault="003001F0" w:rsidP="004C7E39">
      <w:pPr>
        <w:spacing w:line="480" w:lineRule="auto"/>
        <w:rPr>
          <w:rFonts w:ascii="Times" w:hAnsi="Times" w:cs="Times"/>
          <w:b/>
          <w:bCs/>
          <w:color w:val="000000"/>
        </w:rPr>
      </w:pPr>
    </w:p>
    <w:p w:rsidR="003001F0" w:rsidRPr="00E137CE" w:rsidRDefault="003001F0" w:rsidP="004C7E39">
      <w:pPr>
        <w:shd w:val="clear" w:color="auto" w:fill="FFFFFF"/>
        <w:spacing w:line="480" w:lineRule="auto"/>
        <w:jc w:val="center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 xml:space="preserve">Camille Rolland-Debord, Come Bureau, Tymothee Poitou, </w:t>
      </w:r>
      <w:r w:rsidRPr="00E137CE">
        <w:rPr>
          <w:rFonts w:ascii="Times" w:hAnsi="Times" w:cs="Times"/>
          <w:color w:val="000000"/>
          <w:lang w:val="en-US"/>
        </w:rPr>
        <w:t xml:space="preserve">Lisa Belin, </w:t>
      </w:r>
      <w:r w:rsidRPr="00E137CE">
        <w:rPr>
          <w:rFonts w:ascii="Times" w:hAnsi="Times" w:cs="Times"/>
          <w:color w:val="000000"/>
        </w:rPr>
        <w:t>Marc Clavel, Sébastien Perbet, Nicolas Terzi, Achille Kouatchet, Thomas Similowski,</w:t>
      </w:r>
      <w:r w:rsidRPr="00E137CE">
        <w:rPr>
          <w:rFonts w:ascii="Times" w:hAnsi="Times" w:cs="Times"/>
          <w:color w:val="000000"/>
          <w:vertAlign w:val="superscript"/>
        </w:rPr>
        <w:t xml:space="preserve"> </w:t>
      </w:r>
      <w:r w:rsidRPr="00E137CE">
        <w:rPr>
          <w:rFonts w:ascii="Times" w:hAnsi="Times" w:cs="Times"/>
          <w:color w:val="000000"/>
        </w:rPr>
        <w:t>Alexandre Demoule</w:t>
      </w:r>
    </w:p>
    <w:p w:rsidR="003001F0" w:rsidRPr="00E137CE" w:rsidRDefault="003001F0" w:rsidP="008B4E04">
      <w:pPr>
        <w:widowControl w:val="0"/>
        <w:jc w:val="both"/>
        <w:rPr>
          <w:rFonts w:ascii="Times" w:hAnsi="Times" w:cs="Times"/>
          <w:b/>
          <w:bCs/>
          <w:color w:val="000000"/>
        </w:rPr>
      </w:pPr>
    </w:p>
    <w:p w:rsidR="003001F0" w:rsidRPr="00E137CE" w:rsidRDefault="003001F0" w:rsidP="008B4E04">
      <w:pPr>
        <w:widowControl w:val="0"/>
        <w:jc w:val="both"/>
        <w:rPr>
          <w:rFonts w:ascii="Times" w:hAnsi="Times" w:cs="Times"/>
          <w:b/>
          <w:bCs/>
          <w:color w:val="000000"/>
        </w:rPr>
      </w:pPr>
    </w:p>
    <w:p w:rsidR="003001F0" w:rsidRPr="00E137CE" w:rsidRDefault="003001F0" w:rsidP="004C7E39">
      <w:pPr>
        <w:pStyle w:val="Sansinterligne"/>
        <w:tabs>
          <w:tab w:val="left" w:pos="5670"/>
          <w:tab w:val="left" w:pos="5812"/>
        </w:tabs>
        <w:ind w:right="-6"/>
        <w:jc w:val="both"/>
        <w:rPr>
          <w:b/>
          <w:bCs/>
          <w:color w:val="000000"/>
        </w:rPr>
      </w:pPr>
    </w:p>
    <w:p w:rsidR="003001F0" w:rsidRPr="00E137CE" w:rsidRDefault="003001F0" w:rsidP="004C7E39">
      <w:pPr>
        <w:pStyle w:val="Sansinterligne"/>
        <w:tabs>
          <w:tab w:val="left" w:pos="5670"/>
          <w:tab w:val="left" w:pos="5812"/>
        </w:tabs>
        <w:ind w:right="-6"/>
        <w:jc w:val="center"/>
        <w:rPr>
          <w:b/>
          <w:bCs/>
          <w:color w:val="000000"/>
          <w:sz w:val="40"/>
          <w:szCs w:val="40"/>
          <w:u w:val="single"/>
          <w:lang w:val="fr-FR"/>
        </w:rPr>
      </w:pPr>
      <w:r w:rsidRPr="00E137CE">
        <w:rPr>
          <w:b/>
          <w:bCs/>
          <w:color w:val="000000"/>
          <w:sz w:val="40"/>
          <w:szCs w:val="40"/>
          <w:u w:val="single"/>
          <w:lang w:val="fr-FR"/>
        </w:rPr>
        <w:t>Supplemental Digital Content</w:t>
      </w:r>
    </w:p>
    <w:p w:rsidR="003001F0" w:rsidRPr="00E137CE" w:rsidRDefault="003001F0" w:rsidP="004C7E39">
      <w:pPr>
        <w:pStyle w:val="Sansinterligne"/>
        <w:tabs>
          <w:tab w:val="left" w:pos="5670"/>
          <w:tab w:val="left" w:pos="5812"/>
        </w:tabs>
        <w:ind w:right="-6"/>
        <w:jc w:val="center"/>
        <w:rPr>
          <w:b/>
          <w:bCs/>
          <w:color w:val="000000"/>
          <w:u w:val="single"/>
          <w:lang w:val="fr-FR"/>
        </w:rPr>
      </w:pPr>
    </w:p>
    <w:p w:rsidR="003001F0" w:rsidRPr="00E137CE" w:rsidRDefault="003001F0" w:rsidP="007F08DE">
      <w:pPr>
        <w:pStyle w:val="Sansinterligne"/>
        <w:tabs>
          <w:tab w:val="left" w:pos="5670"/>
          <w:tab w:val="left" w:pos="5812"/>
        </w:tabs>
        <w:ind w:right="-6"/>
        <w:rPr>
          <w:b/>
          <w:bCs/>
          <w:color w:val="000000"/>
          <w:u w:val="single"/>
          <w:lang w:val="fr-FR"/>
        </w:rPr>
      </w:pPr>
    </w:p>
    <w:p w:rsidR="003001F0" w:rsidRPr="00E137CE" w:rsidRDefault="003001F0" w:rsidP="004C7E39">
      <w:pPr>
        <w:pStyle w:val="Sansinterligne"/>
        <w:tabs>
          <w:tab w:val="left" w:pos="5670"/>
          <w:tab w:val="left" w:pos="5812"/>
        </w:tabs>
        <w:ind w:right="-6"/>
        <w:jc w:val="center"/>
        <w:rPr>
          <w:b/>
          <w:bCs/>
          <w:color w:val="000000"/>
          <w:u w:val="single"/>
          <w:lang w:val="fr-FR"/>
        </w:rPr>
      </w:pPr>
    </w:p>
    <w:p w:rsidR="003001F0" w:rsidRPr="00E137CE" w:rsidRDefault="003001F0" w:rsidP="004C7E39">
      <w:pPr>
        <w:pStyle w:val="Sansinterligne"/>
        <w:tabs>
          <w:tab w:val="left" w:pos="5670"/>
          <w:tab w:val="left" w:pos="5812"/>
        </w:tabs>
        <w:ind w:right="-6"/>
        <w:jc w:val="center"/>
        <w:rPr>
          <w:b/>
          <w:bCs/>
          <w:color w:val="000000"/>
          <w:u w:val="single"/>
          <w:lang w:val="fr-FR"/>
        </w:rPr>
      </w:pPr>
    </w:p>
    <w:p w:rsidR="003001F0" w:rsidRPr="00E137CE" w:rsidRDefault="003001F0" w:rsidP="004C7E39">
      <w:pPr>
        <w:pStyle w:val="Sansinterligne"/>
        <w:tabs>
          <w:tab w:val="left" w:pos="5670"/>
          <w:tab w:val="left" w:pos="5812"/>
        </w:tabs>
        <w:spacing w:line="480" w:lineRule="auto"/>
        <w:ind w:right="-6"/>
        <w:rPr>
          <w:b/>
          <w:bCs/>
          <w:color w:val="000000"/>
          <w:u w:val="single"/>
          <w:lang w:val="fr-FR"/>
        </w:rPr>
      </w:pPr>
      <w:r w:rsidRPr="00E137CE">
        <w:rPr>
          <w:b/>
          <w:bCs/>
          <w:color w:val="000000"/>
          <w:u w:val="single"/>
          <w:lang w:val="fr-FR"/>
        </w:rPr>
        <w:t>Supplemental Digital Content – Tables</w:t>
      </w:r>
    </w:p>
    <w:p w:rsidR="003001F0" w:rsidRPr="00E137CE" w:rsidRDefault="003001F0" w:rsidP="0034734D">
      <w:pPr>
        <w:widowControl w:val="0"/>
        <w:spacing w:line="360" w:lineRule="auto"/>
        <w:jc w:val="both"/>
        <w:rPr>
          <w:rFonts w:ascii="Times" w:hAnsi="Times" w:cs="Times"/>
          <w:b/>
          <w:bCs/>
          <w:color w:val="000000"/>
        </w:rPr>
      </w:pPr>
      <w:r w:rsidRPr="00E137CE">
        <w:rPr>
          <w:b/>
          <w:bCs/>
          <w:color w:val="000000"/>
          <w:lang w:val="en-US"/>
        </w:rPr>
        <w:t xml:space="preserve">Table SDC1: </w:t>
      </w:r>
      <w:r w:rsidRPr="00E137CE">
        <w:rPr>
          <w:rFonts w:ascii="Times" w:hAnsi="Times" w:cs="Times"/>
          <w:b/>
          <w:bCs/>
          <w:color w:val="000000"/>
        </w:rPr>
        <w:t>Impact on major outcome variables on severe asynchrony using the flow-and-pressure method</w:t>
      </w:r>
    </w:p>
    <w:p w:rsidR="003001F0" w:rsidRPr="00E137CE" w:rsidRDefault="003001F0" w:rsidP="0034734D">
      <w:pPr>
        <w:widowControl w:val="0"/>
        <w:spacing w:line="360" w:lineRule="auto"/>
        <w:jc w:val="both"/>
        <w:rPr>
          <w:rFonts w:ascii="Times" w:hAnsi="Times" w:cs="Times"/>
          <w:b/>
          <w:bCs/>
          <w:color w:val="000000"/>
        </w:rPr>
      </w:pPr>
    </w:p>
    <w:p w:rsidR="003001F0" w:rsidRPr="00E137CE" w:rsidRDefault="003001F0" w:rsidP="0034734D">
      <w:pPr>
        <w:pStyle w:val="Sansinterligne"/>
        <w:tabs>
          <w:tab w:val="left" w:pos="5670"/>
          <w:tab w:val="left" w:pos="5812"/>
        </w:tabs>
        <w:spacing w:line="360" w:lineRule="auto"/>
        <w:ind w:right="-6"/>
        <w:jc w:val="both"/>
        <w:rPr>
          <w:rFonts w:ascii="Times" w:hAnsi="Times" w:cs="Times"/>
          <w:b/>
          <w:bCs/>
          <w:color w:val="000000"/>
        </w:rPr>
      </w:pPr>
      <w:r w:rsidRPr="00E137CE">
        <w:rPr>
          <w:b/>
          <w:bCs/>
          <w:color w:val="000000"/>
          <w:lang w:val="en-US"/>
        </w:rPr>
        <w:t>Table SDC2:</w:t>
      </w:r>
      <w:r w:rsidRPr="00E137CE">
        <w:rPr>
          <w:color w:val="000000"/>
          <w:lang w:val="en-US"/>
        </w:rPr>
        <w:t xml:space="preserve"> </w:t>
      </w:r>
      <w:r w:rsidRPr="00E137CE">
        <w:rPr>
          <w:rFonts w:ascii="Times" w:hAnsi="Times" w:cs="Times"/>
          <w:b/>
          <w:bCs/>
          <w:color w:val="000000"/>
        </w:rPr>
        <w:t>Specific association between ineffective triggering and the outcome using the EAdi based method</w:t>
      </w:r>
    </w:p>
    <w:p w:rsidR="003001F0" w:rsidRPr="00E137CE" w:rsidRDefault="003001F0" w:rsidP="0034734D">
      <w:pPr>
        <w:pStyle w:val="Sansinterligne"/>
        <w:tabs>
          <w:tab w:val="left" w:pos="5670"/>
          <w:tab w:val="left" w:pos="5812"/>
        </w:tabs>
        <w:spacing w:line="360" w:lineRule="auto"/>
        <w:ind w:right="-6"/>
        <w:jc w:val="both"/>
        <w:rPr>
          <w:color w:val="000000"/>
          <w:lang w:val="en-US"/>
        </w:rPr>
      </w:pPr>
    </w:p>
    <w:p w:rsidR="003001F0" w:rsidRPr="00E137CE" w:rsidRDefault="003001F0" w:rsidP="0034734D">
      <w:pPr>
        <w:pStyle w:val="Sansinterligne"/>
        <w:tabs>
          <w:tab w:val="left" w:pos="5670"/>
          <w:tab w:val="left" w:pos="5812"/>
        </w:tabs>
        <w:spacing w:line="360" w:lineRule="auto"/>
        <w:ind w:right="-6"/>
        <w:jc w:val="both"/>
        <w:rPr>
          <w:rFonts w:ascii="Times" w:hAnsi="Times" w:cs="Times"/>
          <w:b/>
          <w:bCs/>
          <w:color w:val="000000"/>
        </w:rPr>
      </w:pPr>
      <w:r w:rsidRPr="00E137CE">
        <w:rPr>
          <w:b/>
          <w:bCs/>
          <w:color w:val="000000"/>
          <w:lang w:val="en-US"/>
        </w:rPr>
        <w:t xml:space="preserve">Table SDC3. </w:t>
      </w:r>
      <w:r w:rsidRPr="00E137CE">
        <w:rPr>
          <w:rFonts w:ascii="Times" w:hAnsi="Times" w:cs="Times"/>
          <w:b/>
          <w:bCs/>
          <w:color w:val="000000"/>
        </w:rPr>
        <w:t>Specific association between ineffective triggering and the outcome using the flow-and-pressure method</w:t>
      </w:r>
    </w:p>
    <w:p w:rsidR="003001F0" w:rsidRPr="00E137CE" w:rsidRDefault="003001F0" w:rsidP="0034734D">
      <w:pPr>
        <w:pStyle w:val="Sansinterligne"/>
        <w:tabs>
          <w:tab w:val="left" w:pos="5670"/>
          <w:tab w:val="left" w:pos="5812"/>
        </w:tabs>
        <w:spacing w:line="360" w:lineRule="auto"/>
        <w:ind w:right="-6"/>
        <w:jc w:val="both"/>
        <w:rPr>
          <w:rFonts w:ascii="Times" w:hAnsi="Times" w:cs="Times"/>
          <w:b/>
          <w:bCs/>
          <w:color w:val="000000"/>
        </w:rPr>
      </w:pPr>
    </w:p>
    <w:p w:rsidR="003001F0" w:rsidRPr="00E137CE" w:rsidRDefault="003001F0" w:rsidP="00021E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E137CE">
        <w:rPr>
          <w:rFonts w:ascii="Times" w:hAnsi="Times" w:cs="Times"/>
          <w:b/>
          <w:bCs/>
          <w:color w:val="000000"/>
        </w:rPr>
        <w:t xml:space="preserve">Table SDC 4. </w:t>
      </w:r>
      <w:r w:rsidRPr="00E137CE">
        <w:rPr>
          <w:rFonts w:ascii="Times" w:hAnsi="Times" w:cs="Times"/>
          <w:b/>
          <w:bCs/>
          <w:color w:val="000000"/>
          <w:lang w:val="en-US"/>
        </w:rPr>
        <w:t>Assessment of the agreement between the two methods to identify severe asynchrony defined as an asynchrony index (AI) ≥ 10%</w:t>
      </w:r>
    </w:p>
    <w:p w:rsidR="003001F0" w:rsidRPr="00E137CE" w:rsidRDefault="003001F0" w:rsidP="0034734D">
      <w:pPr>
        <w:pStyle w:val="Sansinterligne"/>
        <w:tabs>
          <w:tab w:val="left" w:pos="5670"/>
          <w:tab w:val="left" w:pos="5812"/>
        </w:tabs>
        <w:spacing w:line="360" w:lineRule="auto"/>
        <w:ind w:right="-6"/>
        <w:jc w:val="both"/>
        <w:rPr>
          <w:rFonts w:ascii="Times" w:hAnsi="Times" w:cs="Times"/>
          <w:b/>
          <w:bCs/>
          <w:color w:val="000000"/>
        </w:rPr>
      </w:pPr>
    </w:p>
    <w:p w:rsidR="003001F0" w:rsidRPr="00E137CE" w:rsidRDefault="003001F0" w:rsidP="0034734D">
      <w:pPr>
        <w:pStyle w:val="Sansinterligne"/>
        <w:tabs>
          <w:tab w:val="left" w:pos="5670"/>
          <w:tab w:val="left" w:pos="5812"/>
        </w:tabs>
        <w:spacing w:line="360" w:lineRule="auto"/>
        <w:ind w:right="-6"/>
        <w:jc w:val="both"/>
        <w:rPr>
          <w:color w:val="000000"/>
          <w:lang w:val="en-US"/>
        </w:rPr>
      </w:pPr>
      <w:r w:rsidRPr="00E137CE">
        <w:rPr>
          <w:rFonts w:ascii="Times" w:hAnsi="Times" w:cs="Times"/>
          <w:b/>
          <w:bCs/>
          <w:color w:val="000000"/>
        </w:rPr>
        <w:t xml:space="preserve">Table SDC 5. </w:t>
      </w:r>
      <w:r w:rsidRPr="00E137CE">
        <w:rPr>
          <w:rFonts w:ascii="Times" w:hAnsi="Times" w:cs="Times"/>
          <w:b/>
          <w:bCs/>
          <w:color w:val="000000"/>
          <w:lang w:val="en-US"/>
        </w:rPr>
        <w:t xml:space="preserve">Prevalence of asynchrony among the four 20 minutes recording periods </w:t>
      </w:r>
      <w:r w:rsidRPr="00E137CE">
        <w:rPr>
          <w:rFonts w:ascii="Times" w:hAnsi="Times" w:cs="Times"/>
          <w:b/>
          <w:bCs/>
          <w:color w:val="000000"/>
        </w:rPr>
        <w:t>using the EAdi based method</w:t>
      </w:r>
    </w:p>
    <w:p w:rsidR="003001F0" w:rsidRPr="00E137CE" w:rsidRDefault="003001F0" w:rsidP="008B4E04">
      <w:pPr>
        <w:widowControl w:val="0"/>
        <w:jc w:val="both"/>
        <w:rPr>
          <w:rFonts w:ascii="Times" w:hAnsi="Times" w:cs="Times"/>
          <w:b/>
          <w:bCs/>
          <w:color w:val="000000"/>
          <w:lang w:val="en-US"/>
        </w:rPr>
        <w:sectPr w:rsidR="003001F0" w:rsidRPr="00E137CE" w:rsidSect="004C7E39">
          <w:footerReference w:type="default" r:id="rId7"/>
          <w:pgSz w:w="11904" w:h="16834"/>
          <w:pgMar w:top="1418" w:right="2835" w:bottom="1418" w:left="1418" w:header="708" w:footer="708" w:gutter="0"/>
          <w:cols w:space="708"/>
          <w:docGrid w:linePitch="360"/>
        </w:sectPr>
      </w:pPr>
    </w:p>
    <w:p w:rsidR="003001F0" w:rsidRPr="00E137CE" w:rsidRDefault="003001F0" w:rsidP="008B4E04">
      <w:pPr>
        <w:widowControl w:val="0"/>
        <w:jc w:val="both"/>
        <w:rPr>
          <w:rFonts w:ascii="Times" w:hAnsi="Times" w:cs="Times"/>
          <w:b/>
          <w:bCs/>
          <w:color w:val="000000"/>
        </w:rPr>
      </w:pPr>
      <w:r w:rsidRPr="00E137CE">
        <w:rPr>
          <w:rFonts w:ascii="Times" w:hAnsi="Times" w:cs="Times"/>
          <w:b/>
          <w:bCs/>
          <w:color w:val="000000"/>
        </w:rPr>
        <w:lastRenderedPageBreak/>
        <w:t>Table SDC 1.</w:t>
      </w:r>
      <w:r w:rsidRPr="00E137CE">
        <w:rPr>
          <w:rFonts w:ascii="Times" w:hAnsi="Times" w:cs="Times"/>
          <w:color w:val="000000"/>
        </w:rPr>
        <w:t xml:space="preserve"> </w:t>
      </w:r>
      <w:r w:rsidRPr="00E137CE">
        <w:rPr>
          <w:rFonts w:ascii="Times" w:hAnsi="Times" w:cs="Times"/>
          <w:b/>
          <w:bCs/>
          <w:color w:val="000000"/>
        </w:rPr>
        <w:t>Impact on major outcome variables on severe asynchrony using the flow-and-pressure method</w:t>
      </w:r>
    </w:p>
    <w:p w:rsidR="003001F0" w:rsidRPr="00E137CE" w:rsidRDefault="003001F0" w:rsidP="008B4E04">
      <w:pPr>
        <w:rPr>
          <w:rFonts w:cs="Times New Roman"/>
          <w:color w:val="000000"/>
        </w:rPr>
      </w:pPr>
    </w:p>
    <w:tbl>
      <w:tblPr>
        <w:tblW w:w="128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621"/>
        <w:gridCol w:w="1276"/>
        <w:gridCol w:w="1276"/>
        <w:gridCol w:w="850"/>
        <w:gridCol w:w="1843"/>
      </w:tblGrid>
      <w:tr w:rsidR="003001F0" w:rsidRPr="00E137CE">
        <w:trPr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AI &lt; 10%</w:t>
            </w:r>
          </w:p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(n=96)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AI ≥ 10%</w:t>
            </w:r>
          </w:p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(n=7)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95%CI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Duration of invasive MV, days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12 (8-20)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8 (7-18)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0.39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4 (-6.14-14.14)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Duration of MV*, days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15 (10-23)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8 (8-22)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0.28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7 (-2.97-16.97)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invasive MV from randomization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5 (3-10)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3 (3-14)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0.47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 (-3.46 – 7.46)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MV from randomization*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9 (5-14)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5 (3-15)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0.25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4 (-2.24-10.24)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Invasive ventilator-free days, day 7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 (0-4)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4 (0-4)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0.36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-2 (-4.53-0.53)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Ventilator-free days*, day 7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 (0-3)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 (1-5)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0.09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-2 (-4.09-0.09)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Invasive ventilator-free days, day 14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9 (2-11)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11 (0-11)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0.51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-2 (-7.07- 3.07)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Ventilator-free days*, day 14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5 (0-10)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9 (1-12)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0.24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-4 (-9.26-1.26)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Invasive ventilator-free days, day 28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22 (3-25)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25 (14-25)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0.24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-3 (-8.64-2.64)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Ventilator-free days*, day 28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19 (4-23)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23 (13-25)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0.11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-4 (-10.58-2.58)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ICU stay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19 (14-29)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10 (9-15)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0.02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9 (3.78-14.22)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hospital stay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32 (22-38)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25 (19-27)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ind w:left="-107" w:right="-108"/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0.29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ind w:left="-107" w:right="-108"/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7 (-4.44-18.44)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i/>
                <w:i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 xml:space="preserve">Death before ICU discharge, </w:t>
            </w:r>
            <w:r w:rsidRPr="00E137CE">
              <w:rPr>
                <w:rFonts w:ascii="Times" w:hAnsi="Times" w:cs="Times"/>
                <w:b/>
                <w:bCs/>
                <w:i/>
                <w:iCs/>
                <w:color w:val="000000"/>
              </w:rPr>
              <w:t>n (%)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17 (17.7)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 (0)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0.59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NA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 xml:space="preserve">Death in the first 28 days, </w:t>
            </w:r>
            <w:r w:rsidRPr="00E137CE">
              <w:rPr>
                <w:rFonts w:ascii="Times" w:hAnsi="Times" w:cs="Times"/>
                <w:b/>
                <w:bCs/>
                <w:i/>
                <w:iCs/>
                <w:color w:val="000000"/>
              </w:rPr>
              <w:t>n (%)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18 (18.7)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 (14.3)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0.99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NA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 xml:space="preserve">Use of post-extubation NIV, </w:t>
            </w:r>
            <w:r w:rsidRPr="00E137CE">
              <w:rPr>
                <w:rFonts w:ascii="Times" w:hAnsi="Times" w:cs="Times"/>
                <w:b/>
                <w:bCs/>
                <w:i/>
                <w:iCs/>
                <w:color w:val="000000"/>
              </w:rPr>
              <w:t>n (%)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51 (53)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4 (57)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0.88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NA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Days of post-extubation NIV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 (0-3)</w:t>
            </w:r>
          </w:p>
        </w:tc>
        <w:tc>
          <w:tcPr>
            <w:tcW w:w="127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 (0-3)</w:t>
            </w:r>
          </w:p>
        </w:tc>
        <w:tc>
          <w:tcPr>
            <w:tcW w:w="850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0.74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 (-1.88-1.88)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7621" w:type="dxa"/>
            <w:vAlign w:val="center"/>
          </w:tcPr>
          <w:p w:rsidR="003001F0" w:rsidRPr="00E137CE" w:rsidRDefault="003001F0" w:rsidP="009476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MS ??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eastAsia="MS ??" w:hAnsi="Times" w:cs="Times"/>
                <w:b/>
                <w:bCs/>
                <w:color w:val="000000"/>
                <w:lang w:val="en-US"/>
              </w:rPr>
              <w:t>Proportion of patients with successful partial ventilator support</w:t>
            </w:r>
            <w:r w:rsidRPr="00E137CE">
              <w:rPr>
                <w:rFonts w:ascii="Times" w:eastAsia="MS ??" w:hAnsi="Times" w:cs="Times"/>
                <w:b/>
                <w:bCs/>
                <w:color w:val="000000"/>
                <w:vertAlign w:val="superscript"/>
                <w:lang w:val="en-US"/>
              </w:rPr>
              <w:t>a</w:t>
            </w:r>
            <w:r w:rsidRPr="00E137CE">
              <w:rPr>
                <w:rFonts w:ascii="Times" w:eastAsia="MS ??" w:hAnsi="Times" w:cs="Times"/>
                <w:b/>
                <w:bCs/>
                <w:color w:val="000000"/>
                <w:lang w:val="en-US"/>
              </w:rPr>
              <w:t>, n (%)</w:t>
            </w:r>
          </w:p>
        </w:tc>
        <w:tc>
          <w:tcPr>
            <w:tcW w:w="1276" w:type="dxa"/>
          </w:tcPr>
          <w:p w:rsidR="003001F0" w:rsidRPr="00E137CE" w:rsidRDefault="003001F0" w:rsidP="00930D4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 New Roman" w:hAnsi="Times New Roman" w:cs="Times New Roman"/>
                <w:color w:val="000000"/>
                <w:lang w:val="en-US"/>
              </w:rPr>
              <w:t>61 (64)</w:t>
            </w:r>
          </w:p>
        </w:tc>
        <w:tc>
          <w:tcPr>
            <w:tcW w:w="1276" w:type="dxa"/>
          </w:tcPr>
          <w:p w:rsidR="003001F0" w:rsidRPr="00E137CE" w:rsidRDefault="003001F0" w:rsidP="00930D4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 New Roman" w:hAnsi="Times New Roman" w:cs="Times New Roman"/>
                <w:color w:val="000000"/>
                <w:lang w:val="en-US"/>
              </w:rPr>
              <w:t>3 (43)</w:t>
            </w:r>
          </w:p>
        </w:tc>
        <w:tc>
          <w:tcPr>
            <w:tcW w:w="850" w:type="dxa"/>
          </w:tcPr>
          <w:p w:rsidR="003001F0" w:rsidRPr="00E137CE" w:rsidRDefault="003001F0" w:rsidP="00930D4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 New Roman" w:hAnsi="Times New Roman" w:cs="Times New Roman"/>
                <w:color w:val="000000"/>
                <w:lang w:val="en-US"/>
              </w:rPr>
              <w:t>0.42</w:t>
            </w:r>
          </w:p>
        </w:tc>
        <w:tc>
          <w:tcPr>
            <w:tcW w:w="1843" w:type="dxa"/>
            <w:vAlign w:val="center"/>
          </w:tcPr>
          <w:p w:rsidR="003001F0" w:rsidRPr="00E137CE" w:rsidRDefault="003001F0" w:rsidP="00FC00E3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NA</w:t>
            </w:r>
          </w:p>
        </w:tc>
      </w:tr>
    </w:tbl>
    <w:p w:rsidR="003001F0" w:rsidRPr="00E137CE" w:rsidRDefault="003001F0" w:rsidP="001665C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 xml:space="preserve">MV, mechanical ventilation; ICU, intensive care unit. Continuous data are reported as median (interquartile range [IQR]) and categorical data as number of event (percentages). 95% CI, </w:t>
      </w:r>
      <w:r w:rsidRPr="00E137CE">
        <w:rPr>
          <w:rFonts w:ascii="Times" w:hAnsi="Times" w:cs="Times"/>
          <w:color w:val="000000"/>
          <w:lang w:val="en-US"/>
        </w:rPr>
        <w:t>Difference between median (Confidence interval for difference of medians 95%).</w:t>
      </w:r>
      <w:r w:rsidRPr="00E137CE">
        <w:rPr>
          <w:rFonts w:ascii="Times" w:hAnsi="Times" w:cs="Times"/>
          <w:color w:val="000000"/>
        </w:rPr>
        <w:t>* Including non-invasive ventilation. a, Proportion of patients with successful partial ventilator support who were therefore not switched at least once to assist-control ventilation during the first 48 h following inclusion.</w:t>
      </w:r>
    </w:p>
    <w:p w:rsidR="003001F0" w:rsidRPr="00E137CE" w:rsidRDefault="003001F0">
      <w:pPr>
        <w:rPr>
          <w:rFonts w:cs="Times New Roman"/>
          <w:color w:val="000000"/>
        </w:rPr>
      </w:pPr>
    </w:p>
    <w:p w:rsidR="003001F0" w:rsidRPr="00E137CE" w:rsidRDefault="003001F0">
      <w:pPr>
        <w:rPr>
          <w:rFonts w:cs="Times New Roman"/>
          <w:color w:val="000000"/>
        </w:rPr>
      </w:pPr>
    </w:p>
    <w:p w:rsidR="003001F0" w:rsidRPr="00E137CE" w:rsidRDefault="003001F0">
      <w:pPr>
        <w:rPr>
          <w:rFonts w:cs="Times New Roman"/>
          <w:color w:val="000000"/>
        </w:rPr>
      </w:pPr>
    </w:p>
    <w:p w:rsidR="003001F0" w:rsidRPr="00E137CE" w:rsidRDefault="003001F0" w:rsidP="004C7E39">
      <w:pPr>
        <w:widowControl w:val="0"/>
        <w:jc w:val="both"/>
        <w:rPr>
          <w:rFonts w:ascii="Times" w:hAnsi="Times" w:cs="Times"/>
          <w:b/>
          <w:bCs/>
          <w:color w:val="000000"/>
        </w:rPr>
      </w:pPr>
      <w:r w:rsidRPr="00E137CE">
        <w:rPr>
          <w:rFonts w:ascii="Times" w:hAnsi="Times" w:cs="Times"/>
          <w:b/>
          <w:bCs/>
          <w:color w:val="000000"/>
        </w:rPr>
        <w:t>Table SDC 2.</w:t>
      </w:r>
      <w:r w:rsidRPr="00E137CE">
        <w:rPr>
          <w:rFonts w:ascii="Times" w:hAnsi="Times" w:cs="Times"/>
          <w:color w:val="000000"/>
        </w:rPr>
        <w:t xml:space="preserve"> </w:t>
      </w:r>
      <w:r w:rsidRPr="00E137CE">
        <w:rPr>
          <w:rFonts w:ascii="Times" w:hAnsi="Times" w:cs="Times"/>
          <w:b/>
          <w:bCs/>
          <w:color w:val="000000"/>
        </w:rPr>
        <w:t>Specific association between ineffective triggering and the outcome using the EAdi-based method</w:t>
      </w:r>
    </w:p>
    <w:p w:rsidR="003001F0" w:rsidRPr="00E137CE" w:rsidRDefault="003001F0" w:rsidP="004C7E39">
      <w:pPr>
        <w:widowControl w:val="0"/>
        <w:jc w:val="both"/>
        <w:rPr>
          <w:rFonts w:ascii="Times" w:hAnsi="Times" w:cs="Times"/>
          <w:color w:val="000000"/>
        </w:rPr>
      </w:pPr>
    </w:p>
    <w:tbl>
      <w:tblPr>
        <w:tblW w:w="128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3543"/>
        <w:gridCol w:w="3686"/>
        <w:gridCol w:w="1134"/>
      </w:tblGrid>
      <w:tr w:rsidR="003001F0" w:rsidRPr="00E137CE">
        <w:trPr>
          <w:trHeight w:hRule="exact" w:val="6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910A28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 xml:space="preserve">Absence of ineffective triggering </w:t>
            </w: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(n=55)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 xml:space="preserve">Presence of ineffective triggering </w:t>
            </w:r>
          </w:p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(n=48)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b/>
                <w:bCs/>
                <w:color w:val="000000"/>
                <w:lang w:val="fr-FR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fr-FR"/>
              </w:rPr>
              <w:t>p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Duration of invasive MV, days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12 (8-21)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11 (7-20)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0.49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Duration of MV*, days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13 (8-24)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15 (10-22)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0.95</w:t>
            </w:r>
          </w:p>
          <w:p w:rsidR="003001F0" w:rsidRPr="00E137CE" w:rsidRDefault="003001F0" w:rsidP="00A63A2E">
            <w:pPr>
              <w:rPr>
                <w:rFonts w:ascii="Times" w:hAnsi="Times" w:cs="Times"/>
                <w:color w:val="000000"/>
              </w:rPr>
            </w:pP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invasive MV from randomization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6 (3-11)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4 (3-9)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0.29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MV from randomization*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 xml:space="preserve">9 (4-15) 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8 (4-13)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0.84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ICU stay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18 (12-30)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18 (13-26)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0.96</w:t>
            </w:r>
          </w:p>
        </w:tc>
      </w:tr>
    </w:tbl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1665C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 xml:space="preserve">Absence of ineffective triggering is defined as no ineffective triggering during the four recording sequences. Presence of ineffective triggering is defined by at least </w:t>
      </w:r>
      <w:r w:rsidR="001665C1">
        <w:rPr>
          <w:rFonts w:ascii="Times" w:hAnsi="Times" w:cs="Times"/>
          <w:color w:val="000000"/>
        </w:rPr>
        <w:t>one</w:t>
      </w:r>
      <w:r w:rsidRPr="00E137CE">
        <w:rPr>
          <w:rFonts w:ascii="Times" w:hAnsi="Times" w:cs="Times"/>
          <w:color w:val="000000"/>
        </w:rPr>
        <w:t xml:space="preserve"> ine</w:t>
      </w:r>
      <w:r w:rsidR="001665C1">
        <w:rPr>
          <w:rFonts w:ascii="Times" w:hAnsi="Times" w:cs="Times"/>
          <w:color w:val="000000"/>
        </w:rPr>
        <w:t>ffective triggering during the four</w:t>
      </w:r>
      <w:r w:rsidRPr="00E137CE">
        <w:rPr>
          <w:rFonts w:ascii="Times" w:hAnsi="Times" w:cs="Times"/>
          <w:color w:val="000000"/>
        </w:rPr>
        <w:t xml:space="preserve"> recording sequences. </w:t>
      </w:r>
    </w:p>
    <w:p w:rsidR="003001F0" w:rsidRPr="00E137CE" w:rsidRDefault="003001F0" w:rsidP="001665C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 xml:space="preserve">MV, mechanical ventilation; ICU, intensive care unit. </w:t>
      </w:r>
    </w:p>
    <w:p w:rsidR="003001F0" w:rsidRPr="00E137CE" w:rsidRDefault="003001F0" w:rsidP="001665C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>Continuous data are reported as median (interquartile range [IQR]) and categorical data as number of event (percentages).</w:t>
      </w:r>
    </w:p>
    <w:p w:rsidR="003001F0" w:rsidRPr="00E137CE" w:rsidRDefault="003001F0" w:rsidP="001665C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>* Including days of non-invasive ventilation</w:t>
      </w: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2F4A7E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4C7E3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4C7E3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4C7E3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4C7E39">
      <w:pPr>
        <w:widowControl w:val="0"/>
        <w:jc w:val="both"/>
        <w:rPr>
          <w:rFonts w:ascii="Times" w:hAnsi="Times" w:cs="Times"/>
          <w:b/>
          <w:bCs/>
          <w:color w:val="000000"/>
        </w:rPr>
      </w:pPr>
      <w:r w:rsidRPr="00E137CE">
        <w:rPr>
          <w:rFonts w:ascii="Times" w:hAnsi="Times" w:cs="Times"/>
          <w:b/>
          <w:bCs/>
          <w:color w:val="000000"/>
        </w:rPr>
        <w:t>Table SDC 3.</w:t>
      </w:r>
      <w:r w:rsidRPr="00E137CE">
        <w:rPr>
          <w:rFonts w:ascii="Times" w:hAnsi="Times" w:cs="Times"/>
          <w:color w:val="000000"/>
        </w:rPr>
        <w:t xml:space="preserve"> </w:t>
      </w:r>
      <w:r w:rsidRPr="00E137CE">
        <w:rPr>
          <w:rFonts w:ascii="Times" w:hAnsi="Times" w:cs="Times"/>
          <w:b/>
          <w:bCs/>
          <w:color w:val="000000"/>
        </w:rPr>
        <w:t>Specific association between ineffective triggering and the outcome using the Flow-and-Pressure method</w:t>
      </w:r>
    </w:p>
    <w:p w:rsidR="003001F0" w:rsidRPr="00E137CE" w:rsidRDefault="003001F0" w:rsidP="004C7E3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tbl>
      <w:tblPr>
        <w:tblW w:w="128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3543"/>
        <w:gridCol w:w="3686"/>
        <w:gridCol w:w="1134"/>
      </w:tblGrid>
      <w:tr w:rsidR="003001F0" w:rsidRPr="00E137CE">
        <w:trPr>
          <w:trHeight w:hRule="exact" w:val="6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EA525B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EA525B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Absence of ineffective triggering</w:t>
            </w:r>
          </w:p>
          <w:p w:rsidR="003001F0" w:rsidRPr="00E137CE" w:rsidRDefault="003001F0" w:rsidP="00EA525B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(n=42)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EA525B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Presence of ineffective triggering</w:t>
            </w:r>
          </w:p>
          <w:p w:rsidR="003001F0" w:rsidRPr="00E137CE" w:rsidRDefault="003001F0" w:rsidP="00EA525B">
            <w:pPr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(n=61)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01F0" w:rsidRPr="00E137CE" w:rsidRDefault="003001F0" w:rsidP="00EA525B">
            <w:pPr>
              <w:jc w:val="center"/>
              <w:rPr>
                <w:rFonts w:ascii="Times" w:hAnsi="Times" w:cs="Times"/>
                <w:b/>
                <w:bCs/>
                <w:color w:val="000000"/>
                <w:lang w:val="fr-FR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fr-FR"/>
              </w:rPr>
              <w:t>p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Duration of invasive MV, days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11 (8-19)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11 (8-21)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0.75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Duration of MV*, days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17 (11-21)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13 (8-24)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0.71</w:t>
            </w:r>
          </w:p>
          <w:p w:rsidR="003001F0" w:rsidRPr="00E137CE" w:rsidRDefault="003001F0" w:rsidP="00A63A2E">
            <w:pPr>
              <w:rPr>
                <w:rFonts w:ascii="Times" w:hAnsi="Times" w:cs="Times"/>
                <w:color w:val="000000"/>
              </w:rPr>
            </w:pP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invasive MV from randomization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7 (3-11)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4 (3-9)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0.42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MV from randomization*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 xml:space="preserve">10 (4-14) 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7 (4-13)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0.53</w:t>
            </w:r>
          </w:p>
        </w:tc>
      </w:tr>
      <w:tr w:rsidR="003001F0" w:rsidRPr="00E13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4503" w:type="dxa"/>
            <w:vAlign w:val="center"/>
          </w:tcPr>
          <w:p w:rsidR="003001F0" w:rsidRPr="00E137CE" w:rsidRDefault="003001F0" w:rsidP="00A63A2E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</w:rPr>
              <w:t>Days of ICU stay</w:t>
            </w:r>
          </w:p>
        </w:tc>
        <w:tc>
          <w:tcPr>
            <w:tcW w:w="3543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21 (13-29)</w:t>
            </w:r>
          </w:p>
        </w:tc>
        <w:tc>
          <w:tcPr>
            <w:tcW w:w="3686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18 (13-27)</w:t>
            </w:r>
          </w:p>
        </w:tc>
        <w:tc>
          <w:tcPr>
            <w:tcW w:w="1134" w:type="dxa"/>
            <w:vAlign w:val="center"/>
          </w:tcPr>
          <w:p w:rsidR="003001F0" w:rsidRPr="00E137CE" w:rsidRDefault="003001F0" w:rsidP="00A63A2E">
            <w:pPr>
              <w:jc w:val="center"/>
              <w:rPr>
                <w:rFonts w:ascii="Times" w:hAnsi="Times" w:cs="Times"/>
                <w:color w:val="000000"/>
              </w:rPr>
            </w:pPr>
            <w:r w:rsidRPr="00E137CE">
              <w:rPr>
                <w:rFonts w:ascii="Times" w:hAnsi="Times" w:cs="Times"/>
                <w:color w:val="000000"/>
              </w:rPr>
              <w:t>0.78</w:t>
            </w:r>
          </w:p>
        </w:tc>
      </w:tr>
    </w:tbl>
    <w:p w:rsidR="003001F0" w:rsidRPr="00E137CE" w:rsidRDefault="003001F0" w:rsidP="004C7E3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001F0" w:rsidRPr="00E137CE" w:rsidRDefault="003001F0" w:rsidP="007E364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 xml:space="preserve">Absence of ineffective triggering is defined as no ineffective triggering during the four recording sequences. Presence of ineffective triggering is defined by at least </w:t>
      </w:r>
      <w:r w:rsidR="001665C1">
        <w:rPr>
          <w:rFonts w:ascii="Times" w:hAnsi="Times" w:cs="Times"/>
          <w:color w:val="000000"/>
        </w:rPr>
        <w:t>one</w:t>
      </w:r>
      <w:r w:rsidRPr="00E137CE">
        <w:rPr>
          <w:rFonts w:ascii="Times" w:hAnsi="Times" w:cs="Times"/>
          <w:color w:val="000000"/>
        </w:rPr>
        <w:t xml:space="preserve"> ine</w:t>
      </w:r>
      <w:r w:rsidR="001665C1">
        <w:rPr>
          <w:rFonts w:ascii="Times" w:hAnsi="Times" w:cs="Times"/>
          <w:color w:val="000000"/>
        </w:rPr>
        <w:t>ffective triggering during the four</w:t>
      </w:r>
      <w:bookmarkStart w:id="0" w:name="_GoBack"/>
      <w:bookmarkEnd w:id="0"/>
      <w:r w:rsidRPr="00E137CE">
        <w:rPr>
          <w:rFonts w:ascii="Times" w:hAnsi="Times" w:cs="Times"/>
          <w:color w:val="000000"/>
        </w:rPr>
        <w:t xml:space="preserve"> recording sequences. </w:t>
      </w:r>
    </w:p>
    <w:p w:rsidR="003001F0" w:rsidRPr="00E137CE" w:rsidRDefault="003001F0" w:rsidP="007E364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 xml:space="preserve">MV, mechanical ventilation; ICU, intensive care unit. </w:t>
      </w:r>
    </w:p>
    <w:p w:rsidR="003001F0" w:rsidRPr="00E137CE" w:rsidRDefault="003001F0" w:rsidP="007E364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>Continuous data are reported as median (interquartile range [IQR]) and categorical data as number of event (percentages).</w:t>
      </w:r>
    </w:p>
    <w:p w:rsidR="003001F0" w:rsidRPr="00E137CE" w:rsidRDefault="003001F0" w:rsidP="007E364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E137CE">
        <w:rPr>
          <w:rFonts w:ascii="Times" w:hAnsi="Times" w:cs="Times"/>
          <w:color w:val="000000"/>
        </w:rPr>
        <w:t>* Including days of non-invasive ventilation</w:t>
      </w:r>
    </w:p>
    <w:p w:rsidR="003001F0" w:rsidRPr="00E137CE" w:rsidRDefault="003001F0">
      <w:pPr>
        <w:rPr>
          <w:rFonts w:cs="Times New Roman"/>
          <w:color w:val="000000"/>
        </w:rPr>
      </w:pPr>
    </w:p>
    <w:p w:rsidR="003001F0" w:rsidRPr="00E137CE" w:rsidRDefault="003001F0">
      <w:pPr>
        <w:rPr>
          <w:rFonts w:cs="Times New Roman"/>
          <w:color w:val="000000"/>
        </w:rPr>
      </w:pPr>
      <w:r w:rsidRPr="00E137CE">
        <w:rPr>
          <w:rFonts w:cs="Times New Roman"/>
          <w:color w:val="000000"/>
        </w:rPr>
        <w:br w:type="page"/>
      </w:r>
    </w:p>
    <w:p w:rsidR="003001F0" w:rsidRPr="00E137CE" w:rsidRDefault="003001F0" w:rsidP="00015A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E137CE">
        <w:rPr>
          <w:rFonts w:ascii="Times" w:hAnsi="Times" w:cs="Times"/>
          <w:b/>
          <w:bCs/>
          <w:color w:val="000000"/>
        </w:rPr>
        <w:t xml:space="preserve">Table SDC 4. </w:t>
      </w:r>
      <w:r w:rsidRPr="00E137CE">
        <w:rPr>
          <w:rFonts w:ascii="Times" w:hAnsi="Times" w:cs="Times"/>
          <w:b/>
          <w:bCs/>
          <w:color w:val="000000"/>
          <w:lang w:val="en-US"/>
        </w:rPr>
        <w:t xml:space="preserve">Assessment of the agreement between the two methods to identify severe asynchrony defined as an asynchrony index (AI) ≥ 10%. </w:t>
      </w:r>
    </w:p>
    <w:p w:rsidR="003001F0" w:rsidRPr="00E137CE" w:rsidRDefault="003001F0" w:rsidP="00706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1F0" w:rsidRPr="00E137CE" w:rsidRDefault="003001F0" w:rsidP="00706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tbl>
      <w:tblPr>
        <w:tblW w:w="907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275"/>
        <w:gridCol w:w="1701"/>
        <w:gridCol w:w="1701"/>
        <w:gridCol w:w="1701"/>
      </w:tblGrid>
      <w:tr w:rsidR="003001F0" w:rsidRPr="00E137CE">
        <w:trPr>
          <w:cantSplit/>
          <w:trHeight w:hRule="exact" w:val="615"/>
        </w:trPr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F0" w:rsidRPr="00E137CE" w:rsidRDefault="003001F0" w:rsidP="00DA05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AI</w:t>
            </w:r>
          </w:p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Flow-and-pressure method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Total</w:t>
            </w:r>
          </w:p>
        </w:tc>
      </w:tr>
      <w:tr w:rsidR="003001F0" w:rsidRPr="00E137CE">
        <w:trPr>
          <w:cantSplit/>
          <w:trHeight w:hRule="exact" w:val="284"/>
        </w:trPr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F0" w:rsidRPr="00E137CE" w:rsidRDefault="003001F0" w:rsidP="00DA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&lt;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≥10%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</w:tr>
      <w:tr w:rsidR="003001F0" w:rsidRPr="00E137CE">
        <w:trPr>
          <w:cantSplit/>
          <w:trHeight w:hRule="exact" w:val="41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AI</w:t>
            </w:r>
          </w:p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EAdi-based method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DA05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7" w:right="60" w:hanging="127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&lt;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17</w:t>
            </w:r>
          </w:p>
        </w:tc>
      </w:tr>
      <w:tr w:rsidR="003001F0" w:rsidRPr="00E137CE">
        <w:trPr>
          <w:cantSplit/>
          <w:trHeight w:hRule="exact" w:val="419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DA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≥10%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015AD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86</w:t>
            </w:r>
          </w:p>
        </w:tc>
      </w:tr>
      <w:tr w:rsidR="003001F0" w:rsidRPr="00E137CE">
        <w:trPr>
          <w:cantSplit/>
          <w:trHeight w:hRule="exact" w:val="284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DA0563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1F0" w:rsidRPr="00E137CE" w:rsidRDefault="003001F0" w:rsidP="0097494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E137CE">
              <w:rPr>
                <w:rFonts w:ascii="Times" w:hAnsi="Times" w:cs="Times"/>
                <w:color w:val="000000"/>
                <w:lang w:val="en-US"/>
              </w:rPr>
              <w:t>103</w:t>
            </w:r>
          </w:p>
        </w:tc>
      </w:tr>
    </w:tbl>
    <w:p w:rsidR="003001F0" w:rsidRPr="00E137CE" w:rsidRDefault="003001F0">
      <w:pPr>
        <w:rPr>
          <w:rFonts w:ascii="Times New Roman" w:hAnsi="Times New Roman" w:cs="Times New Roman"/>
          <w:color w:val="000000"/>
          <w:lang w:val="en-US"/>
        </w:rPr>
      </w:pPr>
    </w:p>
    <w:p w:rsidR="003001F0" w:rsidRPr="00E137CE" w:rsidRDefault="003001F0">
      <w:pPr>
        <w:rPr>
          <w:rFonts w:ascii="Times New Roman" w:hAnsi="Times New Roman" w:cs="Times New Roman"/>
          <w:color w:val="000000"/>
          <w:lang w:val="en-US"/>
        </w:rPr>
      </w:pPr>
    </w:p>
    <w:p w:rsidR="003001F0" w:rsidRPr="00E137CE" w:rsidRDefault="003001F0">
      <w:pPr>
        <w:rPr>
          <w:rFonts w:ascii="Times New Roman" w:hAnsi="Times New Roman" w:cs="Times New Roman"/>
          <w:color w:val="000000"/>
          <w:lang w:val="en-US"/>
        </w:rPr>
      </w:pPr>
      <w:r w:rsidRPr="00E137CE">
        <w:rPr>
          <w:rFonts w:ascii="Times New Roman" w:hAnsi="Times New Roman" w:cs="Times New Roman"/>
          <w:color w:val="000000"/>
          <w:lang w:val="en-US"/>
        </w:rPr>
        <w:br w:type="page"/>
      </w:r>
    </w:p>
    <w:p w:rsidR="003001F0" w:rsidRPr="00E137CE" w:rsidRDefault="003001F0" w:rsidP="00706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1F0" w:rsidRPr="00E137CE" w:rsidRDefault="003001F0" w:rsidP="00706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E137CE">
        <w:rPr>
          <w:rFonts w:ascii="Times" w:hAnsi="Times" w:cs="Times"/>
          <w:b/>
          <w:bCs/>
          <w:color w:val="000000"/>
        </w:rPr>
        <w:t>Table SDC 5.</w:t>
      </w:r>
      <w:r w:rsidRPr="00E137CE">
        <w:rPr>
          <w:rFonts w:ascii="Times" w:hAnsi="Times" w:cs="Times"/>
          <w:color w:val="000000"/>
        </w:rPr>
        <w:t xml:space="preserve"> </w:t>
      </w:r>
      <w:r w:rsidRPr="00E137CE">
        <w:rPr>
          <w:rFonts w:ascii="Times" w:hAnsi="Times" w:cs="Times"/>
          <w:b/>
          <w:bCs/>
          <w:color w:val="000000"/>
          <w:lang w:val="en-US"/>
        </w:rPr>
        <w:t xml:space="preserve">Prevalence of patient-ventilator asynchrony during each of the four 20 minutes recording periods </w:t>
      </w:r>
      <w:r w:rsidRPr="00E137CE">
        <w:rPr>
          <w:rFonts w:ascii="Times" w:hAnsi="Times" w:cs="Times"/>
          <w:b/>
          <w:bCs/>
          <w:color w:val="000000"/>
        </w:rPr>
        <w:t>using the EAdi-based method</w:t>
      </w:r>
    </w:p>
    <w:p w:rsidR="003001F0" w:rsidRPr="00E137CE" w:rsidRDefault="003001F0" w:rsidP="008362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001F0" w:rsidRPr="00E137CE" w:rsidRDefault="003001F0">
      <w:pPr>
        <w:rPr>
          <w:rFonts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303"/>
        <w:gridCol w:w="2303"/>
        <w:gridCol w:w="2303"/>
        <w:gridCol w:w="2304"/>
        <w:gridCol w:w="1560"/>
      </w:tblGrid>
      <w:tr w:rsidR="003001F0" w:rsidRPr="00E137CE">
        <w:tc>
          <w:tcPr>
            <w:tcW w:w="2802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2303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4A47F5">
              <w:rPr>
                <w:rFonts w:ascii="Times" w:hAnsi="Times" w:cs="Times"/>
                <w:b/>
                <w:bCs/>
                <w:color w:val="000000"/>
              </w:rPr>
              <w:t>H12</w:t>
            </w:r>
          </w:p>
        </w:tc>
        <w:tc>
          <w:tcPr>
            <w:tcW w:w="2303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4A47F5">
              <w:rPr>
                <w:rFonts w:ascii="Times" w:hAnsi="Times" w:cs="Times"/>
                <w:b/>
                <w:bCs/>
                <w:color w:val="000000"/>
              </w:rPr>
              <w:t>H24</w:t>
            </w:r>
          </w:p>
        </w:tc>
        <w:tc>
          <w:tcPr>
            <w:tcW w:w="2303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4A47F5">
              <w:rPr>
                <w:rFonts w:ascii="Times" w:hAnsi="Times" w:cs="Times"/>
                <w:b/>
                <w:bCs/>
                <w:color w:val="000000"/>
              </w:rPr>
              <w:t>H36</w:t>
            </w:r>
          </w:p>
        </w:tc>
        <w:tc>
          <w:tcPr>
            <w:tcW w:w="2304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4A47F5">
              <w:rPr>
                <w:rFonts w:ascii="Times" w:hAnsi="Times" w:cs="Times"/>
                <w:b/>
                <w:bCs/>
                <w:color w:val="000000"/>
              </w:rPr>
              <w:t>H48</w:t>
            </w:r>
          </w:p>
        </w:tc>
        <w:tc>
          <w:tcPr>
            <w:tcW w:w="1560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4A47F5">
              <w:rPr>
                <w:rFonts w:ascii="Times" w:hAnsi="Times" w:cs="Times"/>
                <w:b/>
                <w:bCs/>
                <w:color w:val="000000"/>
              </w:rPr>
              <w:t>p</w:t>
            </w:r>
          </w:p>
        </w:tc>
      </w:tr>
      <w:tr w:rsidR="003001F0" w:rsidRPr="00E137CE">
        <w:tc>
          <w:tcPr>
            <w:tcW w:w="2802" w:type="dxa"/>
            <w:vAlign w:val="center"/>
          </w:tcPr>
          <w:p w:rsidR="003001F0" w:rsidRPr="004A47F5" w:rsidRDefault="003001F0" w:rsidP="004141ED">
            <w:pPr>
              <w:rPr>
                <w:rFonts w:ascii="Times" w:hAnsi="Times" w:cs="Times"/>
                <w:b/>
                <w:bCs/>
                <w:color w:val="000000"/>
              </w:rPr>
            </w:pPr>
            <w:r w:rsidRPr="004A47F5">
              <w:rPr>
                <w:rFonts w:ascii="Times" w:hAnsi="Times" w:cs="Times"/>
                <w:b/>
                <w:bCs/>
                <w:color w:val="000000"/>
                <w:lang w:val="fr-FR"/>
              </w:rPr>
              <w:t xml:space="preserve">All asynchrony, </w:t>
            </w:r>
            <w:r w:rsidRPr="004A47F5">
              <w:rPr>
                <w:rFonts w:ascii="Times" w:hAnsi="Times" w:cs="Times"/>
                <w:b/>
                <w:bCs/>
                <w:i/>
                <w:iCs/>
                <w:color w:val="000000"/>
                <w:kern w:val="2"/>
              </w:rPr>
              <w:t>min</w:t>
            </w:r>
            <w:r w:rsidRPr="004A47F5">
              <w:rPr>
                <w:rFonts w:ascii="Times" w:hAnsi="Times" w:cs="Times"/>
                <w:b/>
                <w:bCs/>
                <w:i/>
                <w:iCs/>
                <w:color w:val="000000"/>
                <w:vertAlign w:val="superscript"/>
              </w:rPr>
              <w:t>-1</w:t>
            </w:r>
          </w:p>
        </w:tc>
        <w:tc>
          <w:tcPr>
            <w:tcW w:w="2303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color w:val="000000"/>
              </w:rPr>
            </w:pPr>
            <w:r w:rsidRPr="004A47F5">
              <w:rPr>
                <w:rFonts w:ascii="Times" w:hAnsi="Times" w:cs="Times"/>
                <w:color w:val="000000"/>
              </w:rPr>
              <w:t>4.65 (2.80 - 8.90)</w:t>
            </w:r>
          </w:p>
        </w:tc>
        <w:tc>
          <w:tcPr>
            <w:tcW w:w="2303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color w:val="000000"/>
              </w:rPr>
            </w:pPr>
            <w:r w:rsidRPr="004A47F5">
              <w:rPr>
                <w:rFonts w:ascii="Times" w:hAnsi="Times" w:cs="Times"/>
                <w:color w:val="000000"/>
              </w:rPr>
              <w:t>3.95 (1.98 - 6.91)</w:t>
            </w:r>
          </w:p>
        </w:tc>
        <w:tc>
          <w:tcPr>
            <w:tcW w:w="2303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color w:val="000000"/>
              </w:rPr>
            </w:pPr>
            <w:r w:rsidRPr="004A47F5">
              <w:rPr>
                <w:rFonts w:ascii="Times" w:hAnsi="Times" w:cs="Times"/>
                <w:color w:val="000000"/>
              </w:rPr>
              <w:t>4.25 (2.68 - 8.25)</w:t>
            </w:r>
          </w:p>
        </w:tc>
        <w:tc>
          <w:tcPr>
            <w:tcW w:w="2304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color w:val="000000"/>
              </w:rPr>
            </w:pPr>
            <w:r w:rsidRPr="004A47F5">
              <w:rPr>
                <w:rFonts w:ascii="Times" w:hAnsi="Times" w:cs="Times"/>
                <w:color w:val="000000"/>
              </w:rPr>
              <w:t>5.00 (2.30 - 9.44)</w:t>
            </w:r>
          </w:p>
        </w:tc>
        <w:tc>
          <w:tcPr>
            <w:tcW w:w="1560" w:type="dxa"/>
            <w:vAlign w:val="center"/>
          </w:tcPr>
          <w:p w:rsidR="003001F0" w:rsidRPr="004A47F5" w:rsidRDefault="003001F0" w:rsidP="004A47F5">
            <w:pPr>
              <w:jc w:val="center"/>
              <w:rPr>
                <w:rFonts w:ascii="Times" w:hAnsi="Times" w:cs="Times"/>
                <w:color w:val="000000"/>
              </w:rPr>
            </w:pPr>
            <w:r w:rsidRPr="004A47F5">
              <w:rPr>
                <w:rFonts w:ascii="Times" w:hAnsi="Times" w:cs="Times"/>
                <w:color w:val="000000"/>
              </w:rPr>
              <w:t>0.33</w:t>
            </w:r>
          </w:p>
        </w:tc>
      </w:tr>
    </w:tbl>
    <w:p w:rsidR="003001F0" w:rsidRPr="00E137CE" w:rsidRDefault="003001F0" w:rsidP="00BB6F83">
      <w:pPr>
        <w:widowControl w:val="0"/>
        <w:jc w:val="both"/>
        <w:rPr>
          <w:rFonts w:ascii="Times" w:hAnsi="Times" w:cs="Times"/>
          <w:color w:val="000000"/>
        </w:rPr>
      </w:pPr>
    </w:p>
    <w:p w:rsidR="003001F0" w:rsidRPr="00E137CE" w:rsidRDefault="003001F0" w:rsidP="00BB6F8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E137CE">
        <w:rPr>
          <w:rFonts w:ascii="Times New Roman" w:hAnsi="Times New Roman" w:cs="Times New Roman"/>
          <w:color w:val="000000"/>
        </w:rPr>
        <w:t>Data are reported as median (interquartile range [IQR]).</w:t>
      </w:r>
    </w:p>
    <w:p w:rsidR="003001F0" w:rsidRPr="00E137CE" w:rsidRDefault="003001F0" w:rsidP="00BB6F83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E137CE">
        <w:rPr>
          <w:rFonts w:ascii="Times New Roman" w:hAnsi="Times New Roman" w:cs="Times New Roman"/>
          <w:color w:val="000000"/>
        </w:rPr>
        <w:t xml:space="preserve">The four conditions were compared with a Friedman test followed by a pairwise comparison using Dunn’s </w:t>
      </w:r>
      <w:r w:rsidRPr="00E137CE">
        <w:rPr>
          <w:rFonts w:ascii="Times New Roman" w:hAnsi="Times New Roman" w:cs="Times New Roman"/>
          <w:i/>
          <w:iCs/>
          <w:color w:val="000000"/>
        </w:rPr>
        <w:t xml:space="preserve">post hoc </w:t>
      </w:r>
      <w:r w:rsidRPr="00E137CE">
        <w:rPr>
          <w:rFonts w:ascii="Times New Roman" w:hAnsi="Times New Roman" w:cs="Times New Roman"/>
          <w:color w:val="000000"/>
        </w:rPr>
        <w:t>test.</w:t>
      </w:r>
    </w:p>
    <w:sectPr w:rsidR="003001F0" w:rsidRPr="00E137CE" w:rsidSect="004C7E39">
      <w:pgSz w:w="16834" w:h="11904" w:orient="landscape"/>
      <w:pgMar w:top="1418" w:right="1418" w:bottom="28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8F" w:rsidRDefault="009B098F" w:rsidP="004C7E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098F" w:rsidRDefault="009B098F" w:rsidP="004C7E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eiry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F0" w:rsidRPr="001357F8" w:rsidRDefault="003001F0">
    <w:pPr>
      <w:pStyle w:val="Pieddepage"/>
      <w:jc w:val="center"/>
      <w:rPr>
        <w:rFonts w:ascii="Times New Roman" w:hAnsi="Times New Roman" w:cs="Times New Roman"/>
      </w:rPr>
    </w:pPr>
    <w:r w:rsidRPr="001357F8">
      <w:rPr>
        <w:rFonts w:ascii="Times New Roman" w:hAnsi="Times New Roman" w:cs="Times New Roman"/>
      </w:rPr>
      <w:t xml:space="preserve">- </w:t>
    </w:r>
    <w:r w:rsidRPr="001357F8">
      <w:rPr>
        <w:rFonts w:ascii="Times New Roman" w:hAnsi="Times New Roman" w:cs="Times New Roman"/>
      </w:rPr>
      <w:fldChar w:fldCharType="begin"/>
    </w:r>
    <w:r w:rsidRPr="001357F8">
      <w:rPr>
        <w:rFonts w:ascii="Times New Roman" w:hAnsi="Times New Roman" w:cs="Times New Roman"/>
      </w:rPr>
      <w:instrText>PAGE   \* MERGEFORMAT</w:instrText>
    </w:r>
    <w:r w:rsidRPr="001357F8">
      <w:rPr>
        <w:rFonts w:ascii="Times New Roman" w:hAnsi="Times New Roman" w:cs="Times New Roman"/>
      </w:rPr>
      <w:fldChar w:fldCharType="separate"/>
    </w:r>
    <w:r w:rsidR="001665C1" w:rsidRPr="001665C1">
      <w:rPr>
        <w:rFonts w:ascii="Times New Roman" w:hAnsi="Times New Roman" w:cs="Times New Roman"/>
        <w:noProof/>
        <w:lang w:val="fr-FR"/>
      </w:rPr>
      <w:t>4</w:t>
    </w:r>
    <w:r w:rsidRPr="001357F8">
      <w:rPr>
        <w:rFonts w:ascii="Times New Roman" w:hAnsi="Times New Roman" w:cs="Times New Roman"/>
      </w:rPr>
      <w:fldChar w:fldCharType="end"/>
    </w:r>
    <w:r w:rsidRPr="001357F8">
      <w:rPr>
        <w:rFonts w:ascii="Times New Roman" w:hAnsi="Times New Roman" w:cs="Times New Roman"/>
      </w:rPr>
      <w:t xml:space="preserve"> -</w:t>
    </w:r>
  </w:p>
  <w:p w:rsidR="003001F0" w:rsidRDefault="003001F0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8F" w:rsidRDefault="009B098F" w:rsidP="004C7E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098F" w:rsidRDefault="009B098F" w:rsidP="004C7E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E04"/>
    <w:rsid w:val="00015AD4"/>
    <w:rsid w:val="00021E4C"/>
    <w:rsid w:val="00064541"/>
    <w:rsid w:val="000711A4"/>
    <w:rsid w:val="000D68C4"/>
    <w:rsid w:val="000E31D5"/>
    <w:rsid w:val="000E68B4"/>
    <w:rsid w:val="001357F8"/>
    <w:rsid w:val="001519D3"/>
    <w:rsid w:val="00153573"/>
    <w:rsid w:val="00161D6B"/>
    <w:rsid w:val="001665C1"/>
    <w:rsid w:val="00167ABA"/>
    <w:rsid w:val="00176434"/>
    <w:rsid w:val="00180181"/>
    <w:rsid w:val="0018103D"/>
    <w:rsid w:val="0021471B"/>
    <w:rsid w:val="00245DFA"/>
    <w:rsid w:val="00257ED3"/>
    <w:rsid w:val="00265F15"/>
    <w:rsid w:val="00284AC3"/>
    <w:rsid w:val="002A4196"/>
    <w:rsid w:val="002E3518"/>
    <w:rsid w:val="002F176A"/>
    <w:rsid w:val="002F4A7E"/>
    <w:rsid w:val="003001F0"/>
    <w:rsid w:val="00332BD7"/>
    <w:rsid w:val="003340B6"/>
    <w:rsid w:val="0034390E"/>
    <w:rsid w:val="0034734D"/>
    <w:rsid w:val="0036037A"/>
    <w:rsid w:val="0037148C"/>
    <w:rsid w:val="003C170C"/>
    <w:rsid w:val="003F19F1"/>
    <w:rsid w:val="004136F5"/>
    <w:rsid w:val="004141ED"/>
    <w:rsid w:val="00433F23"/>
    <w:rsid w:val="00445FF2"/>
    <w:rsid w:val="0046336A"/>
    <w:rsid w:val="00465FA1"/>
    <w:rsid w:val="004839CB"/>
    <w:rsid w:val="004A47F5"/>
    <w:rsid w:val="004C7E39"/>
    <w:rsid w:val="004F28EB"/>
    <w:rsid w:val="005131DC"/>
    <w:rsid w:val="005514D2"/>
    <w:rsid w:val="005610D3"/>
    <w:rsid w:val="00570523"/>
    <w:rsid w:val="0057687A"/>
    <w:rsid w:val="005A03CD"/>
    <w:rsid w:val="005D3A68"/>
    <w:rsid w:val="005D6FF6"/>
    <w:rsid w:val="005F301A"/>
    <w:rsid w:val="005F4153"/>
    <w:rsid w:val="00637DA1"/>
    <w:rsid w:val="00642993"/>
    <w:rsid w:val="0065652A"/>
    <w:rsid w:val="00664A96"/>
    <w:rsid w:val="00673645"/>
    <w:rsid w:val="00684E07"/>
    <w:rsid w:val="00703409"/>
    <w:rsid w:val="00706FBA"/>
    <w:rsid w:val="00726A5D"/>
    <w:rsid w:val="0076047E"/>
    <w:rsid w:val="007914A1"/>
    <w:rsid w:val="007E364F"/>
    <w:rsid w:val="007F08DE"/>
    <w:rsid w:val="007F6CE2"/>
    <w:rsid w:val="008131A8"/>
    <w:rsid w:val="00826D95"/>
    <w:rsid w:val="0083271C"/>
    <w:rsid w:val="00836254"/>
    <w:rsid w:val="00841DC1"/>
    <w:rsid w:val="00865F55"/>
    <w:rsid w:val="008B4E04"/>
    <w:rsid w:val="008B6C0E"/>
    <w:rsid w:val="008E459B"/>
    <w:rsid w:val="00910A28"/>
    <w:rsid w:val="00930D43"/>
    <w:rsid w:val="00940B8C"/>
    <w:rsid w:val="0094763C"/>
    <w:rsid w:val="009518EE"/>
    <w:rsid w:val="00956160"/>
    <w:rsid w:val="00957B00"/>
    <w:rsid w:val="00974945"/>
    <w:rsid w:val="009B0725"/>
    <w:rsid w:val="009B098F"/>
    <w:rsid w:val="009C0922"/>
    <w:rsid w:val="009F26E9"/>
    <w:rsid w:val="00A02B41"/>
    <w:rsid w:val="00A26710"/>
    <w:rsid w:val="00A559CE"/>
    <w:rsid w:val="00A63A2E"/>
    <w:rsid w:val="00AB1B0D"/>
    <w:rsid w:val="00AB7DAB"/>
    <w:rsid w:val="00AD73B1"/>
    <w:rsid w:val="00AF3159"/>
    <w:rsid w:val="00B44C49"/>
    <w:rsid w:val="00B6062B"/>
    <w:rsid w:val="00B62C32"/>
    <w:rsid w:val="00B80BDC"/>
    <w:rsid w:val="00B83DDA"/>
    <w:rsid w:val="00BA2D74"/>
    <w:rsid w:val="00BB6F83"/>
    <w:rsid w:val="00BC62B1"/>
    <w:rsid w:val="00BC690E"/>
    <w:rsid w:val="00BD0C0C"/>
    <w:rsid w:val="00C054DA"/>
    <w:rsid w:val="00C06094"/>
    <w:rsid w:val="00C44F6A"/>
    <w:rsid w:val="00C869D7"/>
    <w:rsid w:val="00CB5312"/>
    <w:rsid w:val="00CF5672"/>
    <w:rsid w:val="00CF7C9C"/>
    <w:rsid w:val="00D024E5"/>
    <w:rsid w:val="00D105B8"/>
    <w:rsid w:val="00D85DBF"/>
    <w:rsid w:val="00D96FFA"/>
    <w:rsid w:val="00DA0563"/>
    <w:rsid w:val="00E100E7"/>
    <w:rsid w:val="00E137CE"/>
    <w:rsid w:val="00E54F18"/>
    <w:rsid w:val="00E66046"/>
    <w:rsid w:val="00EA0426"/>
    <w:rsid w:val="00EA525B"/>
    <w:rsid w:val="00EE5564"/>
    <w:rsid w:val="00F0739E"/>
    <w:rsid w:val="00F07B46"/>
    <w:rsid w:val="00F55001"/>
    <w:rsid w:val="00F55A23"/>
    <w:rsid w:val="00F863D8"/>
    <w:rsid w:val="00FB0C39"/>
    <w:rsid w:val="00FC00E3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04"/>
    <w:rPr>
      <w:rFonts w:eastAsia="MS Mincho" w:cs="Cambri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rsid w:val="004C7E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4C7E39"/>
  </w:style>
  <w:style w:type="character" w:customStyle="1" w:styleId="CommentaireCar">
    <w:name w:val="Commentaire Car"/>
    <w:link w:val="Commentaire"/>
    <w:uiPriority w:val="99"/>
    <w:locked/>
    <w:rsid w:val="004C7E39"/>
    <w:rPr>
      <w:rFonts w:ascii="Cambria" w:eastAsia="MS Mincho" w:hAnsi="Cambria" w:cs="Cambria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4C7E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C7E39"/>
    <w:rPr>
      <w:rFonts w:ascii="Tahoma" w:eastAsia="MS Mincho" w:hAnsi="Tahoma" w:cs="Tahoma"/>
      <w:sz w:val="16"/>
      <w:szCs w:val="16"/>
      <w:lang w:val="en-GB"/>
    </w:rPr>
  </w:style>
  <w:style w:type="paragraph" w:styleId="Sansinterligne">
    <w:name w:val="No Spacing"/>
    <w:uiPriority w:val="99"/>
    <w:qFormat/>
    <w:rsid w:val="004C7E39"/>
    <w:rPr>
      <w:rFonts w:ascii="Times New Roman" w:eastAsia="MS Mincho" w:hAnsi="Times New Roman"/>
      <w:sz w:val="24"/>
      <w:szCs w:val="24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C7E3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C7E39"/>
    <w:rPr>
      <w:rFonts w:ascii="Cambria" w:eastAsia="MS Mincho" w:hAnsi="Cambria" w:cs="Cambria"/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4C7E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C7E39"/>
    <w:rPr>
      <w:rFonts w:ascii="Cambria" w:eastAsia="MS Mincho" w:hAnsi="Cambria" w:cs="Cambria"/>
      <w:lang w:val="en-GB"/>
    </w:rPr>
  </w:style>
  <w:style w:type="paragraph" w:styleId="Pieddepage">
    <w:name w:val="footer"/>
    <w:basedOn w:val="Normal"/>
    <w:link w:val="PieddepageCar"/>
    <w:uiPriority w:val="99"/>
    <w:rsid w:val="004C7E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C7E39"/>
    <w:rPr>
      <w:rFonts w:ascii="Cambria" w:eastAsia="MS Mincho" w:hAnsi="Cambria" w:cs="Cambria"/>
      <w:lang w:val="en-GB"/>
    </w:rPr>
  </w:style>
  <w:style w:type="table" w:styleId="Grilledutableau">
    <w:name w:val="Table Grid"/>
    <w:basedOn w:val="TableauNormal"/>
    <w:uiPriority w:val="99"/>
    <w:rsid w:val="009B0725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Prevalence and prognosis impact of patient-ventilator asynchrony in early phase of weaning according to two detection methods</vt:lpstr>
    </vt:vector>
  </TitlesOfParts>
  <Company>Rolland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and prognosis impact of patient-ventilator asynchrony in early phase of weaning according to two detection methods</dc:title>
  <dc:creator>Camille Rolland</dc:creator>
  <cp:lastModifiedBy>g-psl-psl5160380</cp:lastModifiedBy>
  <cp:revision>3</cp:revision>
  <dcterms:created xsi:type="dcterms:W3CDTF">2017-07-02T12:35:00Z</dcterms:created>
  <dcterms:modified xsi:type="dcterms:W3CDTF">2017-07-02T13:35:00Z</dcterms:modified>
</cp:coreProperties>
</file>