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07A" w:rsidRDefault="0085407A" w:rsidP="0034173D">
      <w:pPr>
        <w:spacing w:line="480" w:lineRule="auto"/>
        <w:rPr>
          <w:rFonts w:cstheme="minorHAnsi"/>
        </w:rPr>
      </w:pPr>
      <w:r>
        <w:t xml:space="preserve">Supplemental </w:t>
      </w:r>
      <w:r w:rsidR="007C2B93">
        <w:t>Digital Content</w:t>
      </w:r>
      <w:bookmarkStart w:id="0" w:name="_GoBack"/>
      <w:bookmarkEnd w:id="0"/>
      <w:r>
        <w:t xml:space="preserve"> 5</w:t>
      </w:r>
      <w:r w:rsidR="0034173D" w:rsidRPr="00EF1557">
        <w:t xml:space="preserve">: Comparison of process and </w:t>
      </w:r>
      <w:r w:rsidR="0034173D" w:rsidRPr="004E3BF5">
        <w:t xml:space="preserve">outcome measures in </w:t>
      </w:r>
      <w:r w:rsidR="00D715EC" w:rsidRPr="004E3BF5">
        <w:t>Parallel Controls</w:t>
      </w:r>
      <w:r>
        <w:t xml:space="preserve"> defined as AlertWatch use 0% versus AlertWatch used </w:t>
      </w:r>
      <w:r>
        <w:rPr>
          <w:rFonts w:cstheme="minorHAnsi"/>
        </w:rPr>
        <w:t>≥ 75% of case</w:t>
      </w:r>
    </w:p>
    <w:p w:rsidR="00A9012F" w:rsidRPr="004E3BF5" w:rsidRDefault="00A9012F" w:rsidP="0034173D">
      <w:pPr>
        <w:spacing w:line="480" w:lineRule="auto"/>
      </w:pPr>
    </w:p>
    <w:tbl>
      <w:tblPr>
        <w:tblStyle w:val="TableGrid"/>
        <w:tblpPr w:leftFromText="187" w:rightFromText="187" w:vertAnchor="text" w:horzAnchor="margin" w:tblpY="1"/>
        <w:tblW w:w="8635" w:type="dxa"/>
        <w:tblLayout w:type="fixed"/>
        <w:tblLook w:val="04A0" w:firstRow="1" w:lastRow="0" w:firstColumn="1" w:lastColumn="0" w:noHBand="0" w:noVBand="1"/>
      </w:tblPr>
      <w:tblGrid>
        <w:gridCol w:w="2425"/>
        <w:gridCol w:w="1643"/>
        <w:gridCol w:w="1687"/>
        <w:gridCol w:w="1980"/>
        <w:gridCol w:w="900"/>
      </w:tblGrid>
      <w:tr w:rsidR="0085407A" w:rsidRPr="004A07BD" w:rsidTr="004A07BD">
        <w:tc>
          <w:tcPr>
            <w:tcW w:w="2425" w:type="dxa"/>
          </w:tcPr>
          <w:p w:rsidR="0085407A" w:rsidRPr="004E3BF5" w:rsidRDefault="0085407A" w:rsidP="004A3FC6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85407A" w:rsidRPr="004A07BD" w:rsidRDefault="0085407A" w:rsidP="00780D6C">
            <w:pPr>
              <w:spacing w:line="48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A07BD">
              <w:rPr>
                <w:rFonts w:cstheme="minorHAnsi"/>
                <w:sz w:val="20"/>
                <w:szCs w:val="20"/>
              </w:rPr>
              <w:t>AlertWatch  used ≥ 75% of the case</w:t>
            </w:r>
          </w:p>
          <w:p w:rsidR="0085407A" w:rsidRPr="004A07BD" w:rsidRDefault="0085407A" w:rsidP="00780D6C">
            <w:pPr>
              <w:spacing w:line="48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5407A" w:rsidRPr="004A07BD" w:rsidRDefault="0085407A" w:rsidP="00780D6C">
            <w:pPr>
              <w:spacing w:line="48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A07BD">
              <w:rPr>
                <w:rFonts w:cstheme="minorHAnsi"/>
                <w:sz w:val="20"/>
                <w:szCs w:val="20"/>
              </w:rPr>
              <w:t>N=7,954</w:t>
            </w:r>
          </w:p>
        </w:tc>
        <w:tc>
          <w:tcPr>
            <w:tcW w:w="1687" w:type="dxa"/>
          </w:tcPr>
          <w:p w:rsidR="0085407A" w:rsidRDefault="0085407A" w:rsidP="004A3FC6">
            <w:pPr>
              <w:spacing w:line="48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A07BD">
              <w:rPr>
                <w:rFonts w:cstheme="minorHAnsi"/>
                <w:sz w:val="20"/>
                <w:szCs w:val="20"/>
              </w:rPr>
              <w:t>Parallel Controls</w:t>
            </w:r>
            <w:r w:rsidR="00505AB9">
              <w:rPr>
                <w:rFonts w:cstheme="minorHAnsi"/>
                <w:sz w:val="20"/>
                <w:szCs w:val="20"/>
              </w:rPr>
              <w:t xml:space="preserve"> AlertWatch used 0% of the case</w:t>
            </w:r>
          </w:p>
          <w:p w:rsidR="00505AB9" w:rsidRPr="004A07BD" w:rsidRDefault="00505AB9" w:rsidP="004A3FC6">
            <w:pPr>
              <w:spacing w:line="48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5407A" w:rsidRPr="004A07BD" w:rsidRDefault="0085407A" w:rsidP="004A3FC6">
            <w:pPr>
              <w:spacing w:line="48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A07BD">
              <w:rPr>
                <w:rFonts w:cstheme="minorHAnsi"/>
                <w:sz w:val="20"/>
                <w:szCs w:val="20"/>
              </w:rPr>
              <w:t>N=8,321</w:t>
            </w:r>
          </w:p>
        </w:tc>
        <w:tc>
          <w:tcPr>
            <w:tcW w:w="1980" w:type="dxa"/>
          </w:tcPr>
          <w:p w:rsidR="0085407A" w:rsidRPr="004A07BD" w:rsidRDefault="0085407A" w:rsidP="004A3FC6">
            <w:pPr>
              <w:spacing w:line="48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A07BD">
              <w:rPr>
                <w:rFonts w:cstheme="minorHAnsi"/>
                <w:sz w:val="20"/>
                <w:szCs w:val="20"/>
              </w:rPr>
              <w:t>Adjusted</w:t>
            </w:r>
          </w:p>
          <w:p w:rsidR="0085407A" w:rsidRPr="004A07BD" w:rsidRDefault="0085407A" w:rsidP="004A3FC6">
            <w:pPr>
              <w:spacing w:line="48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A07BD">
              <w:rPr>
                <w:rFonts w:cstheme="minorHAnsi"/>
                <w:sz w:val="20"/>
                <w:szCs w:val="20"/>
              </w:rPr>
              <w:t>Odds Ratio</w:t>
            </w:r>
          </w:p>
          <w:p w:rsidR="0085407A" w:rsidRPr="004A07BD" w:rsidRDefault="0085407A" w:rsidP="004A3FC6">
            <w:pPr>
              <w:spacing w:line="48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A07BD">
              <w:rPr>
                <w:rFonts w:cstheme="minorHAnsi"/>
                <w:sz w:val="20"/>
                <w:szCs w:val="20"/>
              </w:rPr>
              <w:t>or Beta Coefficient</w:t>
            </w:r>
          </w:p>
          <w:p w:rsidR="0085407A" w:rsidRPr="004A07BD" w:rsidRDefault="0085407A" w:rsidP="008810E9">
            <w:pPr>
              <w:spacing w:line="48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A07BD">
              <w:rPr>
                <w:rFonts w:cstheme="minorHAnsi"/>
                <w:sz w:val="20"/>
                <w:szCs w:val="20"/>
              </w:rPr>
              <w:t>for AlertWatch Use in Multivariable Analysis (95% CI) ***</w:t>
            </w:r>
          </w:p>
        </w:tc>
        <w:tc>
          <w:tcPr>
            <w:tcW w:w="900" w:type="dxa"/>
          </w:tcPr>
          <w:p w:rsidR="0085407A" w:rsidRPr="004A07BD" w:rsidRDefault="0085407A" w:rsidP="004A07BD">
            <w:pPr>
              <w:spacing w:line="48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A07BD">
              <w:rPr>
                <w:rFonts w:cstheme="minorHAnsi"/>
                <w:sz w:val="20"/>
                <w:szCs w:val="20"/>
              </w:rPr>
              <w:t>P-value</w:t>
            </w:r>
          </w:p>
          <w:p w:rsidR="004A07BD" w:rsidRPr="004A07BD" w:rsidRDefault="004A07BD" w:rsidP="004A07BD">
            <w:pPr>
              <w:spacing w:line="48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5407A" w:rsidRPr="004A07BD" w:rsidTr="004A07BD">
        <w:tc>
          <w:tcPr>
            <w:tcW w:w="2425" w:type="dxa"/>
          </w:tcPr>
          <w:p w:rsidR="0085407A" w:rsidRPr="004E3BF5" w:rsidRDefault="0085407A" w:rsidP="0085407A">
            <w:pPr>
              <w:spacing w:line="480" w:lineRule="auto"/>
              <w:rPr>
                <w:rFonts w:eastAsia="Calibri" w:cstheme="minorHAnsi"/>
                <w:sz w:val="20"/>
                <w:szCs w:val="20"/>
              </w:rPr>
            </w:pPr>
            <w:r w:rsidRPr="004E3BF5">
              <w:rPr>
                <w:rFonts w:eastAsia="Calibri" w:cstheme="minorHAnsi"/>
                <w:sz w:val="20"/>
                <w:szCs w:val="20"/>
              </w:rPr>
              <w:t>Minutes of mean arterial pressure &lt; 55mmHg</w:t>
            </w:r>
          </w:p>
          <w:p w:rsidR="0085407A" w:rsidRPr="004E3BF5" w:rsidRDefault="0085407A" w:rsidP="0085407A">
            <w:pPr>
              <w:spacing w:line="48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E3BF5">
              <w:rPr>
                <w:rFonts w:eastAsia="Calibri" w:cstheme="minorHAnsi"/>
                <w:sz w:val="20"/>
                <w:szCs w:val="20"/>
              </w:rPr>
              <w:t>Median [25</w:t>
            </w:r>
            <w:r w:rsidRPr="004E3BF5">
              <w:rPr>
                <w:rFonts w:eastAsia="Calibri" w:cstheme="minorHAnsi"/>
                <w:sz w:val="20"/>
                <w:szCs w:val="20"/>
                <w:vertAlign w:val="superscript"/>
              </w:rPr>
              <w:t>th</w:t>
            </w:r>
            <w:r w:rsidRPr="004E3BF5">
              <w:rPr>
                <w:rFonts w:eastAsia="Calibri" w:cstheme="minorHAnsi"/>
                <w:sz w:val="20"/>
                <w:szCs w:val="20"/>
              </w:rPr>
              <w:t xml:space="preserve"> to 75</w:t>
            </w:r>
            <w:r w:rsidRPr="004E3BF5">
              <w:rPr>
                <w:rFonts w:eastAsia="Calibri" w:cstheme="minorHAnsi"/>
                <w:sz w:val="20"/>
                <w:szCs w:val="20"/>
                <w:vertAlign w:val="superscript"/>
              </w:rPr>
              <w:t>th</w:t>
            </w:r>
            <w:r w:rsidRPr="004E3BF5">
              <w:rPr>
                <w:rFonts w:eastAsia="Calibri" w:cstheme="minorHAnsi"/>
                <w:sz w:val="20"/>
                <w:szCs w:val="20"/>
              </w:rPr>
              <w:t xml:space="preserve"> %</w:t>
            </w:r>
            <w:proofErr w:type="spellStart"/>
            <w:r w:rsidRPr="004E3BF5">
              <w:rPr>
                <w:rFonts w:eastAsia="Calibri" w:cstheme="minorHAnsi"/>
                <w:sz w:val="20"/>
                <w:szCs w:val="20"/>
              </w:rPr>
              <w:t>ile</w:t>
            </w:r>
            <w:proofErr w:type="spellEnd"/>
            <w:r w:rsidRPr="004E3BF5">
              <w:rPr>
                <w:rFonts w:eastAsia="Calibri" w:cstheme="minorHAnsi"/>
                <w:sz w:val="20"/>
                <w:szCs w:val="20"/>
              </w:rPr>
              <w:t>]</w:t>
            </w:r>
          </w:p>
        </w:tc>
        <w:tc>
          <w:tcPr>
            <w:tcW w:w="1643" w:type="dxa"/>
          </w:tcPr>
          <w:p w:rsidR="0085407A" w:rsidRPr="004A07BD" w:rsidRDefault="0085407A" w:rsidP="0085407A">
            <w:pPr>
              <w:spacing w:line="48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A07BD">
              <w:rPr>
                <w:rFonts w:eastAsia="Calibri" w:cstheme="minorHAnsi"/>
                <w:sz w:val="20"/>
                <w:szCs w:val="20"/>
              </w:rPr>
              <w:t>1 [0-5]</w:t>
            </w:r>
          </w:p>
        </w:tc>
        <w:tc>
          <w:tcPr>
            <w:tcW w:w="1687" w:type="dxa"/>
          </w:tcPr>
          <w:p w:rsidR="0085407A" w:rsidRPr="004A07BD" w:rsidRDefault="0085407A" w:rsidP="0085407A">
            <w:pPr>
              <w:spacing w:line="48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A07BD">
              <w:rPr>
                <w:rFonts w:cstheme="minorHAnsi"/>
                <w:sz w:val="20"/>
                <w:szCs w:val="20"/>
              </w:rPr>
              <w:t>1 [0-5]</w:t>
            </w:r>
          </w:p>
        </w:tc>
        <w:tc>
          <w:tcPr>
            <w:tcW w:w="1980" w:type="dxa"/>
          </w:tcPr>
          <w:p w:rsidR="0085407A" w:rsidRPr="004A07BD" w:rsidRDefault="0085407A" w:rsidP="0085407A">
            <w:pPr>
              <w:spacing w:line="480" w:lineRule="auto"/>
              <w:jc w:val="center"/>
            </w:pPr>
            <w:r w:rsidRPr="004A07BD">
              <w:t xml:space="preserve"> Beta  -0.21 (-0.22 to -0.19)</w:t>
            </w:r>
          </w:p>
        </w:tc>
        <w:tc>
          <w:tcPr>
            <w:tcW w:w="900" w:type="dxa"/>
          </w:tcPr>
          <w:p w:rsidR="0085407A" w:rsidRPr="004A07BD" w:rsidRDefault="0085407A" w:rsidP="0085407A">
            <w:pPr>
              <w:spacing w:line="48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A07BD">
              <w:rPr>
                <w:rFonts w:cstheme="minorHAnsi"/>
                <w:sz w:val="20"/>
                <w:szCs w:val="20"/>
              </w:rPr>
              <w:t>&lt; 0.001</w:t>
            </w:r>
          </w:p>
        </w:tc>
      </w:tr>
      <w:tr w:rsidR="0085407A" w:rsidRPr="004A07BD" w:rsidTr="004A07BD">
        <w:tc>
          <w:tcPr>
            <w:tcW w:w="2425" w:type="dxa"/>
          </w:tcPr>
          <w:p w:rsidR="0085407A" w:rsidRPr="00EF1557" w:rsidRDefault="0085407A" w:rsidP="0085407A">
            <w:pPr>
              <w:spacing w:line="480" w:lineRule="auto"/>
              <w:rPr>
                <w:rFonts w:eastAsia="Calibri" w:cstheme="minorHAnsi"/>
                <w:sz w:val="20"/>
                <w:szCs w:val="20"/>
              </w:rPr>
            </w:pPr>
            <w:r w:rsidRPr="00EF1557">
              <w:rPr>
                <w:rFonts w:eastAsia="Calibri" w:cstheme="minorHAnsi"/>
                <w:sz w:val="20"/>
                <w:szCs w:val="20"/>
              </w:rPr>
              <w:t>Crystalloid cc/kg/</w:t>
            </w:r>
            <w:proofErr w:type="spellStart"/>
            <w:r w:rsidRPr="00EF1557">
              <w:rPr>
                <w:rFonts w:eastAsia="Calibri" w:cstheme="minorHAnsi"/>
                <w:sz w:val="20"/>
                <w:szCs w:val="20"/>
              </w:rPr>
              <w:t>hr</w:t>
            </w:r>
            <w:proofErr w:type="spellEnd"/>
            <w:r w:rsidRPr="00EF1557">
              <w:rPr>
                <w:rFonts w:eastAsia="Calibri" w:cstheme="minorHAnsi"/>
                <w:sz w:val="20"/>
                <w:szCs w:val="20"/>
              </w:rPr>
              <w:t xml:space="preserve"> Median [25</w:t>
            </w:r>
            <w:r w:rsidRPr="00EF1557">
              <w:rPr>
                <w:rFonts w:eastAsia="Calibri" w:cstheme="minorHAnsi"/>
                <w:sz w:val="20"/>
                <w:szCs w:val="20"/>
                <w:vertAlign w:val="superscript"/>
              </w:rPr>
              <w:t>th</w:t>
            </w:r>
            <w:r w:rsidRPr="00EF1557">
              <w:rPr>
                <w:rFonts w:eastAsia="Calibri" w:cstheme="minorHAnsi"/>
                <w:sz w:val="20"/>
                <w:szCs w:val="20"/>
              </w:rPr>
              <w:t xml:space="preserve"> to 75</w:t>
            </w:r>
            <w:r w:rsidRPr="00EF1557">
              <w:rPr>
                <w:rFonts w:eastAsia="Calibri" w:cstheme="minorHAnsi"/>
                <w:sz w:val="20"/>
                <w:szCs w:val="20"/>
                <w:vertAlign w:val="superscript"/>
              </w:rPr>
              <w:t>th</w:t>
            </w:r>
            <w:r w:rsidRPr="00EF1557">
              <w:rPr>
                <w:rFonts w:eastAsia="Calibri" w:cstheme="minorHAnsi"/>
                <w:sz w:val="20"/>
                <w:szCs w:val="20"/>
              </w:rPr>
              <w:t xml:space="preserve"> %</w:t>
            </w:r>
            <w:proofErr w:type="spellStart"/>
            <w:r w:rsidRPr="00EF1557">
              <w:rPr>
                <w:rFonts w:eastAsia="Calibri" w:cstheme="minorHAnsi"/>
                <w:sz w:val="20"/>
                <w:szCs w:val="20"/>
              </w:rPr>
              <w:t>ile</w:t>
            </w:r>
            <w:proofErr w:type="spellEnd"/>
            <w:r w:rsidRPr="00EF1557">
              <w:rPr>
                <w:rFonts w:eastAsia="Calibri" w:cstheme="minorHAnsi"/>
                <w:sz w:val="20"/>
                <w:szCs w:val="20"/>
              </w:rPr>
              <w:t>]*</w:t>
            </w:r>
          </w:p>
        </w:tc>
        <w:tc>
          <w:tcPr>
            <w:tcW w:w="1643" w:type="dxa"/>
          </w:tcPr>
          <w:p w:rsidR="0085407A" w:rsidRPr="004A07BD" w:rsidRDefault="0085407A" w:rsidP="0085407A">
            <w:pPr>
              <w:spacing w:line="48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A07BD">
              <w:rPr>
                <w:rFonts w:eastAsia="Calibri" w:cstheme="minorHAnsi"/>
                <w:sz w:val="20"/>
                <w:szCs w:val="20"/>
              </w:rPr>
              <w:t>5.88</w:t>
            </w:r>
          </w:p>
          <w:p w:rsidR="0085407A" w:rsidRPr="004A07BD" w:rsidRDefault="0085407A" w:rsidP="0085407A">
            <w:pPr>
              <w:spacing w:line="48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A07BD">
              <w:rPr>
                <w:rFonts w:eastAsia="Calibri" w:cstheme="minorHAnsi"/>
                <w:sz w:val="20"/>
                <w:szCs w:val="20"/>
              </w:rPr>
              <w:t>[4.18-8.18]</w:t>
            </w:r>
          </w:p>
          <w:p w:rsidR="0085407A" w:rsidRPr="004A07BD" w:rsidRDefault="0085407A" w:rsidP="0085407A">
            <w:pPr>
              <w:spacing w:line="48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87" w:type="dxa"/>
          </w:tcPr>
          <w:p w:rsidR="0085407A" w:rsidRPr="004A07BD" w:rsidRDefault="0085407A" w:rsidP="0085407A">
            <w:pPr>
              <w:spacing w:line="48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A07BD">
              <w:rPr>
                <w:rFonts w:cstheme="minorHAnsi"/>
                <w:sz w:val="20"/>
                <w:szCs w:val="20"/>
              </w:rPr>
              <w:t>6.20</w:t>
            </w:r>
          </w:p>
          <w:p w:rsidR="0085407A" w:rsidRPr="004A07BD" w:rsidRDefault="0085407A" w:rsidP="0085407A">
            <w:pPr>
              <w:spacing w:line="48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A07BD">
              <w:rPr>
                <w:rFonts w:cstheme="minorHAnsi"/>
                <w:sz w:val="20"/>
                <w:szCs w:val="20"/>
              </w:rPr>
              <w:t>[4.32-8.84]</w:t>
            </w:r>
          </w:p>
        </w:tc>
        <w:tc>
          <w:tcPr>
            <w:tcW w:w="1980" w:type="dxa"/>
          </w:tcPr>
          <w:p w:rsidR="0085407A" w:rsidRPr="004A07BD" w:rsidRDefault="0085407A" w:rsidP="0085407A">
            <w:pPr>
              <w:spacing w:line="480" w:lineRule="auto"/>
              <w:jc w:val="center"/>
            </w:pPr>
            <w:r w:rsidRPr="004A07BD">
              <w:t xml:space="preserve"> Beta  -0.02 (-0.04 to -0.01)</w:t>
            </w:r>
          </w:p>
        </w:tc>
        <w:tc>
          <w:tcPr>
            <w:tcW w:w="900" w:type="dxa"/>
          </w:tcPr>
          <w:p w:rsidR="0085407A" w:rsidRPr="004A07BD" w:rsidRDefault="009374EB" w:rsidP="0085407A">
            <w:pPr>
              <w:spacing w:line="48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1F53">
              <w:rPr>
                <w:rFonts w:cstheme="minorHAnsi"/>
                <w:sz w:val="20"/>
                <w:szCs w:val="20"/>
              </w:rPr>
              <w:t>0.002</w:t>
            </w:r>
          </w:p>
        </w:tc>
      </w:tr>
      <w:tr w:rsidR="0085407A" w:rsidRPr="004A07BD" w:rsidTr="004A07BD">
        <w:tc>
          <w:tcPr>
            <w:tcW w:w="2425" w:type="dxa"/>
          </w:tcPr>
          <w:p w:rsidR="0085407A" w:rsidRPr="00EF1557" w:rsidRDefault="0085407A" w:rsidP="00780D6C">
            <w:pPr>
              <w:spacing w:line="48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Median tidal volume &gt; 10 ml</w:t>
            </w:r>
            <w:r w:rsidRPr="00EF1557">
              <w:rPr>
                <w:rFonts w:eastAsia="Calibri" w:cstheme="minorHAnsi"/>
                <w:sz w:val="20"/>
                <w:szCs w:val="20"/>
              </w:rPr>
              <w:t>/kg **</w:t>
            </w:r>
          </w:p>
        </w:tc>
        <w:tc>
          <w:tcPr>
            <w:tcW w:w="1643" w:type="dxa"/>
          </w:tcPr>
          <w:p w:rsidR="0085407A" w:rsidRPr="004A07BD" w:rsidRDefault="0085407A" w:rsidP="00780D6C">
            <w:pPr>
              <w:spacing w:line="48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A07BD">
              <w:rPr>
                <w:rFonts w:eastAsia="Calibri" w:cstheme="minorHAnsi"/>
                <w:sz w:val="20"/>
                <w:szCs w:val="20"/>
              </w:rPr>
              <w:t>233 / 843 (28%)</w:t>
            </w:r>
          </w:p>
        </w:tc>
        <w:tc>
          <w:tcPr>
            <w:tcW w:w="1687" w:type="dxa"/>
          </w:tcPr>
          <w:p w:rsidR="0085407A" w:rsidRPr="004A07BD" w:rsidRDefault="0085407A" w:rsidP="00780D6C">
            <w:pPr>
              <w:spacing w:line="48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A07BD">
              <w:rPr>
                <w:rFonts w:cstheme="minorHAnsi"/>
                <w:sz w:val="20"/>
                <w:szCs w:val="20"/>
              </w:rPr>
              <w:t>302 / 802 (38%)</w:t>
            </w:r>
          </w:p>
        </w:tc>
        <w:tc>
          <w:tcPr>
            <w:tcW w:w="1980" w:type="dxa"/>
          </w:tcPr>
          <w:p w:rsidR="0085407A" w:rsidRPr="004A07BD" w:rsidRDefault="0085407A" w:rsidP="00780D6C">
            <w:pPr>
              <w:spacing w:line="48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A07BD">
              <w:rPr>
                <w:rFonts w:cstheme="minorHAnsi"/>
                <w:sz w:val="20"/>
                <w:szCs w:val="20"/>
              </w:rPr>
              <w:t>0.64 (0.52-0.80)</w:t>
            </w:r>
          </w:p>
        </w:tc>
        <w:tc>
          <w:tcPr>
            <w:tcW w:w="900" w:type="dxa"/>
          </w:tcPr>
          <w:p w:rsidR="0085407A" w:rsidRPr="004A07BD" w:rsidRDefault="0085407A" w:rsidP="00780D6C">
            <w:pPr>
              <w:spacing w:line="48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A07BD">
              <w:rPr>
                <w:rFonts w:cstheme="minorHAnsi"/>
                <w:sz w:val="20"/>
                <w:szCs w:val="20"/>
              </w:rPr>
              <w:t>&lt; 0.001</w:t>
            </w:r>
          </w:p>
        </w:tc>
      </w:tr>
      <w:tr w:rsidR="0085407A" w:rsidRPr="004A07BD" w:rsidTr="004A07BD">
        <w:tc>
          <w:tcPr>
            <w:tcW w:w="2425" w:type="dxa"/>
          </w:tcPr>
          <w:p w:rsidR="0085407A" w:rsidRPr="00EF1557" w:rsidRDefault="0085407A" w:rsidP="0085407A">
            <w:pPr>
              <w:spacing w:line="480" w:lineRule="auto"/>
              <w:rPr>
                <w:rFonts w:eastAsia="Calibri" w:cstheme="minorHAnsi"/>
                <w:sz w:val="20"/>
                <w:szCs w:val="20"/>
              </w:rPr>
            </w:pPr>
            <w:r w:rsidRPr="00EF1557">
              <w:rPr>
                <w:rFonts w:eastAsia="Calibri" w:cstheme="minorHAnsi"/>
                <w:sz w:val="20"/>
                <w:szCs w:val="20"/>
              </w:rPr>
              <w:t>Postop Myocardial Injury</w:t>
            </w:r>
          </w:p>
        </w:tc>
        <w:tc>
          <w:tcPr>
            <w:tcW w:w="1643" w:type="dxa"/>
          </w:tcPr>
          <w:p w:rsidR="0085407A" w:rsidRPr="004A07BD" w:rsidRDefault="0085407A" w:rsidP="0085407A">
            <w:pPr>
              <w:spacing w:line="48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A07BD">
              <w:rPr>
                <w:rFonts w:eastAsia="Calibri" w:cs="Times New Roman"/>
                <w:sz w:val="20"/>
                <w:szCs w:val="20"/>
              </w:rPr>
              <w:t xml:space="preserve">119 </w:t>
            </w:r>
            <w:r w:rsidRPr="004A07BD">
              <w:rPr>
                <w:rFonts w:eastAsia="Calibri" w:cstheme="minorHAnsi"/>
                <w:sz w:val="20"/>
                <w:szCs w:val="20"/>
              </w:rPr>
              <w:t>/ 7954</w:t>
            </w:r>
            <w:r w:rsidRPr="004A07BD">
              <w:rPr>
                <w:rFonts w:eastAsia="Calibri" w:cs="Times New Roman"/>
                <w:sz w:val="20"/>
                <w:szCs w:val="20"/>
              </w:rPr>
              <w:t xml:space="preserve"> (1.5%)</w:t>
            </w:r>
          </w:p>
        </w:tc>
        <w:tc>
          <w:tcPr>
            <w:tcW w:w="1687" w:type="dxa"/>
          </w:tcPr>
          <w:p w:rsidR="0085407A" w:rsidRPr="004A07BD" w:rsidRDefault="0085407A" w:rsidP="0085407A">
            <w:pPr>
              <w:spacing w:line="48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A07BD">
              <w:rPr>
                <w:rFonts w:eastAsia="Calibri" w:cs="Times New Roman"/>
                <w:sz w:val="20"/>
                <w:szCs w:val="20"/>
              </w:rPr>
              <w:t xml:space="preserve">177 </w:t>
            </w:r>
            <w:r w:rsidRPr="004A07BD">
              <w:rPr>
                <w:rFonts w:eastAsia="Calibri" w:cstheme="minorHAnsi"/>
                <w:sz w:val="20"/>
                <w:szCs w:val="20"/>
              </w:rPr>
              <w:t>/ 8321</w:t>
            </w:r>
            <w:r w:rsidRPr="004A07BD">
              <w:rPr>
                <w:rFonts w:eastAsia="Calibri" w:cs="Times New Roman"/>
                <w:sz w:val="20"/>
                <w:szCs w:val="20"/>
              </w:rPr>
              <w:t xml:space="preserve"> (2.1%)</w:t>
            </w:r>
          </w:p>
        </w:tc>
        <w:tc>
          <w:tcPr>
            <w:tcW w:w="1980" w:type="dxa"/>
          </w:tcPr>
          <w:p w:rsidR="0085407A" w:rsidRPr="004A07BD" w:rsidRDefault="0085407A" w:rsidP="0085407A">
            <w:pPr>
              <w:spacing w:line="480" w:lineRule="auto"/>
              <w:jc w:val="center"/>
            </w:pPr>
            <w:r w:rsidRPr="004A07BD">
              <w:t>0.85 (0.66-1.09)</w:t>
            </w:r>
          </w:p>
        </w:tc>
        <w:tc>
          <w:tcPr>
            <w:tcW w:w="900" w:type="dxa"/>
          </w:tcPr>
          <w:p w:rsidR="0085407A" w:rsidRPr="004A07BD" w:rsidRDefault="0085407A" w:rsidP="0085407A">
            <w:pPr>
              <w:spacing w:line="480" w:lineRule="auto"/>
              <w:jc w:val="center"/>
            </w:pPr>
            <w:r w:rsidRPr="004A07BD">
              <w:t>0.20</w:t>
            </w:r>
          </w:p>
        </w:tc>
      </w:tr>
      <w:tr w:rsidR="0085407A" w:rsidRPr="004A07BD" w:rsidTr="004A07BD">
        <w:tc>
          <w:tcPr>
            <w:tcW w:w="2425" w:type="dxa"/>
          </w:tcPr>
          <w:p w:rsidR="0085407A" w:rsidRPr="00EF1557" w:rsidRDefault="0085407A" w:rsidP="0085407A">
            <w:pPr>
              <w:spacing w:line="480" w:lineRule="auto"/>
              <w:rPr>
                <w:rFonts w:eastAsia="Calibri" w:cstheme="minorHAnsi"/>
                <w:sz w:val="20"/>
                <w:szCs w:val="20"/>
              </w:rPr>
            </w:pPr>
            <w:r w:rsidRPr="00EF1557">
              <w:rPr>
                <w:rFonts w:eastAsia="Calibri" w:cstheme="minorHAnsi"/>
                <w:sz w:val="20"/>
                <w:szCs w:val="20"/>
              </w:rPr>
              <w:t>Stage 1 Acute Kidney Injury</w:t>
            </w:r>
          </w:p>
        </w:tc>
        <w:tc>
          <w:tcPr>
            <w:tcW w:w="1643" w:type="dxa"/>
          </w:tcPr>
          <w:p w:rsidR="0085407A" w:rsidRPr="004A07BD" w:rsidRDefault="0085407A" w:rsidP="0085407A">
            <w:pPr>
              <w:spacing w:line="48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A07BD">
              <w:rPr>
                <w:rFonts w:eastAsia="Calibri" w:cs="Times New Roman"/>
                <w:sz w:val="20"/>
                <w:szCs w:val="20"/>
              </w:rPr>
              <w:t xml:space="preserve">1048 </w:t>
            </w:r>
            <w:r w:rsidRPr="004A07BD">
              <w:rPr>
                <w:rFonts w:eastAsia="Calibri" w:cstheme="minorHAnsi"/>
                <w:sz w:val="20"/>
                <w:szCs w:val="20"/>
              </w:rPr>
              <w:t>/ 6733</w:t>
            </w:r>
            <w:r w:rsidRPr="004A07BD">
              <w:rPr>
                <w:rFonts w:eastAsia="Calibri" w:cs="Times New Roman"/>
                <w:sz w:val="20"/>
                <w:szCs w:val="20"/>
              </w:rPr>
              <w:t xml:space="preserve"> (15.6%)</w:t>
            </w:r>
          </w:p>
        </w:tc>
        <w:tc>
          <w:tcPr>
            <w:tcW w:w="1687" w:type="dxa"/>
          </w:tcPr>
          <w:p w:rsidR="0085407A" w:rsidRPr="004A07BD" w:rsidRDefault="0085407A" w:rsidP="0085407A">
            <w:pPr>
              <w:spacing w:line="48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A07BD">
              <w:rPr>
                <w:rFonts w:eastAsia="Calibri" w:cs="Times New Roman"/>
                <w:sz w:val="20"/>
                <w:szCs w:val="20"/>
              </w:rPr>
              <w:t xml:space="preserve">1195 </w:t>
            </w:r>
            <w:r w:rsidRPr="004A07BD">
              <w:rPr>
                <w:rFonts w:eastAsia="Calibri" w:cstheme="minorHAnsi"/>
                <w:sz w:val="20"/>
                <w:szCs w:val="20"/>
              </w:rPr>
              <w:t>/ 7121</w:t>
            </w:r>
            <w:r w:rsidRPr="004A07BD">
              <w:rPr>
                <w:rFonts w:eastAsia="Calibri" w:cs="Times New Roman"/>
                <w:sz w:val="20"/>
                <w:szCs w:val="20"/>
              </w:rPr>
              <w:t xml:space="preserve"> (16.8%)</w:t>
            </w:r>
          </w:p>
        </w:tc>
        <w:tc>
          <w:tcPr>
            <w:tcW w:w="1980" w:type="dxa"/>
          </w:tcPr>
          <w:p w:rsidR="0085407A" w:rsidRPr="004A07BD" w:rsidRDefault="0085407A" w:rsidP="0085407A">
            <w:pPr>
              <w:spacing w:line="480" w:lineRule="auto"/>
              <w:jc w:val="center"/>
            </w:pPr>
            <w:r w:rsidRPr="004A07BD">
              <w:t>1.04 (0.95-1.15)</w:t>
            </w:r>
          </w:p>
        </w:tc>
        <w:tc>
          <w:tcPr>
            <w:tcW w:w="900" w:type="dxa"/>
          </w:tcPr>
          <w:p w:rsidR="0085407A" w:rsidRPr="004A07BD" w:rsidRDefault="0085407A" w:rsidP="0085407A">
            <w:pPr>
              <w:spacing w:line="480" w:lineRule="auto"/>
              <w:jc w:val="center"/>
            </w:pPr>
            <w:r w:rsidRPr="004A07BD">
              <w:t>0.38</w:t>
            </w:r>
          </w:p>
        </w:tc>
      </w:tr>
      <w:tr w:rsidR="0085407A" w:rsidRPr="004A07BD" w:rsidTr="004A07BD">
        <w:tc>
          <w:tcPr>
            <w:tcW w:w="2425" w:type="dxa"/>
          </w:tcPr>
          <w:p w:rsidR="0085407A" w:rsidRPr="00EF1557" w:rsidRDefault="0085407A" w:rsidP="0085407A">
            <w:pPr>
              <w:spacing w:line="480" w:lineRule="auto"/>
              <w:rPr>
                <w:rFonts w:eastAsia="Calibri" w:cstheme="minorHAnsi"/>
                <w:sz w:val="20"/>
                <w:szCs w:val="20"/>
              </w:rPr>
            </w:pPr>
            <w:r w:rsidRPr="00EF1557">
              <w:rPr>
                <w:rFonts w:eastAsia="Calibri" w:cstheme="minorHAnsi"/>
                <w:sz w:val="20"/>
                <w:szCs w:val="20"/>
              </w:rPr>
              <w:t>Stage 2 Acute Kidney Injury</w:t>
            </w:r>
          </w:p>
        </w:tc>
        <w:tc>
          <w:tcPr>
            <w:tcW w:w="1643" w:type="dxa"/>
          </w:tcPr>
          <w:p w:rsidR="0085407A" w:rsidRPr="004A07BD" w:rsidRDefault="0085407A" w:rsidP="0085407A">
            <w:pPr>
              <w:spacing w:line="48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A07BD">
              <w:rPr>
                <w:rFonts w:eastAsia="Calibri" w:cs="Times New Roman"/>
                <w:sz w:val="20"/>
                <w:szCs w:val="20"/>
              </w:rPr>
              <w:t xml:space="preserve">175 </w:t>
            </w:r>
            <w:r w:rsidRPr="004A07BD">
              <w:rPr>
                <w:rFonts w:eastAsia="Calibri" w:cstheme="minorHAnsi"/>
                <w:sz w:val="20"/>
                <w:szCs w:val="20"/>
              </w:rPr>
              <w:t>/ 6733</w:t>
            </w:r>
            <w:r w:rsidRPr="004A07BD">
              <w:rPr>
                <w:rFonts w:eastAsia="Calibri" w:cs="Times New Roman"/>
                <w:sz w:val="20"/>
                <w:szCs w:val="20"/>
              </w:rPr>
              <w:t xml:space="preserve"> (2.6%)</w:t>
            </w:r>
          </w:p>
        </w:tc>
        <w:tc>
          <w:tcPr>
            <w:tcW w:w="1687" w:type="dxa"/>
          </w:tcPr>
          <w:p w:rsidR="0085407A" w:rsidRPr="004A07BD" w:rsidRDefault="0085407A" w:rsidP="0085407A">
            <w:pPr>
              <w:spacing w:line="48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A07BD">
              <w:rPr>
                <w:rFonts w:eastAsia="Calibri" w:cs="Times New Roman"/>
                <w:sz w:val="20"/>
                <w:szCs w:val="20"/>
              </w:rPr>
              <w:t xml:space="preserve">199 </w:t>
            </w:r>
            <w:r w:rsidRPr="004A07BD">
              <w:rPr>
                <w:rFonts w:eastAsia="Calibri" w:cstheme="minorHAnsi"/>
                <w:sz w:val="20"/>
                <w:szCs w:val="20"/>
              </w:rPr>
              <w:t>/ 7121</w:t>
            </w:r>
            <w:r w:rsidRPr="004A07BD">
              <w:rPr>
                <w:rFonts w:eastAsia="Calibri" w:cs="Times New Roman"/>
                <w:sz w:val="20"/>
                <w:szCs w:val="20"/>
              </w:rPr>
              <w:t xml:space="preserve"> (2.8%)</w:t>
            </w:r>
          </w:p>
        </w:tc>
        <w:tc>
          <w:tcPr>
            <w:tcW w:w="1980" w:type="dxa"/>
          </w:tcPr>
          <w:p w:rsidR="0085407A" w:rsidRPr="004A07BD" w:rsidRDefault="0085407A" w:rsidP="0085407A">
            <w:pPr>
              <w:spacing w:line="480" w:lineRule="auto"/>
              <w:jc w:val="center"/>
            </w:pPr>
            <w:r w:rsidRPr="004A07BD">
              <w:t>0.98 (0.74-1.12)</w:t>
            </w:r>
          </w:p>
        </w:tc>
        <w:tc>
          <w:tcPr>
            <w:tcW w:w="900" w:type="dxa"/>
          </w:tcPr>
          <w:p w:rsidR="0085407A" w:rsidRPr="004A07BD" w:rsidRDefault="0085407A" w:rsidP="0085407A">
            <w:pPr>
              <w:spacing w:line="480" w:lineRule="auto"/>
              <w:jc w:val="center"/>
            </w:pPr>
            <w:r w:rsidRPr="004A07BD">
              <w:t>0.83</w:t>
            </w:r>
          </w:p>
        </w:tc>
      </w:tr>
      <w:tr w:rsidR="0085407A" w:rsidRPr="004A07BD" w:rsidTr="004A07BD">
        <w:tc>
          <w:tcPr>
            <w:tcW w:w="2425" w:type="dxa"/>
          </w:tcPr>
          <w:p w:rsidR="0085407A" w:rsidRPr="00EF1557" w:rsidRDefault="0085407A" w:rsidP="0085407A">
            <w:pPr>
              <w:spacing w:line="48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Mortality </w:t>
            </w:r>
            <w:r w:rsidRPr="00EF1557">
              <w:rPr>
                <w:rFonts w:eastAsia="Calibri" w:cstheme="minorHAnsi"/>
                <w:sz w:val="20"/>
                <w:szCs w:val="20"/>
              </w:rPr>
              <w:t xml:space="preserve">30 day </w:t>
            </w:r>
          </w:p>
        </w:tc>
        <w:tc>
          <w:tcPr>
            <w:tcW w:w="1643" w:type="dxa"/>
          </w:tcPr>
          <w:p w:rsidR="0085407A" w:rsidRPr="004A07BD" w:rsidRDefault="0085407A" w:rsidP="0085407A">
            <w:pPr>
              <w:spacing w:line="48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A07BD">
              <w:rPr>
                <w:rFonts w:eastAsia="Calibri" w:cs="Times New Roman"/>
                <w:sz w:val="20"/>
                <w:szCs w:val="20"/>
              </w:rPr>
              <w:t xml:space="preserve">185 </w:t>
            </w:r>
            <w:r w:rsidRPr="004A07BD">
              <w:rPr>
                <w:rFonts w:eastAsia="Calibri" w:cstheme="minorHAnsi"/>
                <w:sz w:val="20"/>
                <w:szCs w:val="20"/>
              </w:rPr>
              <w:t>/ 7954</w:t>
            </w:r>
            <w:r w:rsidRPr="004A07BD">
              <w:rPr>
                <w:rFonts w:eastAsia="Calibri" w:cs="Times New Roman"/>
                <w:sz w:val="20"/>
                <w:szCs w:val="20"/>
              </w:rPr>
              <w:t xml:space="preserve"> (2.3%)</w:t>
            </w:r>
          </w:p>
        </w:tc>
        <w:tc>
          <w:tcPr>
            <w:tcW w:w="1687" w:type="dxa"/>
          </w:tcPr>
          <w:p w:rsidR="0085407A" w:rsidRPr="004A07BD" w:rsidRDefault="0085407A" w:rsidP="0085407A">
            <w:pPr>
              <w:spacing w:line="48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A07BD">
              <w:rPr>
                <w:rFonts w:eastAsia="Calibri" w:cs="Times New Roman"/>
                <w:sz w:val="20"/>
                <w:szCs w:val="20"/>
              </w:rPr>
              <w:t xml:space="preserve">246 </w:t>
            </w:r>
            <w:r w:rsidRPr="004A07BD">
              <w:rPr>
                <w:rFonts w:eastAsia="Calibri" w:cstheme="minorHAnsi"/>
                <w:sz w:val="20"/>
                <w:szCs w:val="20"/>
              </w:rPr>
              <w:t>/ 8321</w:t>
            </w:r>
            <w:r w:rsidRPr="004A07BD">
              <w:rPr>
                <w:rFonts w:eastAsia="Calibri" w:cs="Times New Roman"/>
                <w:sz w:val="20"/>
                <w:szCs w:val="20"/>
              </w:rPr>
              <w:t xml:space="preserve"> (3.0%)</w:t>
            </w:r>
          </w:p>
        </w:tc>
        <w:tc>
          <w:tcPr>
            <w:tcW w:w="1980" w:type="dxa"/>
          </w:tcPr>
          <w:p w:rsidR="0085407A" w:rsidRPr="004A07BD" w:rsidRDefault="0085407A" w:rsidP="0085407A">
            <w:pPr>
              <w:spacing w:line="480" w:lineRule="auto"/>
              <w:jc w:val="center"/>
            </w:pPr>
            <w:r w:rsidRPr="004A07BD">
              <w:t>0.91 (0.81-1.21)</w:t>
            </w:r>
          </w:p>
        </w:tc>
        <w:tc>
          <w:tcPr>
            <w:tcW w:w="900" w:type="dxa"/>
          </w:tcPr>
          <w:p w:rsidR="0085407A" w:rsidRPr="004A07BD" w:rsidRDefault="0085407A" w:rsidP="0085407A">
            <w:pPr>
              <w:spacing w:line="480" w:lineRule="auto"/>
              <w:jc w:val="center"/>
            </w:pPr>
            <w:r w:rsidRPr="004A07BD">
              <w:t>0.35</w:t>
            </w:r>
          </w:p>
        </w:tc>
      </w:tr>
      <w:tr w:rsidR="0085407A" w:rsidRPr="004A07BD" w:rsidTr="004A07BD">
        <w:tc>
          <w:tcPr>
            <w:tcW w:w="2425" w:type="dxa"/>
          </w:tcPr>
          <w:p w:rsidR="0085407A" w:rsidRPr="00EF1557" w:rsidRDefault="0085407A" w:rsidP="0085407A">
            <w:pPr>
              <w:spacing w:line="480" w:lineRule="auto"/>
              <w:rPr>
                <w:rFonts w:eastAsia="Calibri" w:cstheme="minorHAnsi"/>
                <w:sz w:val="20"/>
                <w:szCs w:val="20"/>
              </w:rPr>
            </w:pPr>
            <w:r w:rsidRPr="00EF1557">
              <w:rPr>
                <w:rFonts w:eastAsia="Calibri" w:cstheme="minorHAnsi"/>
                <w:sz w:val="20"/>
                <w:szCs w:val="20"/>
              </w:rPr>
              <w:lastRenderedPageBreak/>
              <w:t>Median Hospital Length of Stay</w:t>
            </w:r>
            <w:r>
              <w:rPr>
                <w:rFonts w:eastAsia="Calibri" w:cstheme="minorHAnsi"/>
                <w:sz w:val="20"/>
                <w:szCs w:val="20"/>
              </w:rPr>
              <w:t xml:space="preserve"> in days</w:t>
            </w:r>
            <w:r w:rsidRPr="00EF1557">
              <w:rPr>
                <w:rFonts w:eastAsia="Calibri" w:cstheme="minorHAnsi"/>
                <w:sz w:val="20"/>
                <w:szCs w:val="20"/>
              </w:rPr>
              <w:t xml:space="preserve"> [25</w:t>
            </w:r>
            <w:r w:rsidRPr="00EF1557">
              <w:rPr>
                <w:rFonts w:eastAsia="Calibri" w:cstheme="minorHAnsi"/>
                <w:sz w:val="20"/>
                <w:szCs w:val="20"/>
                <w:vertAlign w:val="superscript"/>
              </w:rPr>
              <w:t>th</w:t>
            </w:r>
            <w:r w:rsidRPr="00EF1557">
              <w:rPr>
                <w:rFonts w:eastAsia="Calibri" w:cstheme="minorHAnsi"/>
                <w:sz w:val="20"/>
                <w:szCs w:val="20"/>
              </w:rPr>
              <w:t xml:space="preserve"> to 75</w:t>
            </w:r>
            <w:r w:rsidRPr="00EF1557">
              <w:rPr>
                <w:rFonts w:eastAsia="Calibri" w:cstheme="minorHAnsi"/>
                <w:sz w:val="20"/>
                <w:szCs w:val="20"/>
                <w:vertAlign w:val="superscript"/>
              </w:rPr>
              <w:t>th</w:t>
            </w:r>
            <w:r w:rsidRPr="00EF1557">
              <w:rPr>
                <w:rFonts w:eastAsia="Calibri" w:cstheme="minorHAnsi"/>
                <w:sz w:val="20"/>
                <w:szCs w:val="20"/>
              </w:rPr>
              <w:t xml:space="preserve"> percentile]</w:t>
            </w:r>
          </w:p>
        </w:tc>
        <w:tc>
          <w:tcPr>
            <w:tcW w:w="1643" w:type="dxa"/>
          </w:tcPr>
          <w:p w:rsidR="0085407A" w:rsidRPr="004A07BD" w:rsidRDefault="0085407A" w:rsidP="0085407A">
            <w:pPr>
              <w:spacing w:line="48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A07BD">
              <w:rPr>
                <w:rFonts w:eastAsia="Calibri" w:cs="Times New Roman"/>
                <w:sz w:val="20"/>
                <w:szCs w:val="20"/>
              </w:rPr>
              <w:t>5 [3-11]</w:t>
            </w:r>
          </w:p>
        </w:tc>
        <w:tc>
          <w:tcPr>
            <w:tcW w:w="1687" w:type="dxa"/>
          </w:tcPr>
          <w:p w:rsidR="0085407A" w:rsidRPr="004A07BD" w:rsidRDefault="0085407A" w:rsidP="0085407A">
            <w:pPr>
              <w:spacing w:line="48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A07BD">
              <w:rPr>
                <w:rFonts w:eastAsia="Calibri" w:cs="Times New Roman"/>
                <w:sz w:val="20"/>
                <w:szCs w:val="20"/>
              </w:rPr>
              <w:t>6 [3-12]</w:t>
            </w:r>
          </w:p>
        </w:tc>
        <w:tc>
          <w:tcPr>
            <w:tcW w:w="1980" w:type="dxa"/>
          </w:tcPr>
          <w:p w:rsidR="0085407A" w:rsidRPr="004A07BD" w:rsidRDefault="0085407A" w:rsidP="0085407A">
            <w:pPr>
              <w:spacing w:line="480" w:lineRule="auto"/>
              <w:jc w:val="center"/>
            </w:pPr>
            <w:r w:rsidRPr="004A07BD">
              <w:t xml:space="preserve"> Beta -0.02 (-0.03 to -0.003)</w:t>
            </w:r>
          </w:p>
        </w:tc>
        <w:tc>
          <w:tcPr>
            <w:tcW w:w="900" w:type="dxa"/>
          </w:tcPr>
          <w:p w:rsidR="0085407A" w:rsidRPr="004A07BD" w:rsidRDefault="0085407A" w:rsidP="0085407A">
            <w:pPr>
              <w:spacing w:line="480" w:lineRule="auto"/>
              <w:jc w:val="center"/>
            </w:pPr>
            <w:r w:rsidRPr="004A07BD">
              <w:t>0.01</w:t>
            </w:r>
          </w:p>
        </w:tc>
      </w:tr>
      <w:tr w:rsidR="0085407A" w:rsidRPr="004A07BD" w:rsidTr="004A07BD">
        <w:tc>
          <w:tcPr>
            <w:tcW w:w="2425" w:type="dxa"/>
          </w:tcPr>
          <w:p w:rsidR="0085407A" w:rsidRPr="00EF1557" w:rsidRDefault="0085407A" w:rsidP="0085407A">
            <w:pPr>
              <w:spacing w:line="48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Encounter Charges</w:t>
            </w:r>
            <w:r w:rsidR="004A07BD">
              <w:rPr>
                <w:rFonts w:eastAsia="Calibri" w:cstheme="minorHAnsi"/>
                <w:sz w:val="20"/>
                <w:szCs w:val="20"/>
              </w:rPr>
              <w:t xml:space="preserve"> [</w:t>
            </w:r>
            <w:r w:rsidR="004A07BD" w:rsidRPr="00EF1557">
              <w:rPr>
                <w:rFonts w:eastAsia="Calibri" w:cstheme="minorHAnsi"/>
                <w:sz w:val="20"/>
                <w:szCs w:val="20"/>
              </w:rPr>
              <w:t>25</w:t>
            </w:r>
            <w:r w:rsidR="004A07BD" w:rsidRPr="00EF1557">
              <w:rPr>
                <w:rFonts w:eastAsia="Calibri" w:cstheme="minorHAnsi"/>
                <w:sz w:val="20"/>
                <w:szCs w:val="20"/>
                <w:vertAlign w:val="superscript"/>
              </w:rPr>
              <w:t>th</w:t>
            </w:r>
            <w:r w:rsidR="004A07BD" w:rsidRPr="00EF1557">
              <w:rPr>
                <w:rFonts w:eastAsia="Calibri" w:cstheme="minorHAnsi"/>
                <w:sz w:val="20"/>
                <w:szCs w:val="20"/>
              </w:rPr>
              <w:t xml:space="preserve"> to 75</w:t>
            </w:r>
            <w:r w:rsidR="004A07BD" w:rsidRPr="00EF1557">
              <w:rPr>
                <w:rFonts w:eastAsia="Calibri" w:cstheme="minorHAnsi"/>
                <w:sz w:val="20"/>
                <w:szCs w:val="20"/>
                <w:vertAlign w:val="superscript"/>
              </w:rPr>
              <w:t>th</w:t>
            </w:r>
            <w:r w:rsidR="004A07BD" w:rsidRPr="00EF1557">
              <w:rPr>
                <w:rFonts w:eastAsia="Calibri" w:cstheme="minorHAnsi"/>
                <w:sz w:val="20"/>
                <w:szCs w:val="20"/>
              </w:rPr>
              <w:t xml:space="preserve"> percentile]</w:t>
            </w:r>
          </w:p>
        </w:tc>
        <w:tc>
          <w:tcPr>
            <w:tcW w:w="1643" w:type="dxa"/>
          </w:tcPr>
          <w:p w:rsidR="0085407A" w:rsidRPr="004A07BD" w:rsidRDefault="004A07BD" w:rsidP="0085407A">
            <w:pPr>
              <w:spacing w:line="48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A07BD">
              <w:rPr>
                <w:rFonts w:eastAsia="Calibri" w:cs="Times New Roman"/>
                <w:sz w:val="20"/>
                <w:szCs w:val="20"/>
              </w:rPr>
              <w:t>$65,770 [41,237-123,869]</w:t>
            </w:r>
          </w:p>
        </w:tc>
        <w:tc>
          <w:tcPr>
            <w:tcW w:w="1687" w:type="dxa"/>
          </w:tcPr>
          <w:p w:rsidR="0085407A" w:rsidRPr="004A07BD" w:rsidRDefault="004A07BD" w:rsidP="0085407A">
            <w:pPr>
              <w:spacing w:line="48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A07BD">
              <w:rPr>
                <w:rFonts w:eastAsia="Calibri" w:cs="Times New Roman"/>
                <w:sz w:val="20"/>
                <w:szCs w:val="20"/>
              </w:rPr>
              <w:t>$</w:t>
            </w:r>
            <w:r w:rsidR="0085407A" w:rsidRPr="004A07BD">
              <w:rPr>
                <w:rFonts w:eastAsia="Calibri" w:cs="Times New Roman"/>
                <w:sz w:val="20"/>
                <w:szCs w:val="20"/>
              </w:rPr>
              <w:t>68,621 [41,381 to 134,568]</w:t>
            </w:r>
          </w:p>
        </w:tc>
        <w:tc>
          <w:tcPr>
            <w:tcW w:w="1980" w:type="dxa"/>
          </w:tcPr>
          <w:p w:rsidR="0085407A" w:rsidRPr="004A07BD" w:rsidRDefault="0085407A" w:rsidP="0085407A">
            <w:pPr>
              <w:spacing w:line="480" w:lineRule="auto"/>
              <w:jc w:val="center"/>
            </w:pPr>
            <w:r w:rsidRPr="004A07BD">
              <w:t>Beta  -0.02 (-0.02 to -0.02)</w:t>
            </w:r>
          </w:p>
        </w:tc>
        <w:tc>
          <w:tcPr>
            <w:tcW w:w="900" w:type="dxa"/>
          </w:tcPr>
          <w:p w:rsidR="0085407A" w:rsidRPr="004A07BD" w:rsidRDefault="0085407A" w:rsidP="0085407A">
            <w:pPr>
              <w:spacing w:line="480" w:lineRule="auto"/>
              <w:jc w:val="center"/>
            </w:pPr>
            <w:r w:rsidRPr="004A07BD">
              <w:t>&lt;0.001</w:t>
            </w:r>
          </w:p>
        </w:tc>
      </w:tr>
    </w:tbl>
    <w:p w:rsidR="0034173D" w:rsidRDefault="0034173D" w:rsidP="0034173D">
      <w:pPr>
        <w:spacing w:line="480" w:lineRule="auto"/>
      </w:pPr>
    </w:p>
    <w:p w:rsidR="004A07BD" w:rsidRDefault="004A07BD" w:rsidP="0034173D">
      <w:pPr>
        <w:spacing w:line="480" w:lineRule="auto"/>
      </w:pPr>
    </w:p>
    <w:p w:rsidR="004A07BD" w:rsidRDefault="004A07BD" w:rsidP="0034173D">
      <w:pPr>
        <w:spacing w:line="480" w:lineRule="auto"/>
      </w:pPr>
    </w:p>
    <w:p w:rsidR="004A07BD" w:rsidRDefault="004A07BD" w:rsidP="0034173D">
      <w:pPr>
        <w:spacing w:line="480" w:lineRule="auto"/>
      </w:pPr>
    </w:p>
    <w:p w:rsidR="004A07BD" w:rsidRDefault="004A07BD" w:rsidP="0034173D">
      <w:pPr>
        <w:spacing w:line="480" w:lineRule="auto"/>
      </w:pPr>
    </w:p>
    <w:p w:rsidR="008810E9" w:rsidRPr="004E3BF5" w:rsidRDefault="008810E9" w:rsidP="0034173D">
      <w:pPr>
        <w:spacing w:line="480" w:lineRule="auto"/>
      </w:pPr>
      <w:r w:rsidRPr="004E3BF5">
        <w:t>CI = Confidence Interval</w:t>
      </w:r>
    </w:p>
    <w:p w:rsidR="0034173D" w:rsidRPr="004E3BF5" w:rsidRDefault="0034173D" w:rsidP="0034173D">
      <w:pPr>
        <w:spacing w:line="480" w:lineRule="auto"/>
      </w:pPr>
      <w:r w:rsidRPr="004E3BF5">
        <w:t>* Patients &lt; 500 estimated blood loss and no packed red blood cells given</w:t>
      </w:r>
    </w:p>
    <w:p w:rsidR="0034173D" w:rsidRPr="004E3BF5" w:rsidRDefault="0034173D" w:rsidP="0034173D">
      <w:pPr>
        <w:spacing w:line="480" w:lineRule="auto"/>
      </w:pPr>
      <w:r w:rsidRPr="004E3BF5">
        <w:t>** Patients with ideal body weight ≤ 50kgs</w:t>
      </w:r>
    </w:p>
    <w:p w:rsidR="0034173D" w:rsidRPr="004E3BF5" w:rsidRDefault="0034173D" w:rsidP="0034173D">
      <w:pPr>
        <w:spacing w:line="480" w:lineRule="auto"/>
      </w:pPr>
      <w:r w:rsidRPr="004E3BF5">
        <w:t>*** Adjusted for patient demographics, anthropometrics, clinical diagnoses, procedural risk, and in-room provider characteristics.  For dichotomous outcomes, a logistic regression model was used.  For continuous outcomes, generalized linear model with Poisson distribution was used.</w:t>
      </w:r>
      <w:r w:rsidR="006A1DCF" w:rsidRPr="004E3BF5">
        <w:t xml:space="preserve">  Measure of effect size of binary outcomes are reported as adjusted odds ratios and 95% confidence intervals.  Measure of effect size for continuous outcomes are reported as beta coefficients and 95% confidence intervals</w:t>
      </w:r>
      <w:r w:rsidR="00977382" w:rsidRPr="004E3BF5">
        <w:t xml:space="preserve">. The beta coefficient indicates in what direction the use of AlertWatch demonstrated </w:t>
      </w:r>
      <w:r w:rsidR="00F80ADD" w:rsidRPr="004E3BF5">
        <w:t xml:space="preserve">impact: </w:t>
      </w:r>
      <w:r w:rsidR="00977382" w:rsidRPr="004E3BF5">
        <w:t>a lower (negative beta coefficient) or a higher (positive beta coefficient) expected value.</w:t>
      </w:r>
    </w:p>
    <w:sectPr w:rsidR="0034173D" w:rsidRPr="004E3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3D"/>
    <w:rsid w:val="00007160"/>
    <w:rsid w:val="000A2114"/>
    <w:rsid w:val="001E7C29"/>
    <w:rsid w:val="00230761"/>
    <w:rsid w:val="0034173D"/>
    <w:rsid w:val="00443DC6"/>
    <w:rsid w:val="004822E9"/>
    <w:rsid w:val="00486F6B"/>
    <w:rsid w:val="0049103A"/>
    <w:rsid w:val="004A07BD"/>
    <w:rsid w:val="004E3BF5"/>
    <w:rsid w:val="00505AB9"/>
    <w:rsid w:val="006A0051"/>
    <w:rsid w:val="006A1DCF"/>
    <w:rsid w:val="007122EB"/>
    <w:rsid w:val="00780D6C"/>
    <w:rsid w:val="007C2B93"/>
    <w:rsid w:val="0085407A"/>
    <w:rsid w:val="008810E9"/>
    <w:rsid w:val="009374EB"/>
    <w:rsid w:val="00961F53"/>
    <w:rsid w:val="00977382"/>
    <w:rsid w:val="00A62763"/>
    <w:rsid w:val="00A9012F"/>
    <w:rsid w:val="00B2155B"/>
    <w:rsid w:val="00B52B83"/>
    <w:rsid w:val="00D669F2"/>
    <w:rsid w:val="00D715EC"/>
    <w:rsid w:val="00E528E9"/>
    <w:rsid w:val="00F8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638039-B9F8-413A-94F3-378F623D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0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56D10-C9A5-47E1-9396-FDA3DE9DF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Kheterpal, Sachin</dc:creator>
  <cp:keywords/>
  <dc:description/>
  <cp:lastModifiedBy>Kheterpal, Sachin</cp:lastModifiedBy>
  <cp:revision>4</cp:revision>
  <dcterms:created xsi:type="dcterms:W3CDTF">2017-07-13T15:46:00Z</dcterms:created>
  <dcterms:modified xsi:type="dcterms:W3CDTF">2017-08-02T21:50:00Z</dcterms:modified>
</cp:coreProperties>
</file>