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A9" w:rsidRPr="008206F1" w:rsidRDefault="00B40D7A" w:rsidP="009C0EA9">
      <w:pPr>
        <w:rPr>
          <w:rFonts w:ascii="Times New Roman" w:hAnsi="Times New Roman" w:cs="Times New Roman"/>
        </w:rPr>
      </w:pPr>
      <w:r w:rsidRPr="008206F1">
        <w:rPr>
          <w:rFonts w:ascii="Times New Roman" w:hAnsi="Times New Roman" w:cs="Times New Roman"/>
          <w:b/>
        </w:rPr>
        <w:t>Appendix I</w:t>
      </w:r>
      <w:r w:rsidR="005F27C1" w:rsidRPr="008206F1">
        <w:rPr>
          <w:rFonts w:ascii="Times New Roman" w:hAnsi="Times New Roman" w:cs="Times New Roman"/>
          <w:b/>
        </w:rPr>
        <w:t>II</w:t>
      </w:r>
      <w:r w:rsidR="009C0EA9" w:rsidRPr="008206F1">
        <w:rPr>
          <w:rFonts w:ascii="Times New Roman" w:hAnsi="Times New Roman" w:cs="Times New Roman"/>
          <w:b/>
        </w:rPr>
        <w:t xml:space="preserve">. </w:t>
      </w:r>
      <w:r w:rsidR="009C0EA9" w:rsidRPr="008206F1">
        <w:rPr>
          <w:rFonts w:ascii="Times New Roman" w:hAnsi="Times New Roman" w:cs="Times New Roman"/>
        </w:rPr>
        <w:t xml:space="preserve">Results from multivariable multilevel models comparing hospitals that use neuraxial anesthesia to hospitals that do not; ORs for binary variables, for continuous outcomes </w:t>
      </w:r>
      <w:proofErr w:type="spellStart"/>
      <w:r w:rsidR="009C0EA9" w:rsidRPr="008206F1">
        <w:rPr>
          <w:rFonts w:ascii="Times New Roman" w:hAnsi="Times New Roman" w:cs="Times New Roman"/>
        </w:rPr>
        <w:t>exponentiated</w:t>
      </w:r>
      <w:proofErr w:type="spellEnd"/>
      <w:r w:rsidR="009C0EA9" w:rsidRPr="008206F1">
        <w:rPr>
          <w:rFonts w:ascii="Times New Roman" w:hAnsi="Times New Roman" w:cs="Times New Roman"/>
        </w:rPr>
        <w:t xml:space="preserve"> coefficients from the log model depicting % change compared to reference.</w:t>
      </w:r>
    </w:p>
    <w:tbl>
      <w:tblPr>
        <w:tblW w:w="7575" w:type="dxa"/>
        <w:tblInd w:w="93" w:type="dxa"/>
        <w:tblLook w:val="04A0" w:firstRow="1" w:lastRow="0" w:firstColumn="1" w:lastColumn="0" w:noHBand="0" w:noVBand="1"/>
      </w:tblPr>
      <w:tblGrid>
        <w:gridCol w:w="2820"/>
        <w:gridCol w:w="2415"/>
        <w:gridCol w:w="2340"/>
      </w:tblGrid>
      <w:tr w:rsidR="008206F1" w:rsidRPr="008206F1" w:rsidTr="00B40D7A">
        <w:trPr>
          <w:trHeight w:val="255"/>
        </w:trPr>
        <w:tc>
          <w:tcPr>
            <w:tcW w:w="2820" w:type="dxa"/>
            <w:tcBorders>
              <w:top w:val="nil"/>
              <w:left w:val="nil"/>
              <w:bottom w:val="nil"/>
              <w:right w:val="nil"/>
            </w:tcBorders>
            <w:shd w:val="clear" w:color="auto" w:fill="auto"/>
            <w:noWrap/>
            <w:vAlign w:val="bottom"/>
            <w:hideMark/>
          </w:tcPr>
          <w:p w:rsidR="00B40D7A" w:rsidRPr="008206F1" w:rsidRDefault="00B40D7A" w:rsidP="00B40D7A">
            <w:pPr>
              <w:rPr>
                <w:rFonts w:ascii="Times New Roman" w:eastAsia="Times New Roman" w:hAnsi="Times New Roman" w:cs="Times New Roman"/>
                <w:sz w:val="20"/>
                <w:szCs w:val="20"/>
              </w:rPr>
            </w:pPr>
          </w:p>
        </w:tc>
        <w:tc>
          <w:tcPr>
            <w:tcW w:w="4755" w:type="dxa"/>
            <w:gridSpan w:val="2"/>
            <w:tcBorders>
              <w:top w:val="nil"/>
              <w:left w:val="nil"/>
              <w:bottom w:val="nil"/>
              <w:right w:val="nil"/>
            </w:tcBorders>
            <w:shd w:val="clear" w:color="auto" w:fill="auto"/>
            <w:noWrap/>
            <w:vAlign w:val="bottom"/>
            <w:hideMark/>
          </w:tcPr>
          <w:p w:rsidR="00B40D7A" w:rsidRPr="008206F1" w:rsidRDefault="00B40D7A" w:rsidP="00B40D7A">
            <w:pPr>
              <w:jc w:val="center"/>
              <w:rPr>
                <w:rFonts w:ascii="Times New Roman" w:eastAsia="Times New Roman" w:hAnsi="Times New Roman" w:cs="Times New Roman"/>
                <w:b/>
                <w:bCs/>
                <w:sz w:val="20"/>
                <w:szCs w:val="20"/>
              </w:rPr>
            </w:pPr>
            <w:r w:rsidRPr="008206F1">
              <w:rPr>
                <w:rFonts w:ascii="Times New Roman" w:eastAsia="Times New Roman" w:hAnsi="Times New Roman" w:cs="Times New Roman"/>
                <w:b/>
                <w:bCs/>
                <w:sz w:val="20"/>
                <w:szCs w:val="20"/>
              </w:rPr>
              <w:t>Hospital-level Neuraxial Use</w:t>
            </w:r>
          </w:p>
        </w:tc>
      </w:tr>
      <w:tr w:rsidR="008206F1" w:rsidRPr="008206F1" w:rsidTr="00B40D7A">
        <w:trPr>
          <w:trHeight w:val="255"/>
        </w:trPr>
        <w:tc>
          <w:tcPr>
            <w:tcW w:w="2820" w:type="dxa"/>
            <w:tcBorders>
              <w:top w:val="nil"/>
              <w:left w:val="nil"/>
              <w:bottom w:val="nil"/>
              <w:right w:val="nil"/>
            </w:tcBorders>
            <w:shd w:val="clear" w:color="auto" w:fill="auto"/>
            <w:noWrap/>
            <w:vAlign w:val="bottom"/>
            <w:hideMark/>
          </w:tcPr>
          <w:p w:rsidR="00B40D7A" w:rsidRPr="008206F1" w:rsidRDefault="00B40D7A" w:rsidP="00B40D7A">
            <w:pPr>
              <w:rPr>
                <w:rFonts w:ascii="Times New Roman" w:eastAsia="Times New Roman" w:hAnsi="Times New Roman" w:cs="Times New Roman"/>
                <w:sz w:val="20"/>
                <w:szCs w:val="20"/>
              </w:rPr>
            </w:pPr>
          </w:p>
        </w:tc>
        <w:tc>
          <w:tcPr>
            <w:tcW w:w="4755" w:type="dxa"/>
            <w:gridSpan w:val="2"/>
            <w:tcBorders>
              <w:top w:val="nil"/>
              <w:left w:val="nil"/>
              <w:bottom w:val="nil"/>
              <w:right w:val="nil"/>
            </w:tcBorders>
            <w:shd w:val="clear" w:color="auto" w:fill="auto"/>
            <w:noWrap/>
            <w:vAlign w:val="bottom"/>
            <w:hideMark/>
          </w:tcPr>
          <w:p w:rsidR="00B40D7A" w:rsidRPr="008206F1" w:rsidRDefault="00B40D7A" w:rsidP="00B40D7A">
            <w:pPr>
              <w:jc w:val="center"/>
              <w:rPr>
                <w:rFonts w:ascii="Times New Roman" w:eastAsia="Times New Roman" w:hAnsi="Times New Roman" w:cs="Times New Roman"/>
                <w:b/>
                <w:bCs/>
                <w:sz w:val="20"/>
                <w:szCs w:val="20"/>
              </w:rPr>
            </w:pPr>
            <w:r w:rsidRPr="008206F1">
              <w:rPr>
                <w:rFonts w:ascii="Times New Roman" w:eastAsia="Times New Roman" w:hAnsi="Times New Roman" w:cs="Times New Roman"/>
                <w:b/>
                <w:bCs/>
                <w:sz w:val="20"/>
                <w:szCs w:val="20"/>
              </w:rPr>
              <w:t>[Reference=Hospitals that do not use neuraxial]</w:t>
            </w:r>
          </w:p>
        </w:tc>
      </w:tr>
      <w:tr w:rsidR="008206F1" w:rsidRPr="008206F1" w:rsidTr="00B40D7A">
        <w:trPr>
          <w:trHeight w:val="255"/>
        </w:trPr>
        <w:tc>
          <w:tcPr>
            <w:tcW w:w="2820" w:type="dxa"/>
            <w:tcBorders>
              <w:top w:val="nil"/>
              <w:left w:val="nil"/>
              <w:bottom w:val="single" w:sz="4" w:space="0" w:color="auto"/>
              <w:right w:val="nil"/>
            </w:tcBorders>
            <w:shd w:val="clear" w:color="auto" w:fill="auto"/>
            <w:noWrap/>
            <w:vAlign w:val="bottom"/>
            <w:hideMark/>
          </w:tcPr>
          <w:p w:rsidR="00B40D7A" w:rsidRPr="008206F1" w:rsidRDefault="00B40D7A" w:rsidP="00B40D7A">
            <w:pPr>
              <w:rPr>
                <w:rFonts w:ascii="Times New Roman" w:eastAsia="Times New Roman" w:hAnsi="Times New Roman" w:cs="Times New Roman"/>
                <w:sz w:val="20"/>
                <w:szCs w:val="20"/>
              </w:rPr>
            </w:pPr>
            <w:r w:rsidRPr="008206F1">
              <w:rPr>
                <w:rFonts w:ascii="Times New Roman" w:eastAsia="Times New Roman" w:hAnsi="Times New Roman" w:cs="Times New Roman"/>
                <w:sz w:val="20"/>
                <w:szCs w:val="20"/>
              </w:rPr>
              <w:t> </w:t>
            </w:r>
          </w:p>
        </w:tc>
        <w:tc>
          <w:tcPr>
            <w:tcW w:w="2415" w:type="dxa"/>
            <w:tcBorders>
              <w:top w:val="nil"/>
              <w:left w:val="nil"/>
              <w:bottom w:val="single" w:sz="4" w:space="0" w:color="auto"/>
              <w:right w:val="nil"/>
            </w:tcBorders>
            <w:shd w:val="clear" w:color="auto" w:fill="auto"/>
            <w:noWrap/>
            <w:vAlign w:val="bottom"/>
            <w:hideMark/>
          </w:tcPr>
          <w:p w:rsidR="00B40D7A" w:rsidRPr="008206F1" w:rsidRDefault="00B40D7A" w:rsidP="00B40D7A">
            <w:pPr>
              <w:jc w:val="center"/>
              <w:rPr>
                <w:rFonts w:ascii="Times New Roman" w:eastAsia="Times New Roman" w:hAnsi="Times New Roman" w:cs="Times New Roman"/>
                <w:b/>
                <w:bCs/>
                <w:sz w:val="20"/>
                <w:szCs w:val="20"/>
              </w:rPr>
            </w:pPr>
            <w:r w:rsidRPr="008206F1">
              <w:rPr>
                <w:rFonts w:ascii="Times New Roman" w:eastAsia="Times New Roman" w:hAnsi="Times New Roman" w:cs="Times New Roman"/>
                <w:b/>
                <w:bCs/>
                <w:sz w:val="20"/>
                <w:szCs w:val="20"/>
              </w:rPr>
              <w:t>KNEE</w:t>
            </w:r>
          </w:p>
        </w:tc>
        <w:tc>
          <w:tcPr>
            <w:tcW w:w="2340" w:type="dxa"/>
            <w:tcBorders>
              <w:top w:val="nil"/>
              <w:left w:val="nil"/>
              <w:bottom w:val="single" w:sz="4" w:space="0" w:color="auto"/>
              <w:right w:val="nil"/>
            </w:tcBorders>
            <w:shd w:val="clear" w:color="auto" w:fill="auto"/>
            <w:noWrap/>
            <w:vAlign w:val="bottom"/>
            <w:hideMark/>
          </w:tcPr>
          <w:p w:rsidR="00B40D7A" w:rsidRPr="008206F1" w:rsidRDefault="00B40D7A" w:rsidP="00B40D7A">
            <w:pPr>
              <w:jc w:val="center"/>
              <w:rPr>
                <w:rFonts w:ascii="Times New Roman" w:eastAsia="Times New Roman" w:hAnsi="Times New Roman" w:cs="Times New Roman"/>
                <w:b/>
                <w:bCs/>
                <w:sz w:val="20"/>
                <w:szCs w:val="20"/>
              </w:rPr>
            </w:pPr>
            <w:r w:rsidRPr="008206F1">
              <w:rPr>
                <w:rFonts w:ascii="Times New Roman" w:eastAsia="Times New Roman" w:hAnsi="Times New Roman" w:cs="Times New Roman"/>
                <w:b/>
                <w:bCs/>
                <w:sz w:val="20"/>
                <w:szCs w:val="20"/>
              </w:rPr>
              <w:t>HIP</w:t>
            </w:r>
          </w:p>
        </w:tc>
      </w:tr>
      <w:tr w:rsidR="008206F1" w:rsidRPr="008206F1" w:rsidTr="00B40D7A">
        <w:trPr>
          <w:trHeight w:val="315"/>
        </w:trPr>
        <w:tc>
          <w:tcPr>
            <w:tcW w:w="2820" w:type="dxa"/>
            <w:tcBorders>
              <w:top w:val="nil"/>
              <w:left w:val="nil"/>
              <w:bottom w:val="nil"/>
              <w:right w:val="nil"/>
            </w:tcBorders>
            <w:shd w:val="clear" w:color="auto" w:fill="auto"/>
            <w:noWrap/>
            <w:vAlign w:val="bottom"/>
            <w:hideMark/>
          </w:tcPr>
          <w:p w:rsidR="00B40D7A" w:rsidRPr="008206F1" w:rsidRDefault="00B40D7A" w:rsidP="00B40D7A">
            <w:pPr>
              <w:rPr>
                <w:rFonts w:ascii="Times New Roman" w:eastAsia="Times New Roman" w:hAnsi="Times New Roman" w:cs="Times New Roman"/>
                <w:sz w:val="20"/>
                <w:szCs w:val="20"/>
              </w:rPr>
            </w:pPr>
            <w:r w:rsidRPr="008206F1">
              <w:rPr>
                <w:rFonts w:ascii="Times New Roman" w:eastAsia="Times New Roman" w:hAnsi="Times New Roman" w:cs="Times New Roman"/>
                <w:sz w:val="20"/>
                <w:szCs w:val="20"/>
              </w:rPr>
              <w:t>Oral Morphine Equivalents**</w:t>
            </w:r>
          </w:p>
        </w:tc>
        <w:tc>
          <w:tcPr>
            <w:tcW w:w="2415" w:type="dxa"/>
            <w:tcBorders>
              <w:top w:val="nil"/>
              <w:left w:val="nil"/>
              <w:bottom w:val="nil"/>
              <w:right w:val="nil"/>
            </w:tcBorders>
            <w:shd w:val="clear" w:color="auto" w:fill="auto"/>
            <w:noWrap/>
            <w:vAlign w:val="bottom"/>
            <w:hideMark/>
          </w:tcPr>
          <w:p w:rsidR="00B40D7A" w:rsidRPr="008206F1" w:rsidRDefault="00B40D7A" w:rsidP="00B40D7A">
            <w:pPr>
              <w:jc w:val="center"/>
              <w:rPr>
                <w:rFonts w:ascii="Times New Roman" w:eastAsia="Times New Roman" w:hAnsi="Times New Roman" w:cs="Times New Roman"/>
                <w:sz w:val="20"/>
                <w:szCs w:val="20"/>
              </w:rPr>
            </w:pPr>
            <w:r w:rsidRPr="008206F1">
              <w:rPr>
                <w:rFonts w:ascii="Times New Roman" w:eastAsia="Times New Roman" w:hAnsi="Times New Roman" w:cs="Times New Roman"/>
                <w:sz w:val="20"/>
                <w:szCs w:val="20"/>
              </w:rPr>
              <w:t>-3.2% (-10.6%; 4.6%)</w:t>
            </w:r>
          </w:p>
        </w:tc>
        <w:tc>
          <w:tcPr>
            <w:tcW w:w="2340" w:type="dxa"/>
            <w:tcBorders>
              <w:top w:val="nil"/>
              <w:left w:val="nil"/>
              <w:bottom w:val="nil"/>
              <w:right w:val="nil"/>
            </w:tcBorders>
            <w:shd w:val="clear" w:color="auto" w:fill="auto"/>
            <w:noWrap/>
            <w:vAlign w:val="bottom"/>
            <w:hideMark/>
          </w:tcPr>
          <w:p w:rsidR="00B40D7A" w:rsidRPr="008206F1" w:rsidRDefault="00B40D7A" w:rsidP="00B40D7A">
            <w:pPr>
              <w:jc w:val="center"/>
              <w:rPr>
                <w:rFonts w:ascii="Times New Roman" w:eastAsia="Times New Roman" w:hAnsi="Times New Roman" w:cs="Times New Roman"/>
                <w:sz w:val="20"/>
                <w:szCs w:val="20"/>
              </w:rPr>
            </w:pPr>
            <w:r w:rsidRPr="008206F1">
              <w:rPr>
                <w:rFonts w:ascii="Times New Roman" w:eastAsia="Times New Roman" w:hAnsi="Times New Roman" w:cs="Times New Roman"/>
                <w:sz w:val="20"/>
                <w:szCs w:val="20"/>
              </w:rPr>
              <w:t>6.7% (-7.6%; 23.1%)</w:t>
            </w:r>
          </w:p>
        </w:tc>
      </w:tr>
      <w:tr w:rsidR="008206F1" w:rsidRPr="008206F1" w:rsidTr="00B40D7A">
        <w:trPr>
          <w:trHeight w:val="255"/>
        </w:trPr>
        <w:tc>
          <w:tcPr>
            <w:tcW w:w="2820" w:type="dxa"/>
            <w:tcBorders>
              <w:top w:val="nil"/>
              <w:left w:val="nil"/>
              <w:bottom w:val="nil"/>
              <w:right w:val="nil"/>
            </w:tcBorders>
            <w:shd w:val="clear" w:color="auto" w:fill="auto"/>
            <w:noWrap/>
            <w:vAlign w:val="bottom"/>
            <w:hideMark/>
          </w:tcPr>
          <w:p w:rsidR="00B40D7A" w:rsidRPr="008206F1" w:rsidRDefault="00B40D7A" w:rsidP="00B40D7A">
            <w:pPr>
              <w:rPr>
                <w:rFonts w:ascii="Times New Roman" w:eastAsia="Times New Roman" w:hAnsi="Times New Roman" w:cs="Times New Roman"/>
                <w:sz w:val="20"/>
                <w:szCs w:val="20"/>
              </w:rPr>
            </w:pPr>
            <w:r w:rsidRPr="008206F1">
              <w:rPr>
                <w:rFonts w:ascii="Times New Roman" w:eastAsia="Times New Roman" w:hAnsi="Times New Roman" w:cs="Times New Roman"/>
                <w:sz w:val="20"/>
                <w:szCs w:val="20"/>
              </w:rPr>
              <w:t>Length of Stay**</w:t>
            </w:r>
          </w:p>
        </w:tc>
        <w:tc>
          <w:tcPr>
            <w:tcW w:w="2415" w:type="dxa"/>
            <w:tcBorders>
              <w:top w:val="nil"/>
              <w:left w:val="nil"/>
              <w:bottom w:val="nil"/>
              <w:right w:val="nil"/>
            </w:tcBorders>
            <w:shd w:val="clear" w:color="auto" w:fill="auto"/>
            <w:noWrap/>
            <w:vAlign w:val="bottom"/>
            <w:hideMark/>
          </w:tcPr>
          <w:p w:rsidR="00B40D7A" w:rsidRPr="008206F1" w:rsidRDefault="00B40D7A" w:rsidP="00B40D7A">
            <w:pPr>
              <w:jc w:val="center"/>
              <w:rPr>
                <w:rFonts w:ascii="Times New Roman" w:eastAsia="Times New Roman" w:hAnsi="Times New Roman" w:cs="Times New Roman"/>
                <w:sz w:val="20"/>
                <w:szCs w:val="20"/>
              </w:rPr>
            </w:pPr>
            <w:r w:rsidRPr="008206F1">
              <w:rPr>
                <w:rFonts w:ascii="Times New Roman" w:eastAsia="Times New Roman" w:hAnsi="Times New Roman" w:cs="Times New Roman"/>
                <w:sz w:val="20"/>
                <w:szCs w:val="20"/>
              </w:rPr>
              <w:t>0.7% (0.5%; 0.9%)</w:t>
            </w:r>
          </w:p>
        </w:tc>
        <w:tc>
          <w:tcPr>
            <w:tcW w:w="2340" w:type="dxa"/>
            <w:tcBorders>
              <w:top w:val="nil"/>
              <w:left w:val="nil"/>
              <w:bottom w:val="nil"/>
              <w:right w:val="nil"/>
            </w:tcBorders>
            <w:shd w:val="clear" w:color="auto" w:fill="auto"/>
            <w:noWrap/>
            <w:vAlign w:val="bottom"/>
            <w:hideMark/>
          </w:tcPr>
          <w:p w:rsidR="00B40D7A" w:rsidRPr="008206F1" w:rsidRDefault="00B40D7A" w:rsidP="00B40D7A">
            <w:pPr>
              <w:jc w:val="center"/>
              <w:rPr>
                <w:rFonts w:ascii="Times New Roman" w:eastAsia="Times New Roman" w:hAnsi="Times New Roman" w:cs="Times New Roman"/>
                <w:sz w:val="20"/>
                <w:szCs w:val="20"/>
              </w:rPr>
            </w:pPr>
            <w:r w:rsidRPr="008206F1">
              <w:rPr>
                <w:rFonts w:ascii="Times New Roman" w:eastAsia="Times New Roman" w:hAnsi="Times New Roman" w:cs="Times New Roman"/>
                <w:sz w:val="20"/>
                <w:szCs w:val="20"/>
              </w:rPr>
              <w:t>-2.7% (-3.0%; -2.5%)*</w:t>
            </w:r>
          </w:p>
        </w:tc>
      </w:tr>
      <w:tr w:rsidR="008206F1" w:rsidRPr="008206F1" w:rsidTr="00B40D7A">
        <w:trPr>
          <w:trHeight w:val="255"/>
        </w:trPr>
        <w:tc>
          <w:tcPr>
            <w:tcW w:w="2820" w:type="dxa"/>
            <w:tcBorders>
              <w:top w:val="nil"/>
              <w:left w:val="nil"/>
              <w:bottom w:val="nil"/>
              <w:right w:val="nil"/>
            </w:tcBorders>
            <w:shd w:val="clear" w:color="auto" w:fill="auto"/>
            <w:noWrap/>
            <w:vAlign w:val="bottom"/>
            <w:hideMark/>
          </w:tcPr>
          <w:p w:rsidR="00B40D7A" w:rsidRPr="008206F1" w:rsidRDefault="00B40D7A" w:rsidP="00B40D7A">
            <w:pPr>
              <w:rPr>
                <w:rFonts w:ascii="Times New Roman" w:eastAsia="Times New Roman" w:hAnsi="Times New Roman" w:cs="Times New Roman"/>
                <w:sz w:val="20"/>
                <w:szCs w:val="20"/>
              </w:rPr>
            </w:pPr>
            <w:r w:rsidRPr="008206F1">
              <w:rPr>
                <w:rFonts w:ascii="Times New Roman" w:eastAsia="Times New Roman" w:hAnsi="Times New Roman" w:cs="Times New Roman"/>
                <w:sz w:val="20"/>
                <w:szCs w:val="20"/>
              </w:rPr>
              <w:t>Cost of Hospitalization**</w:t>
            </w:r>
          </w:p>
        </w:tc>
        <w:tc>
          <w:tcPr>
            <w:tcW w:w="2415" w:type="dxa"/>
            <w:tcBorders>
              <w:top w:val="nil"/>
              <w:left w:val="nil"/>
              <w:bottom w:val="nil"/>
              <w:right w:val="nil"/>
            </w:tcBorders>
            <w:shd w:val="clear" w:color="auto" w:fill="auto"/>
            <w:noWrap/>
            <w:vAlign w:val="bottom"/>
            <w:hideMark/>
          </w:tcPr>
          <w:p w:rsidR="00B40D7A" w:rsidRPr="008206F1" w:rsidRDefault="00B40D7A" w:rsidP="00B40D7A">
            <w:pPr>
              <w:jc w:val="center"/>
              <w:rPr>
                <w:rFonts w:ascii="Times New Roman" w:eastAsia="Times New Roman" w:hAnsi="Times New Roman" w:cs="Times New Roman"/>
                <w:sz w:val="20"/>
                <w:szCs w:val="20"/>
              </w:rPr>
            </w:pPr>
            <w:r w:rsidRPr="008206F1">
              <w:rPr>
                <w:rFonts w:ascii="Times New Roman" w:eastAsia="Times New Roman" w:hAnsi="Times New Roman" w:cs="Times New Roman"/>
                <w:sz w:val="20"/>
                <w:szCs w:val="20"/>
              </w:rPr>
              <w:t>-10.5% (-14.4%; -6.3%)*</w:t>
            </w:r>
          </w:p>
        </w:tc>
        <w:tc>
          <w:tcPr>
            <w:tcW w:w="2340" w:type="dxa"/>
            <w:tcBorders>
              <w:top w:val="nil"/>
              <w:left w:val="nil"/>
              <w:bottom w:val="nil"/>
              <w:right w:val="nil"/>
            </w:tcBorders>
            <w:shd w:val="clear" w:color="auto" w:fill="auto"/>
            <w:noWrap/>
            <w:vAlign w:val="bottom"/>
            <w:hideMark/>
          </w:tcPr>
          <w:p w:rsidR="00B40D7A" w:rsidRPr="008206F1" w:rsidRDefault="00B40D7A" w:rsidP="00B40D7A">
            <w:pPr>
              <w:jc w:val="center"/>
              <w:rPr>
                <w:rFonts w:ascii="Times New Roman" w:eastAsia="Times New Roman" w:hAnsi="Times New Roman" w:cs="Times New Roman"/>
                <w:sz w:val="20"/>
                <w:szCs w:val="20"/>
              </w:rPr>
            </w:pPr>
            <w:r w:rsidRPr="008206F1">
              <w:rPr>
                <w:rFonts w:ascii="Times New Roman" w:eastAsia="Times New Roman" w:hAnsi="Times New Roman" w:cs="Times New Roman"/>
                <w:sz w:val="20"/>
                <w:szCs w:val="20"/>
              </w:rPr>
              <w:t>-10.8% (-15.1%; -6.4%)*</w:t>
            </w:r>
          </w:p>
        </w:tc>
      </w:tr>
      <w:tr w:rsidR="008206F1" w:rsidRPr="008206F1" w:rsidTr="00B40D7A">
        <w:trPr>
          <w:trHeight w:val="255"/>
        </w:trPr>
        <w:tc>
          <w:tcPr>
            <w:tcW w:w="2820" w:type="dxa"/>
            <w:tcBorders>
              <w:top w:val="nil"/>
              <w:left w:val="nil"/>
              <w:bottom w:val="nil"/>
              <w:right w:val="nil"/>
            </w:tcBorders>
            <w:shd w:val="clear" w:color="auto" w:fill="auto"/>
            <w:noWrap/>
            <w:vAlign w:val="bottom"/>
            <w:hideMark/>
          </w:tcPr>
          <w:p w:rsidR="00B40D7A" w:rsidRPr="008206F1" w:rsidRDefault="00B40D7A" w:rsidP="00B40D7A">
            <w:pPr>
              <w:rPr>
                <w:rFonts w:ascii="Times New Roman" w:eastAsia="Times New Roman" w:hAnsi="Times New Roman" w:cs="Times New Roman"/>
                <w:sz w:val="20"/>
                <w:szCs w:val="20"/>
              </w:rPr>
            </w:pPr>
          </w:p>
        </w:tc>
        <w:tc>
          <w:tcPr>
            <w:tcW w:w="2415" w:type="dxa"/>
            <w:tcBorders>
              <w:top w:val="nil"/>
              <w:left w:val="nil"/>
              <w:bottom w:val="nil"/>
              <w:right w:val="nil"/>
            </w:tcBorders>
            <w:shd w:val="clear" w:color="auto" w:fill="auto"/>
            <w:noWrap/>
            <w:vAlign w:val="bottom"/>
            <w:hideMark/>
          </w:tcPr>
          <w:p w:rsidR="00B40D7A" w:rsidRPr="008206F1" w:rsidRDefault="00B40D7A" w:rsidP="00B40D7A">
            <w:pPr>
              <w:jc w:val="center"/>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B40D7A" w:rsidRPr="008206F1" w:rsidRDefault="00B40D7A" w:rsidP="00B40D7A">
            <w:pPr>
              <w:jc w:val="center"/>
              <w:rPr>
                <w:rFonts w:ascii="Times New Roman" w:eastAsia="Times New Roman" w:hAnsi="Times New Roman" w:cs="Times New Roman"/>
                <w:sz w:val="20"/>
                <w:szCs w:val="20"/>
              </w:rPr>
            </w:pPr>
          </w:p>
        </w:tc>
      </w:tr>
      <w:tr w:rsidR="008206F1" w:rsidRPr="008206F1" w:rsidTr="00B40D7A">
        <w:trPr>
          <w:trHeight w:val="255"/>
        </w:trPr>
        <w:tc>
          <w:tcPr>
            <w:tcW w:w="2820" w:type="dxa"/>
            <w:tcBorders>
              <w:top w:val="nil"/>
              <w:left w:val="nil"/>
              <w:bottom w:val="nil"/>
              <w:right w:val="nil"/>
            </w:tcBorders>
            <w:shd w:val="clear" w:color="auto" w:fill="auto"/>
            <w:noWrap/>
            <w:vAlign w:val="bottom"/>
            <w:hideMark/>
          </w:tcPr>
          <w:p w:rsidR="00B40D7A" w:rsidRPr="008206F1" w:rsidRDefault="00B40D7A" w:rsidP="00B40D7A">
            <w:pPr>
              <w:rPr>
                <w:rFonts w:ascii="Times New Roman" w:eastAsia="Times New Roman" w:hAnsi="Times New Roman" w:cs="Times New Roman"/>
                <w:sz w:val="20"/>
                <w:szCs w:val="20"/>
              </w:rPr>
            </w:pPr>
            <w:r w:rsidRPr="008206F1">
              <w:rPr>
                <w:rFonts w:ascii="Times New Roman" w:eastAsia="Times New Roman" w:hAnsi="Times New Roman" w:cs="Times New Roman"/>
                <w:sz w:val="20"/>
                <w:szCs w:val="20"/>
              </w:rPr>
              <w:t>Respiratory Complications</w:t>
            </w:r>
          </w:p>
        </w:tc>
        <w:tc>
          <w:tcPr>
            <w:tcW w:w="2415" w:type="dxa"/>
            <w:tcBorders>
              <w:top w:val="nil"/>
              <w:left w:val="nil"/>
              <w:bottom w:val="nil"/>
              <w:right w:val="nil"/>
            </w:tcBorders>
            <w:shd w:val="clear" w:color="auto" w:fill="auto"/>
            <w:noWrap/>
            <w:vAlign w:val="bottom"/>
            <w:hideMark/>
          </w:tcPr>
          <w:p w:rsidR="00B40D7A" w:rsidRPr="008206F1" w:rsidRDefault="00B40D7A" w:rsidP="00B40D7A">
            <w:pPr>
              <w:jc w:val="center"/>
              <w:rPr>
                <w:rFonts w:ascii="Times New Roman" w:eastAsia="Times New Roman" w:hAnsi="Times New Roman" w:cs="Times New Roman"/>
                <w:sz w:val="20"/>
                <w:szCs w:val="20"/>
              </w:rPr>
            </w:pPr>
            <w:r w:rsidRPr="008206F1">
              <w:rPr>
                <w:rFonts w:ascii="Times New Roman" w:eastAsia="Times New Roman" w:hAnsi="Times New Roman" w:cs="Times New Roman"/>
                <w:sz w:val="20"/>
                <w:szCs w:val="20"/>
              </w:rPr>
              <w:t>1.02 (0.89; 1.17)</w:t>
            </w:r>
          </w:p>
        </w:tc>
        <w:tc>
          <w:tcPr>
            <w:tcW w:w="2340" w:type="dxa"/>
            <w:tcBorders>
              <w:top w:val="nil"/>
              <w:left w:val="nil"/>
              <w:bottom w:val="nil"/>
              <w:right w:val="nil"/>
            </w:tcBorders>
            <w:shd w:val="clear" w:color="auto" w:fill="auto"/>
            <w:noWrap/>
            <w:vAlign w:val="bottom"/>
            <w:hideMark/>
          </w:tcPr>
          <w:p w:rsidR="00B40D7A" w:rsidRPr="008206F1" w:rsidRDefault="00B40D7A" w:rsidP="00B40D7A">
            <w:pPr>
              <w:jc w:val="center"/>
              <w:rPr>
                <w:rFonts w:ascii="Times New Roman" w:eastAsia="Times New Roman" w:hAnsi="Times New Roman" w:cs="Times New Roman"/>
                <w:sz w:val="20"/>
                <w:szCs w:val="20"/>
              </w:rPr>
            </w:pPr>
            <w:r w:rsidRPr="008206F1">
              <w:rPr>
                <w:rFonts w:ascii="Times New Roman" w:eastAsia="Times New Roman" w:hAnsi="Times New Roman" w:cs="Times New Roman"/>
                <w:sz w:val="20"/>
                <w:szCs w:val="20"/>
              </w:rPr>
              <w:t>1.05 (0.88; 1.24)</w:t>
            </w:r>
          </w:p>
        </w:tc>
      </w:tr>
      <w:tr w:rsidR="008206F1" w:rsidRPr="008206F1" w:rsidTr="00B40D7A">
        <w:trPr>
          <w:trHeight w:val="315"/>
        </w:trPr>
        <w:tc>
          <w:tcPr>
            <w:tcW w:w="2820" w:type="dxa"/>
            <w:tcBorders>
              <w:top w:val="nil"/>
              <w:left w:val="nil"/>
              <w:bottom w:val="nil"/>
              <w:right w:val="nil"/>
            </w:tcBorders>
            <w:shd w:val="clear" w:color="auto" w:fill="auto"/>
            <w:noWrap/>
            <w:vAlign w:val="bottom"/>
            <w:hideMark/>
          </w:tcPr>
          <w:p w:rsidR="00B40D7A" w:rsidRPr="008206F1" w:rsidRDefault="00B40D7A" w:rsidP="00B40D7A">
            <w:pPr>
              <w:rPr>
                <w:rFonts w:ascii="Times New Roman" w:eastAsia="Times New Roman" w:hAnsi="Times New Roman" w:cs="Times New Roman"/>
                <w:sz w:val="20"/>
                <w:szCs w:val="20"/>
              </w:rPr>
            </w:pPr>
            <w:r w:rsidRPr="008206F1">
              <w:rPr>
                <w:rFonts w:ascii="Times New Roman" w:eastAsia="Times New Roman" w:hAnsi="Times New Roman" w:cs="Times New Roman"/>
                <w:sz w:val="20"/>
                <w:szCs w:val="20"/>
              </w:rPr>
              <w:t>Cardiac Complications</w:t>
            </w:r>
          </w:p>
        </w:tc>
        <w:tc>
          <w:tcPr>
            <w:tcW w:w="2415" w:type="dxa"/>
            <w:tcBorders>
              <w:top w:val="nil"/>
              <w:left w:val="nil"/>
              <w:bottom w:val="nil"/>
              <w:right w:val="nil"/>
            </w:tcBorders>
            <w:shd w:val="clear" w:color="auto" w:fill="auto"/>
            <w:noWrap/>
            <w:vAlign w:val="bottom"/>
            <w:hideMark/>
          </w:tcPr>
          <w:p w:rsidR="00B40D7A" w:rsidRPr="008206F1" w:rsidRDefault="00B40D7A" w:rsidP="00B40D7A">
            <w:pPr>
              <w:jc w:val="center"/>
              <w:rPr>
                <w:rFonts w:ascii="Times New Roman" w:eastAsia="Times New Roman" w:hAnsi="Times New Roman" w:cs="Times New Roman"/>
                <w:sz w:val="20"/>
                <w:szCs w:val="20"/>
              </w:rPr>
            </w:pPr>
            <w:r w:rsidRPr="008206F1">
              <w:rPr>
                <w:rFonts w:ascii="Times New Roman" w:eastAsia="Times New Roman" w:hAnsi="Times New Roman" w:cs="Times New Roman"/>
                <w:sz w:val="20"/>
                <w:szCs w:val="20"/>
              </w:rPr>
              <w:t>0.82 (0.71; 0.95)*</w:t>
            </w:r>
          </w:p>
        </w:tc>
        <w:tc>
          <w:tcPr>
            <w:tcW w:w="2340" w:type="dxa"/>
            <w:tcBorders>
              <w:top w:val="nil"/>
              <w:left w:val="nil"/>
              <w:bottom w:val="nil"/>
              <w:right w:val="nil"/>
            </w:tcBorders>
            <w:shd w:val="clear" w:color="auto" w:fill="auto"/>
            <w:noWrap/>
            <w:vAlign w:val="bottom"/>
            <w:hideMark/>
          </w:tcPr>
          <w:p w:rsidR="00B40D7A" w:rsidRPr="008206F1" w:rsidRDefault="00B40D7A" w:rsidP="00B40D7A">
            <w:pPr>
              <w:jc w:val="center"/>
              <w:rPr>
                <w:rFonts w:ascii="Times New Roman" w:eastAsia="Times New Roman" w:hAnsi="Times New Roman" w:cs="Times New Roman"/>
                <w:sz w:val="20"/>
                <w:szCs w:val="20"/>
              </w:rPr>
            </w:pPr>
            <w:r w:rsidRPr="008206F1">
              <w:rPr>
                <w:rFonts w:ascii="Times New Roman" w:eastAsia="Times New Roman" w:hAnsi="Times New Roman" w:cs="Times New Roman"/>
                <w:sz w:val="20"/>
                <w:szCs w:val="20"/>
              </w:rPr>
              <w:t>0.90 (0.70; 1.17)</w:t>
            </w:r>
          </w:p>
        </w:tc>
      </w:tr>
      <w:tr w:rsidR="008206F1" w:rsidRPr="008206F1" w:rsidTr="00B40D7A">
        <w:trPr>
          <w:trHeight w:val="255"/>
        </w:trPr>
        <w:tc>
          <w:tcPr>
            <w:tcW w:w="2820" w:type="dxa"/>
            <w:tcBorders>
              <w:top w:val="nil"/>
              <w:left w:val="nil"/>
              <w:bottom w:val="nil"/>
              <w:right w:val="nil"/>
            </w:tcBorders>
            <w:shd w:val="clear" w:color="auto" w:fill="auto"/>
            <w:noWrap/>
            <w:vAlign w:val="bottom"/>
            <w:hideMark/>
          </w:tcPr>
          <w:p w:rsidR="00B40D7A" w:rsidRPr="008206F1" w:rsidRDefault="00B40D7A" w:rsidP="00B40D7A">
            <w:pPr>
              <w:rPr>
                <w:rFonts w:ascii="Times New Roman" w:eastAsia="Times New Roman" w:hAnsi="Times New Roman" w:cs="Times New Roman"/>
                <w:sz w:val="20"/>
                <w:szCs w:val="20"/>
              </w:rPr>
            </w:pPr>
            <w:r w:rsidRPr="008206F1">
              <w:rPr>
                <w:rFonts w:ascii="Times New Roman" w:eastAsia="Times New Roman" w:hAnsi="Times New Roman" w:cs="Times New Roman"/>
                <w:sz w:val="20"/>
                <w:szCs w:val="20"/>
              </w:rPr>
              <w:t>Blood Transfusion</w:t>
            </w:r>
          </w:p>
        </w:tc>
        <w:tc>
          <w:tcPr>
            <w:tcW w:w="2415" w:type="dxa"/>
            <w:tcBorders>
              <w:top w:val="nil"/>
              <w:left w:val="nil"/>
              <w:bottom w:val="nil"/>
              <w:right w:val="nil"/>
            </w:tcBorders>
            <w:shd w:val="clear" w:color="auto" w:fill="auto"/>
            <w:noWrap/>
            <w:vAlign w:val="bottom"/>
            <w:hideMark/>
          </w:tcPr>
          <w:p w:rsidR="00B40D7A" w:rsidRPr="008206F1" w:rsidRDefault="00B40D7A" w:rsidP="00B40D7A">
            <w:pPr>
              <w:jc w:val="center"/>
              <w:rPr>
                <w:rFonts w:ascii="Times New Roman" w:eastAsia="Times New Roman" w:hAnsi="Times New Roman" w:cs="Times New Roman"/>
                <w:sz w:val="20"/>
                <w:szCs w:val="20"/>
              </w:rPr>
            </w:pPr>
            <w:r w:rsidRPr="008206F1">
              <w:rPr>
                <w:rFonts w:ascii="Times New Roman" w:eastAsia="Times New Roman" w:hAnsi="Times New Roman" w:cs="Times New Roman"/>
                <w:sz w:val="20"/>
                <w:szCs w:val="20"/>
              </w:rPr>
              <w:t>0.80 (0.62; 1.03)</w:t>
            </w:r>
          </w:p>
        </w:tc>
        <w:tc>
          <w:tcPr>
            <w:tcW w:w="2340" w:type="dxa"/>
            <w:tcBorders>
              <w:top w:val="nil"/>
              <w:left w:val="nil"/>
              <w:bottom w:val="nil"/>
              <w:right w:val="nil"/>
            </w:tcBorders>
            <w:shd w:val="clear" w:color="auto" w:fill="auto"/>
            <w:noWrap/>
            <w:vAlign w:val="bottom"/>
            <w:hideMark/>
          </w:tcPr>
          <w:p w:rsidR="00B40D7A" w:rsidRPr="008206F1" w:rsidRDefault="00B40D7A" w:rsidP="00B40D7A">
            <w:pPr>
              <w:jc w:val="center"/>
              <w:rPr>
                <w:rFonts w:ascii="Times New Roman" w:eastAsia="Times New Roman" w:hAnsi="Times New Roman" w:cs="Times New Roman"/>
                <w:sz w:val="20"/>
                <w:szCs w:val="20"/>
              </w:rPr>
            </w:pPr>
            <w:r w:rsidRPr="008206F1">
              <w:rPr>
                <w:rFonts w:ascii="Times New Roman" w:eastAsia="Times New Roman" w:hAnsi="Times New Roman" w:cs="Times New Roman"/>
                <w:sz w:val="20"/>
                <w:szCs w:val="20"/>
              </w:rPr>
              <w:t>0.74 (0.56; 0.97)*</w:t>
            </w:r>
          </w:p>
        </w:tc>
        <w:bookmarkStart w:id="0" w:name="_GoBack"/>
        <w:bookmarkEnd w:id="0"/>
      </w:tr>
      <w:tr w:rsidR="00B40D7A" w:rsidRPr="008206F1" w:rsidTr="00B40D7A">
        <w:trPr>
          <w:trHeight w:val="315"/>
        </w:trPr>
        <w:tc>
          <w:tcPr>
            <w:tcW w:w="2820" w:type="dxa"/>
            <w:tcBorders>
              <w:top w:val="nil"/>
              <w:left w:val="nil"/>
              <w:bottom w:val="single" w:sz="4" w:space="0" w:color="auto"/>
              <w:right w:val="nil"/>
            </w:tcBorders>
            <w:shd w:val="clear" w:color="auto" w:fill="auto"/>
            <w:noWrap/>
            <w:vAlign w:val="bottom"/>
            <w:hideMark/>
          </w:tcPr>
          <w:p w:rsidR="00B40D7A" w:rsidRPr="008206F1" w:rsidRDefault="00B40D7A" w:rsidP="00656775">
            <w:pPr>
              <w:rPr>
                <w:rFonts w:ascii="Times New Roman" w:eastAsia="Times New Roman" w:hAnsi="Times New Roman" w:cs="Times New Roman"/>
                <w:sz w:val="20"/>
                <w:szCs w:val="20"/>
              </w:rPr>
            </w:pPr>
            <w:r w:rsidRPr="008206F1">
              <w:rPr>
                <w:rFonts w:ascii="Times New Roman" w:eastAsia="Times New Roman" w:hAnsi="Times New Roman" w:cs="Times New Roman"/>
                <w:sz w:val="20"/>
                <w:szCs w:val="20"/>
              </w:rPr>
              <w:t>I</w:t>
            </w:r>
            <w:r w:rsidR="00656775" w:rsidRPr="008206F1">
              <w:rPr>
                <w:rFonts w:ascii="Times New Roman" w:eastAsia="Times New Roman" w:hAnsi="Times New Roman" w:cs="Times New Roman"/>
                <w:sz w:val="20"/>
                <w:szCs w:val="20"/>
              </w:rPr>
              <w:t>ntensive Care Unit</w:t>
            </w:r>
            <w:r w:rsidRPr="008206F1">
              <w:rPr>
                <w:rFonts w:ascii="Times New Roman" w:eastAsia="Times New Roman" w:hAnsi="Times New Roman" w:cs="Times New Roman"/>
                <w:sz w:val="20"/>
                <w:szCs w:val="20"/>
              </w:rPr>
              <w:t xml:space="preserve"> Utilization</w:t>
            </w:r>
          </w:p>
        </w:tc>
        <w:tc>
          <w:tcPr>
            <w:tcW w:w="2415" w:type="dxa"/>
            <w:tcBorders>
              <w:top w:val="nil"/>
              <w:left w:val="nil"/>
              <w:bottom w:val="single" w:sz="4" w:space="0" w:color="auto"/>
              <w:right w:val="nil"/>
            </w:tcBorders>
            <w:shd w:val="clear" w:color="auto" w:fill="auto"/>
            <w:noWrap/>
            <w:vAlign w:val="bottom"/>
            <w:hideMark/>
          </w:tcPr>
          <w:p w:rsidR="00B40D7A" w:rsidRPr="008206F1" w:rsidRDefault="00B40D7A" w:rsidP="00B40D7A">
            <w:pPr>
              <w:jc w:val="center"/>
              <w:rPr>
                <w:rFonts w:ascii="Times New Roman" w:eastAsia="Times New Roman" w:hAnsi="Times New Roman" w:cs="Times New Roman"/>
                <w:sz w:val="20"/>
                <w:szCs w:val="20"/>
              </w:rPr>
            </w:pPr>
            <w:r w:rsidRPr="008206F1">
              <w:rPr>
                <w:rFonts w:ascii="Times New Roman" w:eastAsia="Times New Roman" w:hAnsi="Times New Roman" w:cs="Times New Roman"/>
                <w:sz w:val="20"/>
                <w:szCs w:val="20"/>
              </w:rPr>
              <w:t>1.24 (1.17; 1.31)*</w:t>
            </w:r>
          </w:p>
        </w:tc>
        <w:tc>
          <w:tcPr>
            <w:tcW w:w="2340" w:type="dxa"/>
            <w:tcBorders>
              <w:top w:val="nil"/>
              <w:left w:val="nil"/>
              <w:bottom w:val="single" w:sz="4" w:space="0" w:color="auto"/>
              <w:right w:val="nil"/>
            </w:tcBorders>
            <w:shd w:val="clear" w:color="auto" w:fill="auto"/>
            <w:noWrap/>
            <w:vAlign w:val="bottom"/>
            <w:hideMark/>
          </w:tcPr>
          <w:p w:rsidR="00B40D7A" w:rsidRPr="008206F1" w:rsidRDefault="00B40D7A" w:rsidP="00B40D7A">
            <w:pPr>
              <w:jc w:val="center"/>
              <w:rPr>
                <w:rFonts w:ascii="Times New Roman" w:eastAsia="Times New Roman" w:hAnsi="Times New Roman" w:cs="Times New Roman"/>
                <w:sz w:val="20"/>
                <w:szCs w:val="20"/>
              </w:rPr>
            </w:pPr>
            <w:r w:rsidRPr="008206F1">
              <w:rPr>
                <w:rFonts w:ascii="Times New Roman" w:eastAsia="Times New Roman" w:hAnsi="Times New Roman" w:cs="Times New Roman"/>
                <w:sz w:val="20"/>
                <w:szCs w:val="20"/>
              </w:rPr>
              <w:t>1.02 (0.54; 1.90)</w:t>
            </w:r>
          </w:p>
        </w:tc>
      </w:tr>
    </w:tbl>
    <w:p w:rsidR="009C0EA9" w:rsidRPr="008206F1" w:rsidRDefault="009C0EA9" w:rsidP="009C0EA9">
      <w:pPr>
        <w:rPr>
          <w:rFonts w:ascii="Times New Roman" w:hAnsi="Times New Roman" w:cs="Times New Roman"/>
        </w:rPr>
      </w:pPr>
    </w:p>
    <w:p w:rsidR="009C0EA9" w:rsidRPr="008206F1" w:rsidRDefault="009C0EA9" w:rsidP="009C0EA9">
      <w:pPr>
        <w:rPr>
          <w:rFonts w:ascii="Times New Roman" w:hAnsi="Times New Roman" w:cs="Times New Roman"/>
        </w:rPr>
      </w:pPr>
      <w:r w:rsidRPr="008206F1">
        <w:rPr>
          <w:rFonts w:ascii="Times New Roman" w:hAnsi="Times New Roman" w:cs="Times New Roman"/>
        </w:rPr>
        <w:t>* P&lt;0.05</w:t>
      </w:r>
    </w:p>
    <w:p w:rsidR="00B40D7A" w:rsidRPr="008206F1" w:rsidRDefault="00B40D7A" w:rsidP="00B40D7A">
      <w:pPr>
        <w:rPr>
          <w:rFonts w:ascii="Times New Roman" w:hAnsi="Times New Roman" w:cs="Times New Roman"/>
        </w:rPr>
      </w:pPr>
      <w:r w:rsidRPr="008206F1">
        <w:rPr>
          <w:rFonts w:ascii="Times New Roman" w:hAnsi="Times New Roman" w:cs="Times New Roman"/>
        </w:rPr>
        <w:t>**% change</w:t>
      </w:r>
    </w:p>
    <w:p w:rsidR="00221BDC" w:rsidRPr="008206F1" w:rsidRDefault="007C21E0" w:rsidP="007C21E0">
      <w:pPr>
        <w:rPr>
          <w:rFonts w:ascii="Times New Roman" w:hAnsi="Times New Roman" w:cs="Times New Roman"/>
        </w:rPr>
      </w:pPr>
      <w:r w:rsidRPr="008206F1">
        <w:rPr>
          <w:rFonts w:ascii="Times New Roman" w:hAnsi="Times New Roman" w:cs="Times New Roman"/>
        </w:rPr>
        <w:t>Models adjusted for age, sex, race, insurance type, hospital annual procedure volume, hospital teaching status, hospital location, hospital bed size, year of procedure, general anesthesia use, PCA use, intravenous acetaminophen, NSAIDs, Cyclooxygenase-2 Inhibitors, Ketamine, Pregabalin/Gabapentin, peripheral nerve block use, Deyo-Charlson comorbidity index, history of substance use/abuse, pain conditions, psychiatric comorbidities, sleep apnea, obesity</w:t>
      </w:r>
    </w:p>
    <w:sectPr w:rsidR="00221BDC" w:rsidRPr="008206F1" w:rsidSect="009C0EA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A9"/>
    <w:rsid w:val="00221BDC"/>
    <w:rsid w:val="00347CFF"/>
    <w:rsid w:val="005F27C1"/>
    <w:rsid w:val="00656775"/>
    <w:rsid w:val="007C21E0"/>
    <w:rsid w:val="008206F1"/>
    <w:rsid w:val="009C0EA9"/>
    <w:rsid w:val="00B40D7A"/>
    <w:rsid w:val="00E9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A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A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7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Zubizarreta</dc:creator>
  <cp:lastModifiedBy>v.j.j.poeran</cp:lastModifiedBy>
  <cp:revision>8</cp:revision>
  <dcterms:created xsi:type="dcterms:W3CDTF">2017-01-17T19:30:00Z</dcterms:created>
  <dcterms:modified xsi:type="dcterms:W3CDTF">2018-02-24T05:42:00Z</dcterms:modified>
</cp:coreProperties>
</file>