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B3B58" w14:textId="39C2000A" w:rsidR="00015509" w:rsidRPr="00EB205B" w:rsidRDefault="000C2147" w:rsidP="0001550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SUPPLEMENTAL DIGITAL CONTENT</w:t>
      </w:r>
    </w:p>
    <w:p w14:paraId="29B09B5A" w14:textId="77777777" w:rsidR="001B7DC3" w:rsidRPr="00EB205B" w:rsidRDefault="001B7DC3" w:rsidP="00015509">
      <w:pPr>
        <w:rPr>
          <w:rFonts w:ascii="Arial" w:hAnsi="Arial" w:cs="Arial"/>
        </w:rPr>
      </w:pPr>
    </w:p>
    <w:p w14:paraId="230F8E8E" w14:textId="77777777" w:rsidR="009F54FF" w:rsidRDefault="009F54FF" w:rsidP="009F54FF">
      <w:pPr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Figure</w:t>
      </w:r>
      <w:r w:rsidR="00B11F82" w:rsidRPr="00EB205B">
        <w:rPr>
          <w:rFonts w:ascii="Arial" w:hAnsi="Arial" w:cs="Arial"/>
          <w:b/>
        </w:rPr>
        <w:t xml:space="preserve">.  </w:t>
      </w:r>
      <w:r w:rsidR="001B7DC3" w:rsidRPr="00EB205B">
        <w:rPr>
          <w:rFonts w:ascii="Arial" w:hAnsi="Arial" w:cs="Arial"/>
        </w:rPr>
        <w:t xml:space="preserve">Calibration graphs for ACS NSQIP risk calculator, NSQIP MICA risk calculator, and the RCRI.  </w:t>
      </w:r>
    </w:p>
    <w:p w14:paraId="62C970B3" w14:textId="581FE9F6" w:rsidR="009F54FF" w:rsidRPr="009F54FF" w:rsidRDefault="009F54FF" w:rsidP="009F54FF">
      <w:pPr>
        <w:contextualSpacing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</w:rPr>
        <w:t>Table</w:t>
      </w:r>
      <w:r w:rsidRPr="00EB205B">
        <w:rPr>
          <w:rFonts w:ascii="Arial" w:eastAsia="Times New Roman" w:hAnsi="Arial" w:cs="Arial"/>
          <w:b/>
          <w:bCs/>
          <w:color w:val="000000"/>
        </w:rPr>
        <w:t xml:space="preserve">.  </w:t>
      </w:r>
      <w:r>
        <w:rPr>
          <w:rFonts w:ascii="Arial" w:eastAsia="Times New Roman" w:hAnsi="Arial" w:cs="Arial"/>
          <w:color w:val="000000"/>
        </w:rPr>
        <w:t>Weighted kappa analysis.</w:t>
      </w:r>
    </w:p>
    <w:p w14:paraId="41499C4B" w14:textId="77777777" w:rsidR="000A177A" w:rsidRDefault="000A177A" w:rsidP="00A67FAA">
      <w:pPr>
        <w:contextualSpacing/>
        <w:rPr>
          <w:rFonts w:ascii="Arial" w:eastAsia="Times New Roman" w:hAnsi="Arial" w:cs="Arial"/>
          <w:color w:val="000000"/>
        </w:rPr>
      </w:pPr>
    </w:p>
    <w:p w14:paraId="3FFDBEE4" w14:textId="028F5100" w:rsidR="000A177A" w:rsidRPr="000A177A" w:rsidRDefault="000A177A" w:rsidP="00A67FAA">
      <w:pPr>
        <w:contextualSpacing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 </w:t>
      </w:r>
    </w:p>
    <w:p w14:paraId="10781565" w14:textId="77777777" w:rsidR="00942BA6" w:rsidRPr="00EB205B" w:rsidRDefault="00942BA6" w:rsidP="00015509">
      <w:pPr>
        <w:contextualSpacing/>
        <w:rPr>
          <w:rFonts w:ascii="Arial" w:hAnsi="Arial" w:cs="Arial"/>
        </w:rPr>
      </w:pPr>
    </w:p>
    <w:p w14:paraId="69D96E8B" w14:textId="77777777" w:rsidR="00EB205B" w:rsidRDefault="00EB205B" w:rsidP="00015509">
      <w:pPr>
        <w:contextualSpacing/>
      </w:pPr>
    </w:p>
    <w:p w14:paraId="5572BF2D" w14:textId="77777777" w:rsidR="00EB205B" w:rsidRPr="001B7DC3" w:rsidRDefault="00EB205B" w:rsidP="00015509">
      <w:pPr>
        <w:contextualSpacing/>
      </w:pPr>
    </w:p>
    <w:p w14:paraId="2E1D1291" w14:textId="77777777" w:rsidR="00B11F82" w:rsidRPr="00F81077" w:rsidRDefault="00EB205B" w:rsidP="0001550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14:paraId="2C5E09C3" w14:textId="77777777" w:rsidR="00B11F82" w:rsidRDefault="00B11F82" w:rsidP="00015509"/>
    <w:p w14:paraId="2EA94373" w14:textId="77777777" w:rsidR="00B11F82" w:rsidRDefault="00B11F82" w:rsidP="00015509"/>
    <w:p w14:paraId="2E8D62CD" w14:textId="77777777" w:rsidR="00B11F82" w:rsidRDefault="00B11F82" w:rsidP="00015509"/>
    <w:p w14:paraId="01142C04" w14:textId="77777777" w:rsidR="00B11F82" w:rsidRDefault="00B11F82" w:rsidP="00015509"/>
    <w:p w14:paraId="7DE94B40" w14:textId="77777777" w:rsidR="00B11F82" w:rsidRDefault="00B11F82" w:rsidP="00015509"/>
    <w:p w14:paraId="79F8C01F" w14:textId="77777777" w:rsidR="00B11F82" w:rsidRDefault="00B11F82" w:rsidP="00015509"/>
    <w:p w14:paraId="56EF63F7" w14:textId="77777777" w:rsidR="00B11F82" w:rsidRDefault="00B11F82" w:rsidP="00015509"/>
    <w:p w14:paraId="38DADA91" w14:textId="77777777" w:rsidR="00B11F82" w:rsidRDefault="00B11F82" w:rsidP="00015509"/>
    <w:p w14:paraId="64D117A4" w14:textId="78AB8C56" w:rsidR="000D4BFF" w:rsidRDefault="000D4BFF" w:rsidP="00015509">
      <w:r w:rsidRPr="000D4BFF">
        <w:rPr>
          <w:noProof/>
        </w:rPr>
        <w:lastRenderedPageBreak/>
        <w:drawing>
          <wp:inline distT="0" distB="0" distL="0" distR="0" wp14:anchorId="6833B780" wp14:editId="5AF1F030">
            <wp:extent cx="3154812" cy="229552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54944" cy="2295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5F172" w14:textId="6735BA07" w:rsidR="001B1E38" w:rsidRDefault="00DA5ADF" w:rsidP="00015509">
      <w:pPr>
        <w:contextualSpacing/>
      </w:pPr>
      <w:r>
        <w:t>A</w:t>
      </w:r>
    </w:p>
    <w:p w14:paraId="3405E56A" w14:textId="2B052AB6" w:rsidR="001B7DC3" w:rsidRDefault="00670A65" w:rsidP="001B7DC3">
      <w:r w:rsidRPr="00670A65">
        <w:rPr>
          <w:noProof/>
        </w:rPr>
        <w:drawing>
          <wp:inline distT="0" distB="0" distL="0" distR="0" wp14:anchorId="5A92E14D" wp14:editId="20BD865C">
            <wp:extent cx="3194084" cy="23241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94152" cy="2324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0F3E" w:rsidRPr="00BE0F3E">
        <w:rPr>
          <w:noProof/>
        </w:rPr>
        <w:drawing>
          <wp:inline distT="0" distB="0" distL="0" distR="0" wp14:anchorId="421D1649" wp14:editId="6696CC35">
            <wp:extent cx="3180993" cy="2314575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81583" cy="231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9D799" w14:textId="426F1D5E" w:rsidR="001B1E38" w:rsidRDefault="00DA5ADF" w:rsidP="001B7DC3">
      <w:r>
        <w:t>B</w:t>
      </w:r>
      <w:r w:rsidR="006311F2">
        <w:tab/>
      </w:r>
      <w:r w:rsidR="006311F2">
        <w:tab/>
      </w:r>
      <w:r w:rsidR="006311F2">
        <w:tab/>
      </w:r>
      <w:r w:rsidR="006311F2">
        <w:tab/>
      </w:r>
      <w:r w:rsidR="006311F2">
        <w:tab/>
      </w:r>
      <w:r w:rsidR="006311F2">
        <w:tab/>
      </w:r>
      <w:r w:rsidR="006311F2">
        <w:tab/>
        <w:t xml:space="preserve">  C</w:t>
      </w:r>
    </w:p>
    <w:p w14:paraId="613EE0C2" w14:textId="0A8EA348" w:rsidR="001B7DC3" w:rsidRDefault="000C2147" w:rsidP="001B7DC3">
      <w:pPr>
        <w:contextualSpacing/>
      </w:pPr>
      <w:r w:rsidRPr="006311F2">
        <w:rPr>
          <w:b/>
        </w:rPr>
        <w:t>SDC</w:t>
      </w:r>
      <w:r w:rsidR="005442B4" w:rsidRPr="006311F2">
        <w:rPr>
          <w:b/>
        </w:rPr>
        <w:t xml:space="preserve"> Figure</w:t>
      </w:r>
      <w:r w:rsidR="001B7DC3" w:rsidRPr="007050A6">
        <w:rPr>
          <w:b/>
        </w:rPr>
        <w:t xml:space="preserve">. </w:t>
      </w:r>
      <w:r w:rsidR="001B7DC3">
        <w:t>Calibration graphs for ACS NSQIP risk calculator, NSQIP MICA risk calculator, and the RCRI</w:t>
      </w:r>
      <w:r w:rsidR="001B7DC3" w:rsidRPr="00D77D5F">
        <w:t xml:space="preserve">. </w:t>
      </w:r>
      <w:r w:rsidR="00591ED8" w:rsidRPr="00D77D5F">
        <w:t xml:space="preserve"> </w:t>
      </w:r>
      <w:r w:rsidR="001B1E38" w:rsidRPr="00D77D5F">
        <w:t>The dashed line is</w:t>
      </w:r>
      <w:r w:rsidR="00591ED8" w:rsidRPr="00D77D5F">
        <w:t xml:space="preserve"> </w:t>
      </w:r>
      <w:r w:rsidR="001B1E38" w:rsidRPr="00D77D5F">
        <w:t>the identity</w:t>
      </w:r>
      <w:r w:rsidR="00591ED8" w:rsidRPr="00D77D5F">
        <w:t xml:space="preserve"> line representing perfect agreement between observed risk and predicted risk.  </w:t>
      </w:r>
      <w:r w:rsidR="000E1718" w:rsidRPr="00D77D5F">
        <w:t>The predicted risk</w:t>
      </w:r>
      <w:r w:rsidR="001B1E38" w:rsidRPr="00D77D5F">
        <w:t xml:space="preserve"> of MACE is based on the (a) ACS NSQIP risk prediction tool, (b) the NSQIP MICA risk prediction tool, and (c) the RCRI.</w:t>
      </w:r>
    </w:p>
    <w:p w14:paraId="155B7367" w14:textId="77777777" w:rsidR="009F54FF" w:rsidRDefault="009F54FF" w:rsidP="001B7DC3">
      <w:pPr>
        <w:contextualSpacing/>
      </w:pPr>
    </w:p>
    <w:p w14:paraId="7066E29F" w14:textId="77777777" w:rsidR="009F54FF" w:rsidRDefault="009F54FF" w:rsidP="001B7DC3">
      <w:pPr>
        <w:contextualSpacing/>
      </w:pPr>
    </w:p>
    <w:p w14:paraId="437D235B" w14:textId="77777777" w:rsidR="009F54FF" w:rsidRDefault="009F54FF" w:rsidP="009F54FF"/>
    <w:tbl>
      <w:tblPr>
        <w:tblW w:w="11706" w:type="dxa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47"/>
        <w:gridCol w:w="1784"/>
        <w:gridCol w:w="1491"/>
        <w:gridCol w:w="1541"/>
        <w:gridCol w:w="1466"/>
        <w:gridCol w:w="2177"/>
      </w:tblGrid>
      <w:tr w:rsidR="009F54FF" w:rsidRPr="00E25CE1" w14:paraId="5EE934C0" w14:textId="77777777" w:rsidTr="00486A1D">
        <w:tc>
          <w:tcPr>
            <w:tcW w:w="1" w:type="dxa"/>
            <w:gridSpan w:val="6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14:paraId="32C23147" w14:textId="101E08C1" w:rsidR="009F54FF" w:rsidRPr="006311F2" w:rsidRDefault="009F54FF" w:rsidP="00486A1D">
            <w:pPr>
              <w:autoSpaceDE w:val="0"/>
              <w:autoSpaceDN w:val="0"/>
              <w:adjustRightInd w:val="0"/>
              <w:spacing w:after="0" w:line="280" w:lineRule="atLeast"/>
              <w:rPr>
                <w:rFonts w:ascii="Calibri" w:hAnsi="Calibri" w:cs="Calibri"/>
                <w:b/>
              </w:rPr>
            </w:pPr>
            <w:r w:rsidRPr="006311F2">
              <w:rPr>
                <w:rFonts w:ascii="Calibri" w:hAnsi="Calibri" w:cs="Calibri"/>
                <w:b/>
              </w:rPr>
              <w:t>SDC Table 1a</w:t>
            </w:r>
          </w:p>
        </w:tc>
      </w:tr>
      <w:tr w:rsidR="009F54FF" w:rsidRPr="00E25CE1" w14:paraId="463A0D26" w14:textId="77777777" w:rsidTr="00486A1D">
        <w:tblPrEx>
          <w:tblBorders>
            <w:top w:val="none" w:sz="0" w:space="0" w:color="auto"/>
          </w:tblBorders>
        </w:tblPrEx>
        <w:tc>
          <w:tcPr>
            <w:tcW w:w="3247" w:type="dxa"/>
            <w:tcBorders>
              <w:right w:val="single" w:sz="8" w:space="0" w:color="000000"/>
            </w:tcBorders>
            <w:vAlign w:val="bottom"/>
          </w:tcPr>
          <w:p w14:paraId="3399A04A" w14:textId="77777777" w:rsidR="009F54FF" w:rsidRPr="00E25CE1" w:rsidRDefault="009F54FF" w:rsidP="00486A1D">
            <w:pPr>
              <w:autoSpaceDE w:val="0"/>
              <w:autoSpaceDN w:val="0"/>
              <w:adjustRightInd w:val="0"/>
              <w:spacing w:after="0" w:line="280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E25CE1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4" w:type="dxa"/>
            <w:tcBorders>
              <w:right w:val="single" w:sz="8" w:space="0" w:color="000000"/>
            </w:tcBorders>
            <w:vAlign w:val="bottom"/>
          </w:tcPr>
          <w:p w14:paraId="27A6F7FF" w14:textId="77777777" w:rsidR="009F54FF" w:rsidRPr="00E25CE1" w:rsidRDefault="009F54FF" w:rsidP="00486A1D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5CE1">
              <w:rPr>
                <w:rFonts w:cstheme="minorHAnsi"/>
                <w:color w:val="000000"/>
                <w:sz w:val="20"/>
                <w:szCs w:val="20"/>
              </w:rPr>
              <w:t xml:space="preserve">RCRI risk </w:t>
            </w:r>
            <w:r w:rsidRPr="00E25CE1">
              <w:rPr>
                <w:rFonts w:ascii="Cambria Math" w:hAnsi="Cambria Math" w:cs="Cambria Math"/>
                <w:color w:val="000000"/>
                <w:sz w:val="20"/>
                <w:szCs w:val="20"/>
              </w:rPr>
              <w:t>≦</w:t>
            </w:r>
            <w:r w:rsidRPr="00E25CE1">
              <w:rPr>
                <w:rFonts w:cstheme="minorHAnsi"/>
                <w:color w:val="000000"/>
                <w:sz w:val="20"/>
                <w:szCs w:val="20"/>
              </w:rPr>
              <w:t xml:space="preserve"> 1%</w:t>
            </w:r>
          </w:p>
        </w:tc>
        <w:tc>
          <w:tcPr>
            <w:tcW w:w="1491" w:type="dxa"/>
            <w:tcBorders>
              <w:right w:val="single" w:sz="8" w:space="0" w:color="000000"/>
            </w:tcBorders>
            <w:vAlign w:val="bottom"/>
          </w:tcPr>
          <w:p w14:paraId="4B84C58E" w14:textId="77777777" w:rsidR="009F54FF" w:rsidRPr="00E25CE1" w:rsidRDefault="009F54FF" w:rsidP="00486A1D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5CE1">
              <w:rPr>
                <w:rFonts w:cstheme="minorHAnsi"/>
                <w:color w:val="000000"/>
                <w:sz w:val="20"/>
                <w:szCs w:val="20"/>
              </w:rPr>
              <w:t xml:space="preserve">RCRI risk &gt; 1% &amp; </w:t>
            </w:r>
            <w:r w:rsidRPr="00E25CE1">
              <w:rPr>
                <w:rFonts w:ascii="Cambria Math" w:hAnsi="Cambria Math" w:cs="Cambria Math"/>
                <w:color w:val="000000"/>
                <w:sz w:val="20"/>
                <w:szCs w:val="20"/>
              </w:rPr>
              <w:t>≦</w:t>
            </w:r>
            <w:r w:rsidRPr="00E25CE1">
              <w:rPr>
                <w:rFonts w:cstheme="minorHAnsi"/>
                <w:color w:val="000000"/>
                <w:sz w:val="20"/>
                <w:szCs w:val="20"/>
              </w:rPr>
              <w:t xml:space="preserve"> 2%</w:t>
            </w:r>
          </w:p>
        </w:tc>
        <w:tc>
          <w:tcPr>
            <w:tcW w:w="1541" w:type="dxa"/>
            <w:tcBorders>
              <w:right w:val="single" w:sz="8" w:space="0" w:color="000000"/>
            </w:tcBorders>
            <w:vAlign w:val="bottom"/>
          </w:tcPr>
          <w:p w14:paraId="3F9BC336" w14:textId="77777777" w:rsidR="009F54FF" w:rsidRPr="00E25CE1" w:rsidRDefault="009F54FF" w:rsidP="00486A1D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5CE1">
              <w:rPr>
                <w:rFonts w:cstheme="minorHAnsi"/>
                <w:color w:val="000000"/>
                <w:sz w:val="20"/>
                <w:szCs w:val="20"/>
              </w:rPr>
              <w:t xml:space="preserve">RCRI risk &gt; 2% &amp; </w:t>
            </w:r>
            <w:r w:rsidRPr="00E25CE1">
              <w:rPr>
                <w:rFonts w:ascii="Cambria Math" w:hAnsi="Cambria Math" w:cs="Cambria Math"/>
                <w:color w:val="000000"/>
                <w:sz w:val="20"/>
                <w:szCs w:val="20"/>
              </w:rPr>
              <w:t>≦</w:t>
            </w:r>
            <w:r w:rsidRPr="00E25CE1">
              <w:rPr>
                <w:rFonts w:cstheme="minorHAnsi"/>
                <w:color w:val="000000"/>
                <w:sz w:val="20"/>
                <w:szCs w:val="20"/>
              </w:rPr>
              <w:t xml:space="preserve"> 3%</w:t>
            </w:r>
          </w:p>
        </w:tc>
        <w:tc>
          <w:tcPr>
            <w:tcW w:w="1466" w:type="dxa"/>
            <w:tcBorders>
              <w:right w:val="single" w:sz="8" w:space="0" w:color="000000"/>
            </w:tcBorders>
            <w:vAlign w:val="bottom"/>
          </w:tcPr>
          <w:p w14:paraId="559CB44D" w14:textId="77777777" w:rsidR="009F54FF" w:rsidRPr="00E25CE1" w:rsidRDefault="009F54FF" w:rsidP="00486A1D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5CE1">
              <w:rPr>
                <w:rFonts w:cstheme="minorHAnsi"/>
                <w:color w:val="000000"/>
                <w:sz w:val="20"/>
                <w:szCs w:val="20"/>
              </w:rPr>
              <w:t xml:space="preserve">RCRI risk &gt; 3% &amp; </w:t>
            </w:r>
            <w:r w:rsidRPr="00E25CE1">
              <w:rPr>
                <w:rFonts w:ascii="Cambria Math" w:hAnsi="Cambria Math" w:cs="Cambria Math"/>
                <w:color w:val="000000"/>
                <w:sz w:val="20"/>
                <w:szCs w:val="20"/>
              </w:rPr>
              <w:t>≦</w:t>
            </w:r>
            <w:r w:rsidRPr="00E25CE1">
              <w:rPr>
                <w:rFonts w:cstheme="minorHAnsi"/>
                <w:color w:val="000000"/>
                <w:sz w:val="20"/>
                <w:szCs w:val="20"/>
              </w:rPr>
              <w:t xml:space="preserve"> 4%</w:t>
            </w:r>
          </w:p>
        </w:tc>
        <w:tc>
          <w:tcPr>
            <w:tcW w:w="2177" w:type="dxa"/>
            <w:vAlign w:val="bottom"/>
          </w:tcPr>
          <w:p w14:paraId="77BDC4F6" w14:textId="77777777" w:rsidR="009F54FF" w:rsidRPr="00E25CE1" w:rsidRDefault="009F54FF" w:rsidP="00486A1D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5CE1">
              <w:rPr>
                <w:rFonts w:cstheme="minorHAnsi"/>
                <w:color w:val="000000"/>
                <w:sz w:val="20"/>
                <w:szCs w:val="20"/>
              </w:rPr>
              <w:t>RCRI risk &gt; 4%</w:t>
            </w:r>
          </w:p>
        </w:tc>
      </w:tr>
      <w:tr w:rsidR="009F54FF" w:rsidRPr="00E25CE1" w14:paraId="6685B1CA" w14:textId="77777777" w:rsidTr="00486A1D">
        <w:tblPrEx>
          <w:tblBorders>
            <w:top w:val="none" w:sz="0" w:space="0" w:color="auto"/>
          </w:tblBorders>
        </w:tblPrEx>
        <w:tc>
          <w:tcPr>
            <w:tcW w:w="3247" w:type="dxa"/>
            <w:tcBorders>
              <w:right w:val="single" w:sz="8" w:space="0" w:color="000000"/>
            </w:tcBorders>
            <w:shd w:val="clear" w:color="auto" w:fill="EFEFEF"/>
            <w:vAlign w:val="bottom"/>
          </w:tcPr>
          <w:p w14:paraId="3C174757" w14:textId="77777777" w:rsidR="009F54FF" w:rsidRPr="00E25CE1" w:rsidRDefault="009F54FF" w:rsidP="00486A1D">
            <w:pPr>
              <w:autoSpaceDE w:val="0"/>
              <w:autoSpaceDN w:val="0"/>
              <w:adjustRightInd w:val="0"/>
              <w:spacing w:after="0" w:line="280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E25CE1">
              <w:rPr>
                <w:rFonts w:cstheme="minorHAnsi"/>
                <w:color w:val="000000"/>
                <w:sz w:val="20"/>
                <w:szCs w:val="20"/>
              </w:rPr>
              <w:t xml:space="preserve">ACS NISQP risk </w:t>
            </w:r>
            <w:r w:rsidRPr="00E25CE1">
              <w:rPr>
                <w:rFonts w:ascii="Cambria Math" w:hAnsi="Cambria Math" w:cs="Cambria Math"/>
                <w:color w:val="000000"/>
                <w:sz w:val="20"/>
                <w:szCs w:val="20"/>
              </w:rPr>
              <w:t>≦</w:t>
            </w:r>
            <w:r w:rsidRPr="00E25CE1">
              <w:rPr>
                <w:rFonts w:cstheme="minorHAnsi"/>
                <w:color w:val="000000"/>
                <w:sz w:val="20"/>
                <w:szCs w:val="20"/>
              </w:rPr>
              <w:t xml:space="preserve"> 1%</w:t>
            </w:r>
          </w:p>
        </w:tc>
        <w:tc>
          <w:tcPr>
            <w:tcW w:w="1784" w:type="dxa"/>
            <w:tcBorders>
              <w:right w:val="single" w:sz="8" w:space="0" w:color="000000"/>
            </w:tcBorders>
            <w:shd w:val="clear" w:color="auto" w:fill="EFEFEF"/>
            <w:vAlign w:val="bottom"/>
          </w:tcPr>
          <w:p w14:paraId="6418BAF5" w14:textId="77777777" w:rsidR="009F54FF" w:rsidRPr="00E25CE1" w:rsidRDefault="009F54FF" w:rsidP="00486A1D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5CE1">
              <w:rPr>
                <w:rFonts w:cstheme="minorHAnsi"/>
                <w:color w:val="000000"/>
                <w:sz w:val="20"/>
                <w:szCs w:val="20"/>
              </w:rPr>
              <w:t>6,822 (80.7)</w:t>
            </w:r>
          </w:p>
        </w:tc>
        <w:tc>
          <w:tcPr>
            <w:tcW w:w="1491" w:type="dxa"/>
            <w:tcBorders>
              <w:right w:val="single" w:sz="8" w:space="0" w:color="000000"/>
            </w:tcBorders>
            <w:shd w:val="clear" w:color="auto" w:fill="EFEFEF"/>
            <w:vAlign w:val="center"/>
          </w:tcPr>
          <w:p w14:paraId="23C9277E" w14:textId="77777777" w:rsidR="009F54FF" w:rsidRPr="00E25CE1" w:rsidRDefault="009F54FF" w:rsidP="00486A1D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5CE1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1" w:type="dxa"/>
            <w:tcBorders>
              <w:right w:val="single" w:sz="8" w:space="0" w:color="000000"/>
            </w:tcBorders>
            <w:shd w:val="clear" w:color="auto" w:fill="EFEFEF"/>
            <w:vAlign w:val="center"/>
          </w:tcPr>
          <w:p w14:paraId="76FCC21F" w14:textId="77777777" w:rsidR="009F54FF" w:rsidRPr="00E25CE1" w:rsidRDefault="009F54FF" w:rsidP="00486A1D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5CE1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right w:val="single" w:sz="8" w:space="0" w:color="000000"/>
            </w:tcBorders>
            <w:shd w:val="clear" w:color="auto" w:fill="EFEFEF"/>
            <w:vAlign w:val="center"/>
          </w:tcPr>
          <w:p w14:paraId="59B005B0" w14:textId="77777777" w:rsidR="009F54FF" w:rsidRPr="00E25CE1" w:rsidRDefault="009F54FF" w:rsidP="00486A1D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5CE1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77" w:type="dxa"/>
            <w:shd w:val="clear" w:color="auto" w:fill="EFEFEF"/>
            <w:vAlign w:val="bottom"/>
          </w:tcPr>
          <w:p w14:paraId="50D71677" w14:textId="77777777" w:rsidR="009F54FF" w:rsidRPr="00E25CE1" w:rsidRDefault="009F54FF" w:rsidP="00486A1D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5CE1">
              <w:rPr>
                <w:rFonts w:cstheme="minorHAnsi"/>
                <w:color w:val="000000"/>
                <w:sz w:val="20"/>
                <w:szCs w:val="20"/>
              </w:rPr>
              <w:t>152 (27.2)</w:t>
            </w:r>
          </w:p>
        </w:tc>
      </w:tr>
      <w:tr w:rsidR="009F54FF" w:rsidRPr="00E25CE1" w14:paraId="672B7C09" w14:textId="77777777" w:rsidTr="00486A1D">
        <w:tblPrEx>
          <w:tblBorders>
            <w:top w:val="none" w:sz="0" w:space="0" w:color="auto"/>
          </w:tblBorders>
        </w:tblPrEx>
        <w:tc>
          <w:tcPr>
            <w:tcW w:w="3247" w:type="dxa"/>
            <w:tcBorders>
              <w:right w:val="single" w:sz="8" w:space="0" w:color="000000"/>
            </w:tcBorders>
            <w:vAlign w:val="bottom"/>
          </w:tcPr>
          <w:p w14:paraId="32027511" w14:textId="77777777" w:rsidR="009F54FF" w:rsidRPr="00E25CE1" w:rsidRDefault="009F54FF" w:rsidP="00486A1D">
            <w:pPr>
              <w:autoSpaceDE w:val="0"/>
              <w:autoSpaceDN w:val="0"/>
              <w:adjustRightInd w:val="0"/>
              <w:spacing w:after="0" w:line="280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E25CE1">
              <w:rPr>
                <w:rFonts w:cstheme="minorHAnsi"/>
                <w:color w:val="000000"/>
                <w:sz w:val="20"/>
                <w:szCs w:val="20"/>
              </w:rPr>
              <w:t xml:space="preserve">ACS NISQP risk &gt; 1% &amp; </w:t>
            </w:r>
            <w:r w:rsidRPr="00E25CE1">
              <w:rPr>
                <w:rFonts w:ascii="Cambria Math" w:hAnsi="Cambria Math" w:cs="Cambria Math"/>
                <w:color w:val="000000"/>
                <w:sz w:val="20"/>
                <w:szCs w:val="20"/>
              </w:rPr>
              <w:t>≦</w:t>
            </w:r>
            <w:r w:rsidRPr="00E25CE1">
              <w:rPr>
                <w:rFonts w:cstheme="minorHAnsi"/>
                <w:color w:val="000000"/>
                <w:sz w:val="20"/>
                <w:szCs w:val="20"/>
              </w:rPr>
              <w:t xml:space="preserve"> 2%</w:t>
            </w:r>
          </w:p>
        </w:tc>
        <w:tc>
          <w:tcPr>
            <w:tcW w:w="1784" w:type="dxa"/>
            <w:tcBorders>
              <w:right w:val="single" w:sz="8" w:space="0" w:color="000000"/>
            </w:tcBorders>
            <w:vAlign w:val="bottom"/>
          </w:tcPr>
          <w:p w14:paraId="2351C91F" w14:textId="77777777" w:rsidR="009F54FF" w:rsidRPr="00E25CE1" w:rsidRDefault="009F54FF" w:rsidP="00486A1D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5CE1">
              <w:rPr>
                <w:rFonts w:cstheme="minorHAnsi"/>
                <w:color w:val="000000"/>
                <w:sz w:val="20"/>
                <w:szCs w:val="20"/>
              </w:rPr>
              <w:t>1,011 (12.0)</w:t>
            </w:r>
          </w:p>
        </w:tc>
        <w:tc>
          <w:tcPr>
            <w:tcW w:w="1491" w:type="dxa"/>
            <w:tcBorders>
              <w:right w:val="single" w:sz="8" w:space="0" w:color="000000"/>
            </w:tcBorders>
            <w:vAlign w:val="center"/>
          </w:tcPr>
          <w:p w14:paraId="139D69BB" w14:textId="77777777" w:rsidR="009F54FF" w:rsidRPr="00E25CE1" w:rsidRDefault="009F54FF" w:rsidP="00486A1D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5CE1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1" w:type="dxa"/>
            <w:tcBorders>
              <w:right w:val="single" w:sz="8" w:space="0" w:color="000000"/>
            </w:tcBorders>
            <w:vAlign w:val="center"/>
          </w:tcPr>
          <w:p w14:paraId="18EDD8A4" w14:textId="77777777" w:rsidR="009F54FF" w:rsidRPr="00E25CE1" w:rsidRDefault="009F54FF" w:rsidP="00486A1D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5CE1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right w:val="single" w:sz="8" w:space="0" w:color="000000"/>
            </w:tcBorders>
            <w:vAlign w:val="center"/>
          </w:tcPr>
          <w:p w14:paraId="779CDDC5" w14:textId="77777777" w:rsidR="009F54FF" w:rsidRPr="00E25CE1" w:rsidRDefault="009F54FF" w:rsidP="00486A1D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5CE1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77" w:type="dxa"/>
            <w:vAlign w:val="bottom"/>
          </w:tcPr>
          <w:p w14:paraId="57F4D8BC" w14:textId="77777777" w:rsidR="009F54FF" w:rsidRPr="00E25CE1" w:rsidRDefault="009F54FF" w:rsidP="00486A1D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5CE1">
              <w:rPr>
                <w:rFonts w:cstheme="minorHAnsi"/>
                <w:color w:val="000000"/>
                <w:sz w:val="20"/>
                <w:szCs w:val="20"/>
              </w:rPr>
              <w:t>152 (27.2)</w:t>
            </w:r>
          </w:p>
        </w:tc>
      </w:tr>
      <w:tr w:rsidR="009F54FF" w:rsidRPr="00E25CE1" w14:paraId="3337696E" w14:textId="77777777" w:rsidTr="00486A1D">
        <w:tblPrEx>
          <w:tblBorders>
            <w:top w:val="none" w:sz="0" w:space="0" w:color="auto"/>
          </w:tblBorders>
        </w:tblPrEx>
        <w:tc>
          <w:tcPr>
            <w:tcW w:w="3247" w:type="dxa"/>
            <w:tcBorders>
              <w:right w:val="single" w:sz="8" w:space="0" w:color="000000"/>
            </w:tcBorders>
            <w:shd w:val="clear" w:color="auto" w:fill="EFEFEF"/>
            <w:vAlign w:val="bottom"/>
          </w:tcPr>
          <w:p w14:paraId="0A425A03" w14:textId="77777777" w:rsidR="009F54FF" w:rsidRPr="00E25CE1" w:rsidRDefault="009F54FF" w:rsidP="00486A1D">
            <w:pPr>
              <w:autoSpaceDE w:val="0"/>
              <w:autoSpaceDN w:val="0"/>
              <w:adjustRightInd w:val="0"/>
              <w:spacing w:after="0" w:line="280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E25CE1">
              <w:rPr>
                <w:rFonts w:cstheme="minorHAnsi"/>
                <w:color w:val="000000"/>
                <w:sz w:val="20"/>
                <w:szCs w:val="20"/>
              </w:rPr>
              <w:t xml:space="preserve">ACS NISQP risk &gt; 2% &amp; </w:t>
            </w:r>
            <w:r w:rsidRPr="00E25CE1">
              <w:rPr>
                <w:rFonts w:ascii="Cambria Math" w:hAnsi="Cambria Math" w:cs="Cambria Math"/>
                <w:color w:val="000000"/>
                <w:sz w:val="20"/>
                <w:szCs w:val="20"/>
              </w:rPr>
              <w:t>≦</w:t>
            </w:r>
            <w:r w:rsidRPr="00E25CE1">
              <w:rPr>
                <w:rFonts w:cstheme="minorHAnsi"/>
                <w:color w:val="000000"/>
                <w:sz w:val="20"/>
                <w:szCs w:val="20"/>
              </w:rPr>
              <w:t xml:space="preserve"> 3%</w:t>
            </w:r>
          </w:p>
        </w:tc>
        <w:tc>
          <w:tcPr>
            <w:tcW w:w="1784" w:type="dxa"/>
            <w:tcBorders>
              <w:right w:val="single" w:sz="8" w:space="0" w:color="000000"/>
            </w:tcBorders>
            <w:shd w:val="clear" w:color="auto" w:fill="EFEFEF"/>
            <w:vAlign w:val="bottom"/>
          </w:tcPr>
          <w:p w14:paraId="2E83D86B" w14:textId="77777777" w:rsidR="009F54FF" w:rsidRPr="00E25CE1" w:rsidRDefault="009F54FF" w:rsidP="00486A1D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5CE1">
              <w:rPr>
                <w:rFonts w:cstheme="minorHAnsi"/>
                <w:color w:val="000000"/>
                <w:sz w:val="20"/>
                <w:szCs w:val="20"/>
              </w:rPr>
              <w:t>326 (3.9)</w:t>
            </w:r>
          </w:p>
        </w:tc>
        <w:tc>
          <w:tcPr>
            <w:tcW w:w="1491" w:type="dxa"/>
            <w:tcBorders>
              <w:right w:val="single" w:sz="8" w:space="0" w:color="000000"/>
            </w:tcBorders>
            <w:shd w:val="clear" w:color="auto" w:fill="EFEFEF"/>
            <w:vAlign w:val="center"/>
          </w:tcPr>
          <w:p w14:paraId="1312449C" w14:textId="77777777" w:rsidR="009F54FF" w:rsidRPr="00E25CE1" w:rsidRDefault="009F54FF" w:rsidP="00486A1D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5CE1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1" w:type="dxa"/>
            <w:tcBorders>
              <w:right w:val="single" w:sz="8" w:space="0" w:color="000000"/>
            </w:tcBorders>
            <w:shd w:val="clear" w:color="auto" w:fill="EFEFEF"/>
            <w:vAlign w:val="center"/>
          </w:tcPr>
          <w:p w14:paraId="3EDECFF1" w14:textId="77777777" w:rsidR="009F54FF" w:rsidRPr="00E25CE1" w:rsidRDefault="009F54FF" w:rsidP="00486A1D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5CE1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right w:val="single" w:sz="8" w:space="0" w:color="000000"/>
            </w:tcBorders>
            <w:shd w:val="clear" w:color="auto" w:fill="EFEFEF"/>
            <w:vAlign w:val="center"/>
          </w:tcPr>
          <w:p w14:paraId="04DC1E08" w14:textId="77777777" w:rsidR="009F54FF" w:rsidRPr="00E25CE1" w:rsidRDefault="009F54FF" w:rsidP="00486A1D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5CE1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77" w:type="dxa"/>
            <w:shd w:val="clear" w:color="auto" w:fill="EFEFEF"/>
            <w:vAlign w:val="bottom"/>
          </w:tcPr>
          <w:p w14:paraId="0B78C558" w14:textId="77777777" w:rsidR="009F54FF" w:rsidRPr="00E25CE1" w:rsidRDefault="009F54FF" w:rsidP="00486A1D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5CE1">
              <w:rPr>
                <w:rFonts w:cstheme="minorHAnsi"/>
                <w:color w:val="000000"/>
                <w:sz w:val="20"/>
                <w:szCs w:val="20"/>
              </w:rPr>
              <w:t>103 (18.5)</w:t>
            </w:r>
          </w:p>
        </w:tc>
      </w:tr>
      <w:tr w:rsidR="009F54FF" w:rsidRPr="00E25CE1" w14:paraId="18AD4BCD" w14:textId="77777777" w:rsidTr="00486A1D">
        <w:tblPrEx>
          <w:tblBorders>
            <w:top w:val="none" w:sz="0" w:space="0" w:color="auto"/>
          </w:tblBorders>
        </w:tblPrEx>
        <w:tc>
          <w:tcPr>
            <w:tcW w:w="3247" w:type="dxa"/>
            <w:tcBorders>
              <w:right w:val="single" w:sz="8" w:space="0" w:color="000000"/>
            </w:tcBorders>
            <w:vAlign w:val="bottom"/>
          </w:tcPr>
          <w:p w14:paraId="6FD47E18" w14:textId="77777777" w:rsidR="009F54FF" w:rsidRPr="00E25CE1" w:rsidRDefault="009F54FF" w:rsidP="00486A1D">
            <w:pPr>
              <w:autoSpaceDE w:val="0"/>
              <w:autoSpaceDN w:val="0"/>
              <w:adjustRightInd w:val="0"/>
              <w:spacing w:after="0" w:line="280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E25CE1">
              <w:rPr>
                <w:rFonts w:cstheme="minorHAnsi"/>
                <w:color w:val="000000"/>
                <w:sz w:val="20"/>
                <w:szCs w:val="20"/>
              </w:rPr>
              <w:t xml:space="preserve">ACS NISQP risk &gt; 3% &amp; </w:t>
            </w:r>
            <w:r w:rsidRPr="00E25CE1">
              <w:rPr>
                <w:rFonts w:ascii="Cambria Math" w:hAnsi="Cambria Math" w:cs="Cambria Math"/>
                <w:color w:val="000000"/>
                <w:sz w:val="20"/>
                <w:szCs w:val="20"/>
              </w:rPr>
              <w:t>≦</w:t>
            </w:r>
            <w:r w:rsidRPr="00E25CE1">
              <w:rPr>
                <w:rFonts w:cstheme="minorHAnsi"/>
                <w:color w:val="000000"/>
                <w:sz w:val="20"/>
                <w:szCs w:val="20"/>
              </w:rPr>
              <w:t xml:space="preserve"> 4%</w:t>
            </w:r>
          </w:p>
        </w:tc>
        <w:tc>
          <w:tcPr>
            <w:tcW w:w="1784" w:type="dxa"/>
            <w:tcBorders>
              <w:right w:val="single" w:sz="8" w:space="0" w:color="000000"/>
            </w:tcBorders>
            <w:vAlign w:val="bottom"/>
          </w:tcPr>
          <w:p w14:paraId="45F65674" w14:textId="77777777" w:rsidR="009F54FF" w:rsidRPr="00E25CE1" w:rsidRDefault="009F54FF" w:rsidP="00486A1D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5CE1">
              <w:rPr>
                <w:rFonts w:cstheme="minorHAnsi"/>
                <w:color w:val="000000"/>
                <w:sz w:val="20"/>
                <w:szCs w:val="20"/>
              </w:rPr>
              <w:t>143 (1.7)</w:t>
            </w:r>
          </w:p>
        </w:tc>
        <w:tc>
          <w:tcPr>
            <w:tcW w:w="1491" w:type="dxa"/>
            <w:tcBorders>
              <w:right w:val="single" w:sz="8" w:space="0" w:color="000000"/>
            </w:tcBorders>
            <w:vAlign w:val="center"/>
          </w:tcPr>
          <w:p w14:paraId="165F842C" w14:textId="77777777" w:rsidR="009F54FF" w:rsidRPr="00E25CE1" w:rsidRDefault="009F54FF" w:rsidP="00486A1D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5CE1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1" w:type="dxa"/>
            <w:tcBorders>
              <w:right w:val="single" w:sz="8" w:space="0" w:color="000000"/>
            </w:tcBorders>
            <w:vAlign w:val="center"/>
          </w:tcPr>
          <w:p w14:paraId="695E5244" w14:textId="77777777" w:rsidR="009F54FF" w:rsidRPr="00E25CE1" w:rsidRDefault="009F54FF" w:rsidP="00486A1D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5CE1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right w:val="single" w:sz="8" w:space="0" w:color="000000"/>
            </w:tcBorders>
            <w:vAlign w:val="center"/>
          </w:tcPr>
          <w:p w14:paraId="6286E314" w14:textId="77777777" w:rsidR="009F54FF" w:rsidRPr="00E25CE1" w:rsidRDefault="009F54FF" w:rsidP="00486A1D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5CE1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77" w:type="dxa"/>
            <w:vAlign w:val="bottom"/>
          </w:tcPr>
          <w:p w14:paraId="6BC25114" w14:textId="77777777" w:rsidR="009F54FF" w:rsidRPr="00E25CE1" w:rsidRDefault="009F54FF" w:rsidP="00486A1D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5CE1">
              <w:rPr>
                <w:rFonts w:cstheme="minorHAnsi"/>
                <w:color w:val="000000"/>
                <w:sz w:val="20"/>
                <w:szCs w:val="20"/>
              </w:rPr>
              <w:t>61 (10.9)</w:t>
            </w:r>
          </w:p>
        </w:tc>
      </w:tr>
      <w:tr w:rsidR="009F54FF" w:rsidRPr="00E25CE1" w14:paraId="7D055914" w14:textId="77777777" w:rsidTr="00486A1D">
        <w:tc>
          <w:tcPr>
            <w:tcW w:w="3247" w:type="dxa"/>
            <w:tcBorders>
              <w:right w:val="single" w:sz="8" w:space="0" w:color="000000"/>
            </w:tcBorders>
            <w:shd w:val="clear" w:color="auto" w:fill="EFEFEF"/>
            <w:vAlign w:val="bottom"/>
          </w:tcPr>
          <w:p w14:paraId="4B41C1BA" w14:textId="77777777" w:rsidR="009F54FF" w:rsidRPr="00E25CE1" w:rsidRDefault="009F54FF" w:rsidP="00486A1D">
            <w:pPr>
              <w:autoSpaceDE w:val="0"/>
              <w:autoSpaceDN w:val="0"/>
              <w:adjustRightInd w:val="0"/>
              <w:spacing w:after="0" w:line="280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E25CE1">
              <w:rPr>
                <w:rFonts w:cstheme="minorHAnsi"/>
                <w:color w:val="000000"/>
                <w:sz w:val="20"/>
                <w:szCs w:val="20"/>
              </w:rPr>
              <w:t>ACS NISQP risk &gt; 4%</w:t>
            </w:r>
          </w:p>
        </w:tc>
        <w:tc>
          <w:tcPr>
            <w:tcW w:w="1784" w:type="dxa"/>
            <w:tcBorders>
              <w:right w:val="single" w:sz="8" w:space="0" w:color="000000"/>
            </w:tcBorders>
            <w:shd w:val="clear" w:color="auto" w:fill="EFEFEF"/>
            <w:vAlign w:val="bottom"/>
          </w:tcPr>
          <w:p w14:paraId="34B1D6A3" w14:textId="77777777" w:rsidR="009F54FF" w:rsidRPr="00E25CE1" w:rsidRDefault="009F54FF" w:rsidP="00486A1D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5CE1">
              <w:rPr>
                <w:rFonts w:cstheme="minorHAnsi"/>
                <w:color w:val="000000"/>
                <w:sz w:val="20"/>
                <w:szCs w:val="20"/>
              </w:rPr>
              <w:t>155 (1.8)</w:t>
            </w:r>
          </w:p>
        </w:tc>
        <w:tc>
          <w:tcPr>
            <w:tcW w:w="1491" w:type="dxa"/>
            <w:tcBorders>
              <w:right w:val="single" w:sz="8" w:space="0" w:color="000000"/>
            </w:tcBorders>
            <w:shd w:val="clear" w:color="auto" w:fill="EFEFEF"/>
            <w:vAlign w:val="center"/>
          </w:tcPr>
          <w:p w14:paraId="2583EB6E" w14:textId="77777777" w:rsidR="009F54FF" w:rsidRPr="00E25CE1" w:rsidRDefault="009F54FF" w:rsidP="00486A1D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5CE1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1" w:type="dxa"/>
            <w:tcBorders>
              <w:right w:val="single" w:sz="8" w:space="0" w:color="000000"/>
            </w:tcBorders>
            <w:shd w:val="clear" w:color="auto" w:fill="EFEFEF"/>
            <w:vAlign w:val="center"/>
          </w:tcPr>
          <w:p w14:paraId="50EBA7FD" w14:textId="77777777" w:rsidR="009F54FF" w:rsidRPr="00E25CE1" w:rsidRDefault="009F54FF" w:rsidP="00486A1D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5CE1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right w:val="single" w:sz="8" w:space="0" w:color="000000"/>
            </w:tcBorders>
            <w:shd w:val="clear" w:color="auto" w:fill="EFEFEF"/>
            <w:vAlign w:val="center"/>
          </w:tcPr>
          <w:p w14:paraId="7B986442" w14:textId="77777777" w:rsidR="009F54FF" w:rsidRPr="00E25CE1" w:rsidRDefault="009F54FF" w:rsidP="00486A1D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5CE1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77" w:type="dxa"/>
            <w:shd w:val="clear" w:color="auto" w:fill="EFEFEF"/>
            <w:vAlign w:val="bottom"/>
          </w:tcPr>
          <w:p w14:paraId="204B1F88" w14:textId="77777777" w:rsidR="009F54FF" w:rsidRPr="00E25CE1" w:rsidRDefault="009F54FF" w:rsidP="00486A1D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5CE1">
              <w:rPr>
                <w:rFonts w:cstheme="minorHAnsi"/>
                <w:color w:val="000000"/>
                <w:sz w:val="20"/>
                <w:szCs w:val="20"/>
              </w:rPr>
              <w:t>90 (16.1)</w:t>
            </w:r>
          </w:p>
        </w:tc>
      </w:tr>
    </w:tbl>
    <w:p w14:paraId="513748B4" w14:textId="77777777" w:rsidR="009F54FF" w:rsidRDefault="009F54FF" w:rsidP="009F54FF"/>
    <w:p w14:paraId="50ED05B8" w14:textId="4758BBFC" w:rsidR="009F54FF" w:rsidRDefault="009F54FF" w:rsidP="009F54FF">
      <w:pPr>
        <w:spacing w:line="240" w:lineRule="auto"/>
        <w:contextualSpacing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311F2">
        <w:rPr>
          <w:rFonts w:ascii="Calibri" w:eastAsia="Times New Roman" w:hAnsi="Calibri" w:cs="Times New Roman"/>
          <w:b/>
          <w:sz w:val="20"/>
          <w:szCs w:val="20"/>
        </w:rPr>
        <w:t xml:space="preserve">Table 1a. </w:t>
      </w:r>
      <w:proofErr w:type="gramStart"/>
      <w:r w:rsidRPr="006311F2">
        <w:rPr>
          <w:rFonts w:ascii="Calibri" w:eastAsia="Times New Roman" w:hAnsi="Calibri" w:cs="Times New Roman"/>
          <w:sz w:val="20"/>
          <w:szCs w:val="20"/>
        </w:rPr>
        <w:t>Agreement on the predicted risk distribution of patients using the ACS NSQIP risk calculator versus the RCRI.</w:t>
      </w:r>
      <w:proofErr w:type="gramEnd"/>
      <w:r w:rsidRPr="006311F2">
        <w:rPr>
          <w:rFonts w:ascii="Calibri" w:eastAsia="Times New Roman" w:hAnsi="Calibri" w:cs="Times New Roman"/>
          <w:sz w:val="20"/>
          <w:szCs w:val="20"/>
        </w:rPr>
        <w:t xml:space="preserve">  Because the RCRI predicts only four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 values for the risk of MACE - 0.4%, 0.9%, 6.6%, and 11% - the middle 2 columns of the table are empty.</w:t>
      </w:r>
    </w:p>
    <w:p w14:paraId="30014600" w14:textId="77777777" w:rsidR="009F54FF" w:rsidRDefault="009F54FF" w:rsidP="009F54FF">
      <w:pPr>
        <w:spacing w:line="240" w:lineRule="auto"/>
        <w:contextualSpacing/>
      </w:pPr>
      <w:proofErr w:type="gramStart"/>
      <w:r>
        <w:rPr>
          <w:rFonts w:ascii="Calibri" w:eastAsia="Times New Roman" w:hAnsi="Calibri" w:cs="Times New Roman"/>
          <w:color w:val="000000"/>
          <w:sz w:val="20"/>
          <w:szCs w:val="20"/>
        </w:rPr>
        <w:t>( )</w:t>
      </w:r>
      <w:proofErr w:type="gramEnd"/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 indicates percentage.</w:t>
      </w:r>
    </w:p>
    <w:p w14:paraId="3BE745E4" w14:textId="77777777" w:rsidR="009F54FF" w:rsidRDefault="009F54FF" w:rsidP="009F54FF"/>
    <w:tbl>
      <w:tblPr>
        <w:tblW w:w="11706" w:type="dxa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55"/>
        <w:gridCol w:w="1782"/>
        <w:gridCol w:w="1489"/>
        <w:gridCol w:w="1539"/>
        <w:gridCol w:w="1464"/>
        <w:gridCol w:w="2177"/>
      </w:tblGrid>
      <w:tr w:rsidR="009F54FF" w:rsidRPr="006311F2" w14:paraId="37B7EE87" w14:textId="77777777" w:rsidTr="00486A1D">
        <w:tc>
          <w:tcPr>
            <w:tcW w:w="1" w:type="dxa"/>
            <w:gridSpan w:val="6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14:paraId="32711824" w14:textId="4220B253" w:rsidR="009F54FF" w:rsidRPr="006311F2" w:rsidRDefault="009F54FF" w:rsidP="00486A1D">
            <w:pPr>
              <w:autoSpaceDE w:val="0"/>
              <w:autoSpaceDN w:val="0"/>
              <w:adjustRightInd w:val="0"/>
              <w:spacing w:after="0" w:line="280" w:lineRule="atLeast"/>
              <w:rPr>
                <w:rFonts w:cstheme="minorHAnsi"/>
                <w:b/>
                <w:sz w:val="20"/>
                <w:szCs w:val="20"/>
              </w:rPr>
            </w:pPr>
            <w:r w:rsidRPr="006311F2">
              <w:rPr>
                <w:rFonts w:cstheme="minorHAnsi"/>
                <w:b/>
                <w:sz w:val="20"/>
                <w:szCs w:val="20"/>
              </w:rPr>
              <w:t>SDC Table 1b</w:t>
            </w:r>
          </w:p>
        </w:tc>
      </w:tr>
      <w:tr w:rsidR="009F54FF" w:rsidRPr="00E25CE1" w14:paraId="72DE4C4B" w14:textId="77777777" w:rsidTr="00486A1D">
        <w:tblPrEx>
          <w:tblBorders>
            <w:top w:val="none" w:sz="0" w:space="0" w:color="auto"/>
          </w:tblBorders>
        </w:tblPrEx>
        <w:tc>
          <w:tcPr>
            <w:tcW w:w="3255" w:type="dxa"/>
            <w:tcBorders>
              <w:right w:val="single" w:sz="8" w:space="0" w:color="000000"/>
            </w:tcBorders>
            <w:vAlign w:val="bottom"/>
          </w:tcPr>
          <w:p w14:paraId="26467588" w14:textId="77777777" w:rsidR="009F54FF" w:rsidRPr="00E25CE1" w:rsidRDefault="009F54FF" w:rsidP="00486A1D">
            <w:pPr>
              <w:autoSpaceDE w:val="0"/>
              <w:autoSpaceDN w:val="0"/>
              <w:adjustRightInd w:val="0"/>
              <w:spacing w:after="0" w:line="280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E25CE1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2" w:type="dxa"/>
            <w:tcBorders>
              <w:right w:val="single" w:sz="8" w:space="0" w:color="000000"/>
            </w:tcBorders>
            <w:vAlign w:val="bottom"/>
          </w:tcPr>
          <w:p w14:paraId="781796A1" w14:textId="77777777" w:rsidR="009F54FF" w:rsidRPr="00E25CE1" w:rsidRDefault="009F54FF" w:rsidP="00486A1D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5CE1">
              <w:rPr>
                <w:rFonts w:cstheme="minorHAnsi"/>
                <w:color w:val="000000"/>
                <w:sz w:val="20"/>
                <w:szCs w:val="20"/>
              </w:rPr>
              <w:t xml:space="preserve">RCRI risk </w:t>
            </w:r>
            <w:r w:rsidRPr="00E25CE1">
              <w:rPr>
                <w:rFonts w:ascii="Cambria Math" w:hAnsi="Cambria Math" w:cs="Cambria Math"/>
                <w:color w:val="000000"/>
                <w:sz w:val="20"/>
                <w:szCs w:val="20"/>
              </w:rPr>
              <w:t>≦</w:t>
            </w:r>
            <w:r w:rsidRPr="00E25CE1">
              <w:rPr>
                <w:rFonts w:cstheme="minorHAnsi"/>
                <w:color w:val="000000"/>
                <w:sz w:val="20"/>
                <w:szCs w:val="20"/>
              </w:rPr>
              <w:t xml:space="preserve"> 1%</w:t>
            </w:r>
          </w:p>
        </w:tc>
        <w:tc>
          <w:tcPr>
            <w:tcW w:w="1489" w:type="dxa"/>
            <w:tcBorders>
              <w:right w:val="single" w:sz="8" w:space="0" w:color="000000"/>
            </w:tcBorders>
            <w:vAlign w:val="bottom"/>
          </w:tcPr>
          <w:p w14:paraId="3BFA8F7B" w14:textId="77777777" w:rsidR="009F54FF" w:rsidRPr="00E25CE1" w:rsidRDefault="009F54FF" w:rsidP="00486A1D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5CE1">
              <w:rPr>
                <w:rFonts w:cstheme="minorHAnsi"/>
                <w:color w:val="000000"/>
                <w:sz w:val="20"/>
                <w:szCs w:val="20"/>
              </w:rPr>
              <w:t xml:space="preserve">RCRI risk &gt; 1% &amp; </w:t>
            </w:r>
            <w:r w:rsidRPr="00E25CE1">
              <w:rPr>
                <w:rFonts w:ascii="Cambria Math" w:hAnsi="Cambria Math" w:cs="Cambria Math"/>
                <w:color w:val="000000"/>
                <w:sz w:val="20"/>
                <w:szCs w:val="20"/>
              </w:rPr>
              <w:t>≦</w:t>
            </w:r>
            <w:r w:rsidRPr="00E25CE1">
              <w:rPr>
                <w:rFonts w:cstheme="minorHAnsi"/>
                <w:color w:val="000000"/>
                <w:sz w:val="20"/>
                <w:szCs w:val="20"/>
              </w:rPr>
              <w:t xml:space="preserve"> 2%</w:t>
            </w:r>
          </w:p>
        </w:tc>
        <w:tc>
          <w:tcPr>
            <w:tcW w:w="1539" w:type="dxa"/>
            <w:tcBorders>
              <w:right w:val="single" w:sz="8" w:space="0" w:color="000000"/>
            </w:tcBorders>
            <w:vAlign w:val="bottom"/>
          </w:tcPr>
          <w:p w14:paraId="165F383B" w14:textId="77777777" w:rsidR="009F54FF" w:rsidRPr="00E25CE1" w:rsidRDefault="009F54FF" w:rsidP="00486A1D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5CE1">
              <w:rPr>
                <w:rFonts w:cstheme="minorHAnsi"/>
                <w:color w:val="000000"/>
                <w:sz w:val="20"/>
                <w:szCs w:val="20"/>
              </w:rPr>
              <w:t xml:space="preserve">RCRI risk &gt; 2% &amp; </w:t>
            </w:r>
            <w:r w:rsidRPr="00E25CE1">
              <w:rPr>
                <w:rFonts w:ascii="Cambria Math" w:hAnsi="Cambria Math" w:cs="Cambria Math"/>
                <w:color w:val="000000"/>
                <w:sz w:val="20"/>
                <w:szCs w:val="20"/>
              </w:rPr>
              <w:t>≦</w:t>
            </w:r>
            <w:r w:rsidRPr="00E25CE1">
              <w:rPr>
                <w:rFonts w:cstheme="minorHAnsi"/>
                <w:color w:val="000000"/>
                <w:sz w:val="20"/>
                <w:szCs w:val="20"/>
              </w:rPr>
              <w:t xml:space="preserve"> 3%</w:t>
            </w:r>
          </w:p>
        </w:tc>
        <w:tc>
          <w:tcPr>
            <w:tcW w:w="1464" w:type="dxa"/>
            <w:tcBorders>
              <w:right w:val="single" w:sz="8" w:space="0" w:color="000000"/>
            </w:tcBorders>
            <w:vAlign w:val="bottom"/>
          </w:tcPr>
          <w:p w14:paraId="5DFCDB0A" w14:textId="77777777" w:rsidR="009F54FF" w:rsidRPr="00E25CE1" w:rsidRDefault="009F54FF" w:rsidP="00486A1D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5CE1">
              <w:rPr>
                <w:rFonts w:cstheme="minorHAnsi"/>
                <w:color w:val="000000"/>
                <w:sz w:val="20"/>
                <w:szCs w:val="20"/>
              </w:rPr>
              <w:t xml:space="preserve">RCRI risk &gt; 3% &amp; </w:t>
            </w:r>
            <w:r w:rsidRPr="00E25CE1">
              <w:rPr>
                <w:rFonts w:ascii="Cambria Math" w:hAnsi="Cambria Math" w:cs="Cambria Math"/>
                <w:color w:val="000000"/>
                <w:sz w:val="20"/>
                <w:szCs w:val="20"/>
              </w:rPr>
              <w:t>≦</w:t>
            </w:r>
            <w:r w:rsidRPr="00E25CE1">
              <w:rPr>
                <w:rFonts w:cstheme="minorHAnsi"/>
                <w:color w:val="000000"/>
                <w:sz w:val="20"/>
                <w:szCs w:val="20"/>
              </w:rPr>
              <w:t xml:space="preserve"> 4%</w:t>
            </w:r>
          </w:p>
        </w:tc>
        <w:tc>
          <w:tcPr>
            <w:tcW w:w="2177" w:type="dxa"/>
            <w:vAlign w:val="bottom"/>
          </w:tcPr>
          <w:p w14:paraId="486C03E5" w14:textId="77777777" w:rsidR="009F54FF" w:rsidRPr="00E25CE1" w:rsidRDefault="009F54FF" w:rsidP="00486A1D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5CE1">
              <w:rPr>
                <w:rFonts w:cstheme="minorHAnsi"/>
                <w:color w:val="000000"/>
                <w:sz w:val="20"/>
                <w:szCs w:val="20"/>
              </w:rPr>
              <w:t>RCRI risk &gt; 4%</w:t>
            </w:r>
          </w:p>
        </w:tc>
      </w:tr>
      <w:tr w:rsidR="009F54FF" w:rsidRPr="00E25CE1" w14:paraId="1C55DD70" w14:textId="77777777" w:rsidTr="00486A1D">
        <w:tblPrEx>
          <w:tblBorders>
            <w:top w:val="none" w:sz="0" w:space="0" w:color="auto"/>
          </w:tblBorders>
        </w:tblPrEx>
        <w:tc>
          <w:tcPr>
            <w:tcW w:w="3255" w:type="dxa"/>
            <w:tcBorders>
              <w:right w:val="single" w:sz="8" w:space="0" w:color="000000"/>
            </w:tcBorders>
            <w:shd w:val="clear" w:color="auto" w:fill="EFEFEF"/>
            <w:vAlign w:val="bottom"/>
          </w:tcPr>
          <w:p w14:paraId="5521CCDC" w14:textId="77777777" w:rsidR="009F54FF" w:rsidRPr="00E25CE1" w:rsidRDefault="009F54FF" w:rsidP="00486A1D">
            <w:pPr>
              <w:autoSpaceDE w:val="0"/>
              <w:autoSpaceDN w:val="0"/>
              <w:adjustRightInd w:val="0"/>
              <w:spacing w:after="0" w:line="280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E25CE1">
              <w:rPr>
                <w:rFonts w:cstheme="minorHAnsi"/>
                <w:color w:val="000000"/>
                <w:sz w:val="20"/>
                <w:szCs w:val="20"/>
              </w:rPr>
              <w:t xml:space="preserve">NSQIP MICA risk </w:t>
            </w:r>
            <w:r w:rsidRPr="00E25CE1">
              <w:rPr>
                <w:rFonts w:ascii="Cambria Math" w:hAnsi="Cambria Math" w:cs="Cambria Math"/>
                <w:color w:val="000000"/>
                <w:sz w:val="20"/>
                <w:szCs w:val="20"/>
              </w:rPr>
              <w:t>≦</w:t>
            </w:r>
            <w:r w:rsidRPr="00E25CE1">
              <w:rPr>
                <w:rFonts w:cstheme="minorHAnsi"/>
                <w:color w:val="000000"/>
                <w:sz w:val="20"/>
                <w:szCs w:val="20"/>
              </w:rPr>
              <w:t xml:space="preserve"> 1%</w:t>
            </w:r>
          </w:p>
        </w:tc>
        <w:tc>
          <w:tcPr>
            <w:tcW w:w="1782" w:type="dxa"/>
            <w:tcBorders>
              <w:right w:val="single" w:sz="8" w:space="0" w:color="000000"/>
            </w:tcBorders>
            <w:shd w:val="clear" w:color="auto" w:fill="EFEFEF"/>
            <w:vAlign w:val="bottom"/>
          </w:tcPr>
          <w:p w14:paraId="0CBCF841" w14:textId="77777777" w:rsidR="009F54FF" w:rsidRPr="00E25CE1" w:rsidRDefault="009F54FF" w:rsidP="00486A1D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5CE1">
              <w:rPr>
                <w:rFonts w:cstheme="minorHAnsi"/>
                <w:color w:val="000000"/>
                <w:sz w:val="20"/>
                <w:szCs w:val="20"/>
              </w:rPr>
              <w:t>6,738 (79.7)</w:t>
            </w:r>
          </w:p>
        </w:tc>
        <w:tc>
          <w:tcPr>
            <w:tcW w:w="1489" w:type="dxa"/>
            <w:tcBorders>
              <w:right w:val="single" w:sz="8" w:space="0" w:color="000000"/>
            </w:tcBorders>
            <w:shd w:val="clear" w:color="auto" w:fill="EFEFEF"/>
            <w:vAlign w:val="bottom"/>
          </w:tcPr>
          <w:p w14:paraId="488C9168" w14:textId="77777777" w:rsidR="009F54FF" w:rsidRPr="00E25CE1" w:rsidRDefault="009F54FF" w:rsidP="00486A1D">
            <w:pPr>
              <w:autoSpaceDE w:val="0"/>
              <w:autoSpaceDN w:val="0"/>
              <w:adjustRightInd w:val="0"/>
              <w:spacing w:after="0" w:line="280" w:lineRule="atLeast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E25CE1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9" w:type="dxa"/>
            <w:tcBorders>
              <w:right w:val="single" w:sz="8" w:space="0" w:color="000000"/>
            </w:tcBorders>
            <w:shd w:val="clear" w:color="auto" w:fill="EFEFEF"/>
            <w:vAlign w:val="bottom"/>
          </w:tcPr>
          <w:p w14:paraId="53B31AAC" w14:textId="77777777" w:rsidR="009F54FF" w:rsidRPr="00E25CE1" w:rsidRDefault="009F54FF" w:rsidP="00486A1D">
            <w:pPr>
              <w:autoSpaceDE w:val="0"/>
              <w:autoSpaceDN w:val="0"/>
              <w:adjustRightInd w:val="0"/>
              <w:spacing w:after="0" w:line="280" w:lineRule="atLeast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E25CE1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right w:val="single" w:sz="8" w:space="0" w:color="000000"/>
            </w:tcBorders>
            <w:shd w:val="clear" w:color="auto" w:fill="EFEFEF"/>
            <w:vAlign w:val="bottom"/>
          </w:tcPr>
          <w:p w14:paraId="191314CC" w14:textId="77777777" w:rsidR="009F54FF" w:rsidRPr="00E25CE1" w:rsidRDefault="009F54FF" w:rsidP="00486A1D">
            <w:pPr>
              <w:autoSpaceDE w:val="0"/>
              <w:autoSpaceDN w:val="0"/>
              <w:adjustRightInd w:val="0"/>
              <w:spacing w:after="0" w:line="280" w:lineRule="atLeast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E25CE1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77" w:type="dxa"/>
            <w:shd w:val="clear" w:color="auto" w:fill="EFEFEF"/>
            <w:vAlign w:val="bottom"/>
          </w:tcPr>
          <w:p w14:paraId="0C11A78F" w14:textId="77777777" w:rsidR="009F54FF" w:rsidRPr="00E25CE1" w:rsidRDefault="009F54FF" w:rsidP="00486A1D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5CE1">
              <w:rPr>
                <w:rFonts w:cstheme="minorHAnsi"/>
                <w:color w:val="000000"/>
                <w:sz w:val="20"/>
                <w:szCs w:val="20"/>
              </w:rPr>
              <w:t>223 (40.0)</w:t>
            </w:r>
          </w:p>
        </w:tc>
      </w:tr>
      <w:tr w:rsidR="009F54FF" w:rsidRPr="00E25CE1" w14:paraId="3E02BED3" w14:textId="77777777" w:rsidTr="00486A1D">
        <w:tblPrEx>
          <w:tblBorders>
            <w:top w:val="none" w:sz="0" w:space="0" w:color="auto"/>
          </w:tblBorders>
        </w:tblPrEx>
        <w:tc>
          <w:tcPr>
            <w:tcW w:w="3255" w:type="dxa"/>
            <w:tcBorders>
              <w:right w:val="single" w:sz="8" w:space="0" w:color="000000"/>
            </w:tcBorders>
            <w:vAlign w:val="bottom"/>
          </w:tcPr>
          <w:p w14:paraId="251CC5EA" w14:textId="77777777" w:rsidR="009F54FF" w:rsidRPr="00E25CE1" w:rsidRDefault="009F54FF" w:rsidP="00486A1D">
            <w:pPr>
              <w:autoSpaceDE w:val="0"/>
              <w:autoSpaceDN w:val="0"/>
              <w:adjustRightInd w:val="0"/>
              <w:spacing w:after="0" w:line="280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E25CE1">
              <w:rPr>
                <w:rFonts w:cstheme="minorHAnsi"/>
                <w:color w:val="000000"/>
                <w:sz w:val="20"/>
                <w:szCs w:val="20"/>
              </w:rPr>
              <w:t xml:space="preserve">NSQIP MICA risk &gt; 1% &amp; </w:t>
            </w:r>
            <w:r w:rsidRPr="00E25CE1">
              <w:rPr>
                <w:rFonts w:ascii="Cambria Math" w:hAnsi="Cambria Math" w:cs="Cambria Math"/>
                <w:color w:val="000000"/>
                <w:sz w:val="20"/>
                <w:szCs w:val="20"/>
              </w:rPr>
              <w:t>≦</w:t>
            </w:r>
            <w:r w:rsidRPr="00E25CE1">
              <w:rPr>
                <w:rFonts w:cstheme="minorHAnsi"/>
                <w:color w:val="000000"/>
                <w:sz w:val="20"/>
                <w:szCs w:val="20"/>
              </w:rPr>
              <w:t xml:space="preserve"> 2%</w:t>
            </w:r>
          </w:p>
        </w:tc>
        <w:tc>
          <w:tcPr>
            <w:tcW w:w="1782" w:type="dxa"/>
            <w:tcBorders>
              <w:right w:val="single" w:sz="8" w:space="0" w:color="000000"/>
            </w:tcBorders>
            <w:vAlign w:val="bottom"/>
          </w:tcPr>
          <w:p w14:paraId="5BE16CA3" w14:textId="77777777" w:rsidR="009F54FF" w:rsidRPr="00E25CE1" w:rsidRDefault="009F54FF" w:rsidP="00486A1D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5CE1">
              <w:rPr>
                <w:rFonts w:cstheme="minorHAnsi"/>
                <w:color w:val="000000"/>
                <w:sz w:val="20"/>
                <w:szCs w:val="20"/>
              </w:rPr>
              <w:t>1,307 (15.5)</w:t>
            </w:r>
          </w:p>
        </w:tc>
        <w:tc>
          <w:tcPr>
            <w:tcW w:w="1489" w:type="dxa"/>
            <w:tcBorders>
              <w:right w:val="single" w:sz="8" w:space="0" w:color="000000"/>
            </w:tcBorders>
            <w:vAlign w:val="bottom"/>
          </w:tcPr>
          <w:p w14:paraId="72117FC1" w14:textId="77777777" w:rsidR="009F54FF" w:rsidRPr="00E25CE1" w:rsidRDefault="009F54FF" w:rsidP="00486A1D">
            <w:pPr>
              <w:autoSpaceDE w:val="0"/>
              <w:autoSpaceDN w:val="0"/>
              <w:adjustRightInd w:val="0"/>
              <w:spacing w:after="0" w:line="280" w:lineRule="atLeast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E25CE1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9" w:type="dxa"/>
            <w:tcBorders>
              <w:right w:val="single" w:sz="8" w:space="0" w:color="000000"/>
            </w:tcBorders>
            <w:vAlign w:val="bottom"/>
          </w:tcPr>
          <w:p w14:paraId="245F0773" w14:textId="77777777" w:rsidR="009F54FF" w:rsidRPr="00E25CE1" w:rsidRDefault="009F54FF" w:rsidP="00486A1D">
            <w:pPr>
              <w:autoSpaceDE w:val="0"/>
              <w:autoSpaceDN w:val="0"/>
              <w:adjustRightInd w:val="0"/>
              <w:spacing w:after="0" w:line="280" w:lineRule="atLeast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E25CE1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right w:val="single" w:sz="8" w:space="0" w:color="000000"/>
            </w:tcBorders>
            <w:vAlign w:val="bottom"/>
          </w:tcPr>
          <w:p w14:paraId="6CAD95D3" w14:textId="77777777" w:rsidR="009F54FF" w:rsidRPr="00E25CE1" w:rsidRDefault="009F54FF" w:rsidP="00486A1D">
            <w:pPr>
              <w:autoSpaceDE w:val="0"/>
              <w:autoSpaceDN w:val="0"/>
              <w:adjustRightInd w:val="0"/>
              <w:spacing w:after="0" w:line="280" w:lineRule="atLeast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E25CE1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77" w:type="dxa"/>
            <w:vAlign w:val="bottom"/>
          </w:tcPr>
          <w:p w14:paraId="5A59B1B1" w14:textId="77777777" w:rsidR="009F54FF" w:rsidRPr="00E25CE1" w:rsidRDefault="009F54FF" w:rsidP="00486A1D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5CE1">
              <w:rPr>
                <w:rFonts w:cstheme="minorHAnsi"/>
                <w:color w:val="000000"/>
                <w:sz w:val="20"/>
                <w:szCs w:val="20"/>
              </w:rPr>
              <w:t>195 (35.0)</w:t>
            </w:r>
          </w:p>
        </w:tc>
      </w:tr>
      <w:tr w:rsidR="009F54FF" w:rsidRPr="00E25CE1" w14:paraId="4C09E736" w14:textId="77777777" w:rsidTr="00486A1D">
        <w:tblPrEx>
          <w:tblBorders>
            <w:top w:val="none" w:sz="0" w:space="0" w:color="auto"/>
          </w:tblBorders>
        </w:tblPrEx>
        <w:tc>
          <w:tcPr>
            <w:tcW w:w="3255" w:type="dxa"/>
            <w:tcBorders>
              <w:right w:val="single" w:sz="8" w:space="0" w:color="000000"/>
            </w:tcBorders>
            <w:shd w:val="clear" w:color="auto" w:fill="EFEFEF"/>
            <w:vAlign w:val="bottom"/>
          </w:tcPr>
          <w:p w14:paraId="0A5F713C" w14:textId="77777777" w:rsidR="009F54FF" w:rsidRPr="00E25CE1" w:rsidRDefault="009F54FF" w:rsidP="00486A1D">
            <w:pPr>
              <w:autoSpaceDE w:val="0"/>
              <w:autoSpaceDN w:val="0"/>
              <w:adjustRightInd w:val="0"/>
              <w:spacing w:after="0" w:line="280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E25CE1">
              <w:rPr>
                <w:rFonts w:cstheme="minorHAnsi"/>
                <w:color w:val="000000"/>
                <w:sz w:val="20"/>
                <w:szCs w:val="20"/>
              </w:rPr>
              <w:t xml:space="preserve">NSQIP MICA risk &gt; 2% &amp; </w:t>
            </w:r>
            <w:r w:rsidRPr="00E25CE1">
              <w:rPr>
                <w:rFonts w:ascii="Cambria Math" w:hAnsi="Cambria Math" w:cs="Cambria Math"/>
                <w:color w:val="000000"/>
                <w:sz w:val="20"/>
                <w:szCs w:val="20"/>
              </w:rPr>
              <w:t>≦</w:t>
            </w:r>
            <w:r w:rsidRPr="00E25CE1">
              <w:rPr>
                <w:rFonts w:cstheme="minorHAnsi"/>
                <w:color w:val="000000"/>
                <w:sz w:val="20"/>
                <w:szCs w:val="20"/>
              </w:rPr>
              <w:t xml:space="preserve"> 3%</w:t>
            </w:r>
          </w:p>
        </w:tc>
        <w:tc>
          <w:tcPr>
            <w:tcW w:w="1782" w:type="dxa"/>
            <w:tcBorders>
              <w:right w:val="single" w:sz="8" w:space="0" w:color="000000"/>
            </w:tcBorders>
            <w:shd w:val="clear" w:color="auto" w:fill="EFEFEF"/>
            <w:vAlign w:val="bottom"/>
          </w:tcPr>
          <w:p w14:paraId="0A87B057" w14:textId="77777777" w:rsidR="009F54FF" w:rsidRPr="00E25CE1" w:rsidRDefault="009F54FF" w:rsidP="00486A1D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5CE1">
              <w:rPr>
                <w:rFonts w:cstheme="minorHAnsi"/>
                <w:color w:val="000000"/>
                <w:sz w:val="20"/>
                <w:szCs w:val="20"/>
              </w:rPr>
              <w:t>210 (2.5)</w:t>
            </w:r>
          </w:p>
        </w:tc>
        <w:tc>
          <w:tcPr>
            <w:tcW w:w="1489" w:type="dxa"/>
            <w:tcBorders>
              <w:right w:val="single" w:sz="8" w:space="0" w:color="000000"/>
            </w:tcBorders>
            <w:shd w:val="clear" w:color="auto" w:fill="EFEFEF"/>
            <w:vAlign w:val="bottom"/>
          </w:tcPr>
          <w:p w14:paraId="1284AD29" w14:textId="77777777" w:rsidR="009F54FF" w:rsidRPr="00E25CE1" w:rsidRDefault="009F54FF" w:rsidP="00486A1D">
            <w:pPr>
              <w:autoSpaceDE w:val="0"/>
              <w:autoSpaceDN w:val="0"/>
              <w:adjustRightInd w:val="0"/>
              <w:spacing w:after="0" w:line="280" w:lineRule="atLeast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E25CE1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9" w:type="dxa"/>
            <w:tcBorders>
              <w:right w:val="single" w:sz="8" w:space="0" w:color="000000"/>
            </w:tcBorders>
            <w:shd w:val="clear" w:color="auto" w:fill="EFEFEF"/>
            <w:vAlign w:val="bottom"/>
          </w:tcPr>
          <w:p w14:paraId="06F3B02D" w14:textId="77777777" w:rsidR="009F54FF" w:rsidRPr="00E25CE1" w:rsidRDefault="009F54FF" w:rsidP="00486A1D">
            <w:pPr>
              <w:autoSpaceDE w:val="0"/>
              <w:autoSpaceDN w:val="0"/>
              <w:adjustRightInd w:val="0"/>
              <w:spacing w:after="0" w:line="280" w:lineRule="atLeast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E25CE1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right w:val="single" w:sz="8" w:space="0" w:color="000000"/>
            </w:tcBorders>
            <w:shd w:val="clear" w:color="auto" w:fill="EFEFEF"/>
            <w:vAlign w:val="bottom"/>
          </w:tcPr>
          <w:p w14:paraId="4DBA5D41" w14:textId="77777777" w:rsidR="009F54FF" w:rsidRPr="00E25CE1" w:rsidRDefault="009F54FF" w:rsidP="00486A1D">
            <w:pPr>
              <w:autoSpaceDE w:val="0"/>
              <w:autoSpaceDN w:val="0"/>
              <w:adjustRightInd w:val="0"/>
              <w:spacing w:after="0" w:line="280" w:lineRule="atLeast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E25CE1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77" w:type="dxa"/>
            <w:shd w:val="clear" w:color="auto" w:fill="EFEFEF"/>
            <w:vAlign w:val="bottom"/>
          </w:tcPr>
          <w:p w14:paraId="01985538" w14:textId="77777777" w:rsidR="009F54FF" w:rsidRPr="00E25CE1" w:rsidRDefault="009F54FF" w:rsidP="00486A1D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5CE1">
              <w:rPr>
                <w:rFonts w:cstheme="minorHAnsi"/>
                <w:color w:val="000000"/>
                <w:sz w:val="20"/>
                <w:szCs w:val="20"/>
              </w:rPr>
              <w:t>51 (9.1)</w:t>
            </w:r>
          </w:p>
        </w:tc>
      </w:tr>
      <w:tr w:rsidR="009F54FF" w:rsidRPr="00E25CE1" w14:paraId="1344A464" w14:textId="77777777" w:rsidTr="00486A1D">
        <w:tblPrEx>
          <w:tblBorders>
            <w:top w:val="none" w:sz="0" w:space="0" w:color="auto"/>
          </w:tblBorders>
        </w:tblPrEx>
        <w:tc>
          <w:tcPr>
            <w:tcW w:w="3255" w:type="dxa"/>
            <w:tcBorders>
              <w:right w:val="single" w:sz="8" w:space="0" w:color="000000"/>
            </w:tcBorders>
            <w:vAlign w:val="bottom"/>
          </w:tcPr>
          <w:p w14:paraId="32F7E05B" w14:textId="77777777" w:rsidR="009F54FF" w:rsidRPr="00E25CE1" w:rsidRDefault="009F54FF" w:rsidP="00486A1D">
            <w:pPr>
              <w:autoSpaceDE w:val="0"/>
              <w:autoSpaceDN w:val="0"/>
              <w:adjustRightInd w:val="0"/>
              <w:spacing w:after="0" w:line="280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E25CE1">
              <w:rPr>
                <w:rFonts w:cstheme="minorHAnsi"/>
                <w:color w:val="000000"/>
                <w:sz w:val="20"/>
                <w:szCs w:val="20"/>
              </w:rPr>
              <w:t xml:space="preserve">NSQIP MICA risk &gt; 3% &amp; </w:t>
            </w:r>
            <w:r w:rsidRPr="00E25CE1">
              <w:rPr>
                <w:rFonts w:ascii="Cambria Math" w:hAnsi="Cambria Math" w:cs="Cambria Math"/>
                <w:color w:val="000000"/>
                <w:sz w:val="20"/>
                <w:szCs w:val="20"/>
              </w:rPr>
              <w:t>≦</w:t>
            </w:r>
            <w:r w:rsidRPr="00E25CE1">
              <w:rPr>
                <w:rFonts w:cstheme="minorHAnsi"/>
                <w:color w:val="000000"/>
                <w:sz w:val="20"/>
                <w:szCs w:val="20"/>
              </w:rPr>
              <w:t xml:space="preserve"> 4%</w:t>
            </w:r>
          </w:p>
        </w:tc>
        <w:tc>
          <w:tcPr>
            <w:tcW w:w="1782" w:type="dxa"/>
            <w:tcBorders>
              <w:right w:val="single" w:sz="8" w:space="0" w:color="000000"/>
            </w:tcBorders>
            <w:vAlign w:val="bottom"/>
          </w:tcPr>
          <w:p w14:paraId="6A66CAEA" w14:textId="77777777" w:rsidR="009F54FF" w:rsidRPr="00E25CE1" w:rsidRDefault="009F54FF" w:rsidP="00486A1D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5CE1">
              <w:rPr>
                <w:rFonts w:cstheme="minorHAnsi"/>
                <w:color w:val="000000"/>
                <w:sz w:val="20"/>
                <w:szCs w:val="20"/>
              </w:rPr>
              <w:t>106 (1.3)</w:t>
            </w:r>
          </w:p>
        </w:tc>
        <w:tc>
          <w:tcPr>
            <w:tcW w:w="1489" w:type="dxa"/>
            <w:tcBorders>
              <w:right w:val="single" w:sz="8" w:space="0" w:color="000000"/>
            </w:tcBorders>
            <w:vAlign w:val="bottom"/>
          </w:tcPr>
          <w:p w14:paraId="04835445" w14:textId="77777777" w:rsidR="009F54FF" w:rsidRPr="00E25CE1" w:rsidRDefault="009F54FF" w:rsidP="00486A1D">
            <w:pPr>
              <w:autoSpaceDE w:val="0"/>
              <w:autoSpaceDN w:val="0"/>
              <w:adjustRightInd w:val="0"/>
              <w:spacing w:after="0" w:line="280" w:lineRule="atLeast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E25CE1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9" w:type="dxa"/>
            <w:tcBorders>
              <w:right w:val="single" w:sz="8" w:space="0" w:color="000000"/>
            </w:tcBorders>
            <w:vAlign w:val="bottom"/>
          </w:tcPr>
          <w:p w14:paraId="3D4485B3" w14:textId="77777777" w:rsidR="009F54FF" w:rsidRPr="00E25CE1" w:rsidRDefault="009F54FF" w:rsidP="00486A1D">
            <w:pPr>
              <w:autoSpaceDE w:val="0"/>
              <w:autoSpaceDN w:val="0"/>
              <w:adjustRightInd w:val="0"/>
              <w:spacing w:after="0" w:line="280" w:lineRule="atLeast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E25CE1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right w:val="single" w:sz="8" w:space="0" w:color="000000"/>
            </w:tcBorders>
            <w:vAlign w:val="bottom"/>
          </w:tcPr>
          <w:p w14:paraId="08CA0B6F" w14:textId="77777777" w:rsidR="009F54FF" w:rsidRPr="00E25CE1" w:rsidRDefault="009F54FF" w:rsidP="00486A1D">
            <w:pPr>
              <w:autoSpaceDE w:val="0"/>
              <w:autoSpaceDN w:val="0"/>
              <w:adjustRightInd w:val="0"/>
              <w:spacing w:after="0" w:line="280" w:lineRule="atLeast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E25CE1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77" w:type="dxa"/>
            <w:vAlign w:val="bottom"/>
          </w:tcPr>
          <w:p w14:paraId="4A2547E9" w14:textId="77777777" w:rsidR="009F54FF" w:rsidRPr="00E25CE1" w:rsidRDefault="009F54FF" w:rsidP="00486A1D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5CE1">
              <w:rPr>
                <w:rFonts w:cstheme="minorHAnsi"/>
                <w:color w:val="000000"/>
                <w:sz w:val="20"/>
                <w:szCs w:val="20"/>
              </w:rPr>
              <w:t>37 (6.6)</w:t>
            </w:r>
          </w:p>
        </w:tc>
      </w:tr>
      <w:tr w:rsidR="009F54FF" w:rsidRPr="00E25CE1" w14:paraId="5B7C5FD9" w14:textId="77777777" w:rsidTr="00486A1D">
        <w:tc>
          <w:tcPr>
            <w:tcW w:w="3255" w:type="dxa"/>
            <w:tcBorders>
              <w:right w:val="single" w:sz="8" w:space="0" w:color="000000"/>
            </w:tcBorders>
            <w:shd w:val="clear" w:color="auto" w:fill="EFEFEF"/>
            <w:vAlign w:val="bottom"/>
          </w:tcPr>
          <w:p w14:paraId="4B6355A3" w14:textId="77777777" w:rsidR="009F54FF" w:rsidRPr="00E25CE1" w:rsidRDefault="009F54FF" w:rsidP="00486A1D">
            <w:pPr>
              <w:autoSpaceDE w:val="0"/>
              <w:autoSpaceDN w:val="0"/>
              <w:adjustRightInd w:val="0"/>
              <w:spacing w:after="0" w:line="280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E25CE1">
              <w:rPr>
                <w:rFonts w:cstheme="minorHAnsi"/>
                <w:color w:val="000000"/>
                <w:sz w:val="20"/>
                <w:szCs w:val="20"/>
              </w:rPr>
              <w:t>NSQIP MICA risk &gt; 4%</w:t>
            </w:r>
          </w:p>
        </w:tc>
        <w:tc>
          <w:tcPr>
            <w:tcW w:w="1782" w:type="dxa"/>
            <w:tcBorders>
              <w:right w:val="single" w:sz="8" w:space="0" w:color="000000"/>
            </w:tcBorders>
            <w:shd w:val="clear" w:color="auto" w:fill="EFEFEF"/>
            <w:vAlign w:val="bottom"/>
          </w:tcPr>
          <w:p w14:paraId="3CD928BB" w14:textId="77777777" w:rsidR="009F54FF" w:rsidRPr="00E25CE1" w:rsidRDefault="009F54FF" w:rsidP="00486A1D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5CE1">
              <w:rPr>
                <w:rFonts w:cstheme="minorHAnsi"/>
                <w:color w:val="000000"/>
                <w:sz w:val="20"/>
                <w:szCs w:val="20"/>
              </w:rPr>
              <w:t>96 (1.1)</w:t>
            </w:r>
          </w:p>
        </w:tc>
        <w:tc>
          <w:tcPr>
            <w:tcW w:w="1489" w:type="dxa"/>
            <w:tcBorders>
              <w:right w:val="single" w:sz="8" w:space="0" w:color="000000"/>
            </w:tcBorders>
            <w:shd w:val="clear" w:color="auto" w:fill="EFEFEF"/>
            <w:vAlign w:val="bottom"/>
          </w:tcPr>
          <w:p w14:paraId="71FC5197" w14:textId="77777777" w:rsidR="009F54FF" w:rsidRPr="00E25CE1" w:rsidRDefault="009F54FF" w:rsidP="00486A1D">
            <w:pPr>
              <w:autoSpaceDE w:val="0"/>
              <w:autoSpaceDN w:val="0"/>
              <w:adjustRightInd w:val="0"/>
              <w:spacing w:after="0" w:line="280" w:lineRule="atLeast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E25CE1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9" w:type="dxa"/>
            <w:tcBorders>
              <w:right w:val="single" w:sz="8" w:space="0" w:color="000000"/>
            </w:tcBorders>
            <w:shd w:val="clear" w:color="auto" w:fill="EFEFEF"/>
            <w:vAlign w:val="bottom"/>
          </w:tcPr>
          <w:p w14:paraId="77D30EE1" w14:textId="77777777" w:rsidR="009F54FF" w:rsidRPr="00E25CE1" w:rsidRDefault="009F54FF" w:rsidP="00486A1D">
            <w:pPr>
              <w:autoSpaceDE w:val="0"/>
              <w:autoSpaceDN w:val="0"/>
              <w:adjustRightInd w:val="0"/>
              <w:spacing w:after="0" w:line="280" w:lineRule="atLeast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E25CE1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right w:val="single" w:sz="8" w:space="0" w:color="000000"/>
            </w:tcBorders>
            <w:shd w:val="clear" w:color="auto" w:fill="EFEFEF"/>
            <w:vAlign w:val="bottom"/>
          </w:tcPr>
          <w:p w14:paraId="76EEC5D8" w14:textId="77777777" w:rsidR="009F54FF" w:rsidRPr="00E25CE1" w:rsidRDefault="009F54FF" w:rsidP="00486A1D">
            <w:pPr>
              <w:autoSpaceDE w:val="0"/>
              <w:autoSpaceDN w:val="0"/>
              <w:adjustRightInd w:val="0"/>
              <w:spacing w:after="0" w:line="280" w:lineRule="atLeast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E25CE1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77" w:type="dxa"/>
            <w:shd w:val="clear" w:color="auto" w:fill="EFEFEF"/>
            <w:vAlign w:val="bottom"/>
          </w:tcPr>
          <w:p w14:paraId="4128F644" w14:textId="77777777" w:rsidR="009F54FF" w:rsidRPr="00E25CE1" w:rsidRDefault="009F54FF" w:rsidP="00486A1D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5CE1">
              <w:rPr>
                <w:rFonts w:cstheme="minorHAnsi"/>
                <w:color w:val="000000"/>
                <w:sz w:val="20"/>
                <w:szCs w:val="20"/>
              </w:rPr>
              <w:t>52 (9.3)</w:t>
            </w:r>
          </w:p>
        </w:tc>
      </w:tr>
    </w:tbl>
    <w:p w14:paraId="4D75FD2B" w14:textId="77777777" w:rsidR="009F54FF" w:rsidRDefault="009F54FF" w:rsidP="009F54FF"/>
    <w:p w14:paraId="427E45B2" w14:textId="3CA1144E" w:rsidR="009F54FF" w:rsidRDefault="009F54FF" w:rsidP="009F54FF">
      <w:pPr>
        <w:spacing w:line="240" w:lineRule="auto"/>
        <w:contextualSpacing/>
      </w:pPr>
      <w:r w:rsidRPr="006311F2">
        <w:rPr>
          <w:rFonts w:ascii="Calibri" w:eastAsia="Times New Roman" w:hAnsi="Calibri" w:cs="Times New Roman"/>
          <w:b/>
          <w:sz w:val="20"/>
          <w:szCs w:val="20"/>
        </w:rPr>
        <w:t xml:space="preserve">Table 1b. </w:t>
      </w:r>
      <w:proofErr w:type="gramStart"/>
      <w:r w:rsidRPr="006311F2">
        <w:rPr>
          <w:rFonts w:ascii="Calibri" w:eastAsia="Times New Roman" w:hAnsi="Calibri" w:cs="Times New Roman"/>
          <w:sz w:val="20"/>
          <w:szCs w:val="20"/>
        </w:rPr>
        <w:t>Agreement on the predicted risk distribution of patients using the NSQIP MICA risk calculator versus the RCRI.</w:t>
      </w:r>
      <w:proofErr w:type="gramEnd"/>
      <w:r w:rsidRPr="006311F2">
        <w:rPr>
          <w:rFonts w:ascii="Calibri" w:eastAsia="Times New Roman" w:hAnsi="Calibri" w:cs="Times New Roman"/>
          <w:sz w:val="20"/>
          <w:szCs w:val="20"/>
        </w:rPr>
        <w:t xml:space="preserve">  Because the RCRI predicts only four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 values for the risk of MACE - 0.4%, 0.9%, 6.6%, and 11% - the middle 2 columns of the table are empty.</w:t>
      </w:r>
    </w:p>
    <w:p w14:paraId="014486CC" w14:textId="77777777" w:rsidR="009F54FF" w:rsidRDefault="009F54FF" w:rsidP="009F54FF">
      <w:proofErr w:type="gramStart"/>
      <w:r>
        <w:rPr>
          <w:rFonts w:ascii="Calibri" w:eastAsia="Times New Roman" w:hAnsi="Calibri" w:cs="Times New Roman"/>
          <w:color w:val="000000"/>
          <w:sz w:val="20"/>
          <w:szCs w:val="20"/>
        </w:rPr>
        <w:t>( )</w:t>
      </w:r>
      <w:proofErr w:type="gramEnd"/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 indicates percentage.</w:t>
      </w:r>
    </w:p>
    <w:p w14:paraId="3CF3FE60" w14:textId="77777777" w:rsidR="009F54FF" w:rsidRDefault="009F54FF" w:rsidP="009F54FF"/>
    <w:p w14:paraId="7772808A" w14:textId="77777777" w:rsidR="009F54FF" w:rsidRDefault="009F54FF" w:rsidP="009F54FF"/>
    <w:p w14:paraId="7EBA275D" w14:textId="77777777" w:rsidR="009F54FF" w:rsidRDefault="009F54FF" w:rsidP="009F54FF"/>
    <w:p w14:paraId="46851717" w14:textId="77777777" w:rsidR="009F54FF" w:rsidRDefault="009F54FF" w:rsidP="009F54FF"/>
    <w:tbl>
      <w:tblPr>
        <w:tblW w:w="13013" w:type="dxa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69"/>
        <w:gridCol w:w="2314"/>
        <w:gridCol w:w="1723"/>
        <w:gridCol w:w="1766"/>
        <w:gridCol w:w="1766"/>
        <w:gridCol w:w="2475"/>
      </w:tblGrid>
      <w:tr w:rsidR="009F54FF" w:rsidRPr="006311F2" w14:paraId="26BBE414" w14:textId="77777777" w:rsidTr="00486A1D">
        <w:tc>
          <w:tcPr>
            <w:tcW w:w="1" w:type="dxa"/>
            <w:gridSpan w:val="6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14:paraId="7AD3B461" w14:textId="12E376B7" w:rsidR="009F54FF" w:rsidRPr="006311F2" w:rsidRDefault="009F54FF" w:rsidP="00486A1D">
            <w:pPr>
              <w:autoSpaceDE w:val="0"/>
              <w:autoSpaceDN w:val="0"/>
              <w:adjustRightInd w:val="0"/>
              <w:spacing w:after="0" w:line="28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311F2">
              <w:rPr>
                <w:rFonts w:ascii="Calibri" w:hAnsi="Calibri" w:cs="Calibri"/>
                <w:b/>
                <w:bCs/>
                <w:sz w:val="20"/>
                <w:szCs w:val="20"/>
              </w:rPr>
              <w:t>SDC Table 1c</w:t>
            </w:r>
          </w:p>
        </w:tc>
      </w:tr>
      <w:tr w:rsidR="009F54FF" w:rsidRPr="00E25CE1" w14:paraId="45DB15D1" w14:textId="77777777" w:rsidTr="00486A1D">
        <w:tblPrEx>
          <w:tblBorders>
            <w:top w:val="none" w:sz="0" w:space="0" w:color="auto"/>
          </w:tblBorders>
        </w:tblPrEx>
        <w:tc>
          <w:tcPr>
            <w:tcW w:w="2969" w:type="dxa"/>
            <w:tcBorders>
              <w:right w:val="single" w:sz="8" w:space="0" w:color="000000"/>
            </w:tcBorders>
            <w:vAlign w:val="bottom"/>
          </w:tcPr>
          <w:p w14:paraId="11298A0B" w14:textId="77777777" w:rsidR="009F54FF" w:rsidRPr="00E25CE1" w:rsidRDefault="009F54FF" w:rsidP="00486A1D">
            <w:pPr>
              <w:autoSpaceDE w:val="0"/>
              <w:autoSpaceDN w:val="0"/>
              <w:adjustRightInd w:val="0"/>
              <w:spacing w:after="0" w:line="28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5CE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4" w:type="dxa"/>
            <w:tcBorders>
              <w:right w:val="single" w:sz="8" w:space="0" w:color="000000"/>
            </w:tcBorders>
            <w:vAlign w:val="bottom"/>
          </w:tcPr>
          <w:p w14:paraId="01A17302" w14:textId="77777777" w:rsidR="009F54FF" w:rsidRPr="00E25CE1" w:rsidRDefault="009F54FF" w:rsidP="00486A1D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5CE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NSQIP MICA risk </w:t>
            </w:r>
            <w:r w:rsidRPr="00E25CE1">
              <w:rPr>
                <w:rFonts w:ascii="Cambria Math" w:hAnsi="Cambria Math" w:cs="Cambria Math"/>
                <w:color w:val="000000"/>
                <w:sz w:val="20"/>
                <w:szCs w:val="20"/>
              </w:rPr>
              <w:t>≦</w:t>
            </w:r>
            <w:r w:rsidRPr="00E25CE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1%</w:t>
            </w:r>
          </w:p>
        </w:tc>
        <w:tc>
          <w:tcPr>
            <w:tcW w:w="1723" w:type="dxa"/>
            <w:tcBorders>
              <w:right w:val="single" w:sz="8" w:space="0" w:color="000000"/>
            </w:tcBorders>
            <w:vAlign w:val="bottom"/>
          </w:tcPr>
          <w:p w14:paraId="29C5D13F" w14:textId="77777777" w:rsidR="009F54FF" w:rsidRPr="00E25CE1" w:rsidRDefault="009F54FF" w:rsidP="00486A1D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5CE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NSQIP MICA risk &gt; 1% &amp; </w:t>
            </w:r>
            <w:r w:rsidRPr="00E25CE1">
              <w:rPr>
                <w:rFonts w:ascii="Cambria Math" w:hAnsi="Cambria Math" w:cs="Cambria Math"/>
                <w:color w:val="000000"/>
                <w:sz w:val="20"/>
                <w:szCs w:val="20"/>
              </w:rPr>
              <w:t>≦</w:t>
            </w:r>
            <w:r w:rsidRPr="00E25CE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2%</w:t>
            </w:r>
          </w:p>
        </w:tc>
        <w:tc>
          <w:tcPr>
            <w:tcW w:w="1766" w:type="dxa"/>
            <w:tcBorders>
              <w:right w:val="single" w:sz="8" w:space="0" w:color="000000"/>
            </w:tcBorders>
            <w:vAlign w:val="bottom"/>
          </w:tcPr>
          <w:p w14:paraId="24F9163C" w14:textId="77777777" w:rsidR="009F54FF" w:rsidRPr="00E25CE1" w:rsidRDefault="009F54FF" w:rsidP="00486A1D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5CE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NSQIP MICA risk &gt; 2% &amp; </w:t>
            </w:r>
            <w:r w:rsidRPr="00E25CE1">
              <w:rPr>
                <w:rFonts w:ascii="Cambria Math" w:hAnsi="Cambria Math" w:cs="Cambria Math"/>
                <w:color w:val="000000"/>
                <w:sz w:val="20"/>
                <w:szCs w:val="20"/>
              </w:rPr>
              <w:t>≦</w:t>
            </w:r>
            <w:r w:rsidRPr="00E25CE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3%</w:t>
            </w:r>
          </w:p>
        </w:tc>
        <w:tc>
          <w:tcPr>
            <w:tcW w:w="1766" w:type="dxa"/>
            <w:tcBorders>
              <w:right w:val="single" w:sz="8" w:space="0" w:color="000000"/>
            </w:tcBorders>
            <w:vAlign w:val="bottom"/>
          </w:tcPr>
          <w:p w14:paraId="02D6D18E" w14:textId="77777777" w:rsidR="009F54FF" w:rsidRPr="00E25CE1" w:rsidRDefault="009F54FF" w:rsidP="00486A1D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5CE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NSQIP MICA risk &gt; 3% &amp; </w:t>
            </w:r>
            <w:r w:rsidRPr="00E25CE1">
              <w:rPr>
                <w:rFonts w:ascii="Cambria Math" w:hAnsi="Cambria Math" w:cs="Cambria Math"/>
                <w:color w:val="000000"/>
                <w:sz w:val="20"/>
                <w:szCs w:val="20"/>
              </w:rPr>
              <w:t>≦</w:t>
            </w:r>
            <w:r w:rsidRPr="00E25CE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4%</w:t>
            </w:r>
          </w:p>
        </w:tc>
        <w:tc>
          <w:tcPr>
            <w:tcW w:w="2475" w:type="dxa"/>
            <w:vAlign w:val="bottom"/>
          </w:tcPr>
          <w:p w14:paraId="0631F6F0" w14:textId="77777777" w:rsidR="009F54FF" w:rsidRPr="00E25CE1" w:rsidRDefault="009F54FF" w:rsidP="00486A1D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5CE1">
              <w:rPr>
                <w:rFonts w:ascii="Calibri" w:hAnsi="Calibri" w:cs="Calibri"/>
                <w:color w:val="000000"/>
                <w:sz w:val="20"/>
                <w:szCs w:val="20"/>
              </w:rPr>
              <w:t>NSQIP MICA risk &gt; 4%</w:t>
            </w:r>
          </w:p>
        </w:tc>
      </w:tr>
      <w:tr w:rsidR="009F54FF" w:rsidRPr="00E25CE1" w14:paraId="5CFBF437" w14:textId="77777777" w:rsidTr="00486A1D">
        <w:tblPrEx>
          <w:tblBorders>
            <w:top w:val="none" w:sz="0" w:space="0" w:color="auto"/>
          </w:tblBorders>
        </w:tblPrEx>
        <w:tc>
          <w:tcPr>
            <w:tcW w:w="2969" w:type="dxa"/>
            <w:tcBorders>
              <w:right w:val="single" w:sz="8" w:space="0" w:color="000000"/>
            </w:tcBorders>
            <w:shd w:val="clear" w:color="auto" w:fill="EFEFEF"/>
            <w:vAlign w:val="bottom"/>
          </w:tcPr>
          <w:p w14:paraId="00E0C3BB" w14:textId="77777777" w:rsidR="009F54FF" w:rsidRPr="00E25CE1" w:rsidRDefault="009F54FF" w:rsidP="00486A1D">
            <w:pPr>
              <w:autoSpaceDE w:val="0"/>
              <w:autoSpaceDN w:val="0"/>
              <w:adjustRightInd w:val="0"/>
              <w:spacing w:after="0" w:line="28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5CE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ACS NISQP risk </w:t>
            </w:r>
            <w:r w:rsidRPr="00E25CE1">
              <w:rPr>
                <w:rFonts w:ascii="Cambria Math" w:hAnsi="Cambria Math" w:cs="Cambria Math"/>
                <w:color w:val="000000"/>
                <w:sz w:val="20"/>
                <w:szCs w:val="20"/>
              </w:rPr>
              <w:t>≦</w:t>
            </w:r>
            <w:r w:rsidRPr="00E25CE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1%</w:t>
            </w:r>
          </w:p>
        </w:tc>
        <w:tc>
          <w:tcPr>
            <w:tcW w:w="2314" w:type="dxa"/>
            <w:tcBorders>
              <w:right w:val="single" w:sz="8" w:space="0" w:color="000000"/>
            </w:tcBorders>
            <w:shd w:val="clear" w:color="auto" w:fill="EFEFEF"/>
            <w:vAlign w:val="center"/>
          </w:tcPr>
          <w:p w14:paraId="49C1907C" w14:textId="77777777" w:rsidR="009F54FF" w:rsidRPr="00E25CE1" w:rsidRDefault="009F54FF" w:rsidP="00486A1D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5CE1">
              <w:rPr>
                <w:rFonts w:ascii="Calibri" w:hAnsi="Calibri" w:cs="Calibri"/>
                <w:color w:val="000000"/>
                <w:sz w:val="20"/>
                <w:szCs w:val="20"/>
              </w:rPr>
              <w:t>6,331 (91.0)</w:t>
            </w:r>
          </w:p>
        </w:tc>
        <w:tc>
          <w:tcPr>
            <w:tcW w:w="1723" w:type="dxa"/>
            <w:tcBorders>
              <w:right w:val="single" w:sz="8" w:space="0" w:color="000000"/>
            </w:tcBorders>
            <w:shd w:val="clear" w:color="auto" w:fill="EFEFEF"/>
            <w:vAlign w:val="center"/>
          </w:tcPr>
          <w:p w14:paraId="21D0BDB1" w14:textId="77777777" w:rsidR="009F54FF" w:rsidRPr="00E25CE1" w:rsidRDefault="009F54FF" w:rsidP="00486A1D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5CE1">
              <w:rPr>
                <w:rFonts w:ascii="Calibri" w:hAnsi="Calibri" w:cs="Calibri"/>
                <w:color w:val="000000"/>
                <w:sz w:val="20"/>
                <w:szCs w:val="20"/>
              </w:rPr>
              <w:t>557 (37.1)</w:t>
            </w:r>
          </w:p>
        </w:tc>
        <w:tc>
          <w:tcPr>
            <w:tcW w:w="1766" w:type="dxa"/>
            <w:tcBorders>
              <w:right w:val="single" w:sz="8" w:space="0" w:color="000000"/>
            </w:tcBorders>
            <w:shd w:val="clear" w:color="auto" w:fill="EFEFEF"/>
            <w:vAlign w:val="center"/>
          </w:tcPr>
          <w:p w14:paraId="6009E9AB" w14:textId="77777777" w:rsidR="009F54FF" w:rsidRPr="00E25CE1" w:rsidRDefault="009F54FF" w:rsidP="00486A1D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5CE1">
              <w:rPr>
                <w:rFonts w:ascii="Calibri" w:hAnsi="Calibri" w:cs="Calibri"/>
                <w:color w:val="000000"/>
                <w:sz w:val="20"/>
                <w:szCs w:val="20"/>
              </w:rPr>
              <w:t>59 (22.6)</w:t>
            </w:r>
          </w:p>
        </w:tc>
        <w:tc>
          <w:tcPr>
            <w:tcW w:w="1766" w:type="dxa"/>
            <w:tcBorders>
              <w:right w:val="single" w:sz="8" w:space="0" w:color="000000"/>
            </w:tcBorders>
            <w:shd w:val="clear" w:color="auto" w:fill="EFEFEF"/>
            <w:vAlign w:val="center"/>
          </w:tcPr>
          <w:p w14:paraId="77563210" w14:textId="77777777" w:rsidR="009F54FF" w:rsidRPr="00E25CE1" w:rsidRDefault="009F54FF" w:rsidP="00486A1D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5CE1">
              <w:rPr>
                <w:rFonts w:ascii="Calibri" w:hAnsi="Calibri" w:cs="Calibri"/>
                <w:color w:val="000000"/>
                <w:sz w:val="20"/>
                <w:szCs w:val="20"/>
              </w:rPr>
              <w:t>19 (13.3)</w:t>
            </w:r>
          </w:p>
        </w:tc>
        <w:tc>
          <w:tcPr>
            <w:tcW w:w="2475" w:type="dxa"/>
            <w:shd w:val="clear" w:color="auto" w:fill="EFEFEF"/>
            <w:vAlign w:val="center"/>
          </w:tcPr>
          <w:p w14:paraId="40CB9410" w14:textId="77777777" w:rsidR="009F54FF" w:rsidRPr="00E25CE1" w:rsidRDefault="009F54FF" w:rsidP="00486A1D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5CE1">
              <w:rPr>
                <w:rFonts w:ascii="Calibri" w:hAnsi="Calibri" w:cs="Calibri"/>
                <w:color w:val="000000"/>
                <w:sz w:val="20"/>
                <w:szCs w:val="20"/>
              </w:rPr>
              <w:t>8 (5.4)</w:t>
            </w:r>
          </w:p>
        </w:tc>
      </w:tr>
      <w:tr w:rsidR="009F54FF" w:rsidRPr="00E25CE1" w14:paraId="6B9FDCF2" w14:textId="77777777" w:rsidTr="00486A1D">
        <w:tblPrEx>
          <w:tblBorders>
            <w:top w:val="none" w:sz="0" w:space="0" w:color="auto"/>
          </w:tblBorders>
        </w:tblPrEx>
        <w:tc>
          <w:tcPr>
            <w:tcW w:w="2969" w:type="dxa"/>
            <w:tcBorders>
              <w:right w:val="single" w:sz="8" w:space="0" w:color="000000"/>
            </w:tcBorders>
            <w:vAlign w:val="bottom"/>
          </w:tcPr>
          <w:p w14:paraId="48D4C9FB" w14:textId="77777777" w:rsidR="009F54FF" w:rsidRPr="00E25CE1" w:rsidRDefault="009F54FF" w:rsidP="00486A1D">
            <w:pPr>
              <w:autoSpaceDE w:val="0"/>
              <w:autoSpaceDN w:val="0"/>
              <w:adjustRightInd w:val="0"/>
              <w:spacing w:after="0" w:line="28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5CE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ACS NISQP risk &gt; 1% &amp; </w:t>
            </w:r>
            <w:r w:rsidRPr="00E25CE1">
              <w:rPr>
                <w:rFonts w:ascii="Cambria Math" w:hAnsi="Cambria Math" w:cs="Cambria Math"/>
                <w:color w:val="000000"/>
                <w:sz w:val="20"/>
                <w:szCs w:val="20"/>
              </w:rPr>
              <w:t>≦</w:t>
            </w:r>
            <w:r w:rsidRPr="00E25CE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2%</w:t>
            </w:r>
          </w:p>
        </w:tc>
        <w:tc>
          <w:tcPr>
            <w:tcW w:w="2314" w:type="dxa"/>
            <w:tcBorders>
              <w:right w:val="single" w:sz="8" w:space="0" w:color="000000"/>
            </w:tcBorders>
            <w:vAlign w:val="center"/>
          </w:tcPr>
          <w:p w14:paraId="26558085" w14:textId="77777777" w:rsidR="009F54FF" w:rsidRPr="00E25CE1" w:rsidRDefault="009F54FF" w:rsidP="00486A1D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5CE1">
              <w:rPr>
                <w:rFonts w:ascii="Calibri" w:hAnsi="Calibri" w:cs="Calibri"/>
                <w:color w:val="000000"/>
                <w:sz w:val="20"/>
                <w:szCs w:val="20"/>
              </w:rPr>
              <w:t>528 (7.6)</w:t>
            </w:r>
          </w:p>
        </w:tc>
        <w:tc>
          <w:tcPr>
            <w:tcW w:w="1723" w:type="dxa"/>
            <w:tcBorders>
              <w:right w:val="single" w:sz="8" w:space="0" w:color="000000"/>
            </w:tcBorders>
            <w:vAlign w:val="center"/>
          </w:tcPr>
          <w:p w14:paraId="39303C18" w14:textId="77777777" w:rsidR="009F54FF" w:rsidRPr="00E25CE1" w:rsidRDefault="009F54FF" w:rsidP="00486A1D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5CE1">
              <w:rPr>
                <w:rFonts w:ascii="Calibri" w:hAnsi="Calibri" w:cs="Calibri"/>
                <w:color w:val="000000"/>
                <w:sz w:val="20"/>
                <w:szCs w:val="20"/>
              </w:rPr>
              <w:t>514 (34.2)</w:t>
            </w:r>
          </w:p>
        </w:tc>
        <w:tc>
          <w:tcPr>
            <w:tcW w:w="1766" w:type="dxa"/>
            <w:tcBorders>
              <w:right w:val="single" w:sz="8" w:space="0" w:color="000000"/>
            </w:tcBorders>
            <w:vAlign w:val="center"/>
          </w:tcPr>
          <w:p w14:paraId="0A7E2D07" w14:textId="77777777" w:rsidR="009F54FF" w:rsidRPr="00E25CE1" w:rsidRDefault="009F54FF" w:rsidP="00486A1D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5CE1">
              <w:rPr>
                <w:rFonts w:ascii="Calibri" w:hAnsi="Calibri" w:cs="Calibri"/>
                <w:color w:val="000000"/>
                <w:sz w:val="20"/>
                <w:szCs w:val="20"/>
              </w:rPr>
              <w:t>91 (34.9)</w:t>
            </w:r>
          </w:p>
        </w:tc>
        <w:tc>
          <w:tcPr>
            <w:tcW w:w="1766" w:type="dxa"/>
            <w:tcBorders>
              <w:right w:val="single" w:sz="8" w:space="0" w:color="000000"/>
            </w:tcBorders>
            <w:vAlign w:val="center"/>
          </w:tcPr>
          <w:p w14:paraId="259223E3" w14:textId="77777777" w:rsidR="009F54FF" w:rsidRPr="00E25CE1" w:rsidRDefault="009F54FF" w:rsidP="00486A1D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5CE1">
              <w:rPr>
                <w:rFonts w:ascii="Calibri" w:hAnsi="Calibri" w:cs="Calibri"/>
                <w:color w:val="000000"/>
                <w:sz w:val="20"/>
                <w:szCs w:val="20"/>
              </w:rPr>
              <w:t>15 (10.5)</w:t>
            </w:r>
          </w:p>
        </w:tc>
        <w:tc>
          <w:tcPr>
            <w:tcW w:w="2475" w:type="dxa"/>
            <w:vAlign w:val="center"/>
          </w:tcPr>
          <w:p w14:paraId="727773BC" w14:textId="77777777" w:rsidR="009F54FF" w:rsidRPr="00E25CE1" w:rsidRDefault="009F54FF" w:rsidP="00486A1D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5CE1">
              <w:rPr>
                <w:rFonts w:ascii="Calibri" w:hAnsi="Calibri" w:cs="Calibri"/>
                <w:color w:val="000000"/>
                <w:sz w:val="20"/>
                <w:szCs w:val="20"/>
              </w:rPr>
              <w:t>15 (10.1)</w:t>
            </w:r>
          </w:p>
        </w:tc>
      </w:tr>
      <w:tr w:rsidR="009F54FF" w:rsidRPr="00E25CE1" w14:paraId="51423FD7" w14:textId="77777777" w:rsidTr="00486A1D">
        <w:tblPrEx>
          <w:tblBorders>
            <w:top w:val="none" w:sz="0" w:space="0" w:color="auto"/>
          </w:tblBorders>
        </w:tblPrEx>
        <w:tc>
          <w:tcPr>
            <w:tcW w:w="2969" w:type="dxa"/>
            <w:tcBorders>
              <w:right w:val="single" w:sz="8" w:space="0" w:color="000000"/>
            </w:tcBorders>
            <w:shd w:val="clear" w:color="auto" w:fill="EFEFEF"/>
            <w:vAlign w:val="bottom"/>
          </w:tcPr>
          <w:p w14:paraId="6EEC0E3F" w14:textId="77777777" w:rsidR="009F54FF" w:rsidRPr="00E25CE1" w:rsidRDefault="009F54FF" w:rsidP="00486A1D">
            <w:pPr>
              <w:autoSpaceDE w:val="0"/>
              <w:autoSpaceDN w:val="0"/>
              <w:adjustRightInd w:val="0"/>
              <w:spacing w:after="0" w:line="28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5CE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ACS NISQP risk &gt; 2% &amp; </w:t>
            </w:r>
            <w:r w:rsidRPr="00E25CE1">
              <w:rPr>
                <w:rFonts w:ascii="Cambria Math" w:hAnsi="Cambria Math" w:cs="Cambria Math"/>
                <w:color w:val="000000"/>
                <w:sz w:val="20"/>
                <w:szCs w:val="20"/>
              </w:rPr>
              <w:t>≦</w:t>
            </w:r>
            <w:r w:rsidRPr="00E25CE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3%</w:t>
            </w:r>
          </w:p>
        </w:tc>
        <w:tc>
          <w:tcPr>
            <w:tcW w:w="2314" w:type="dxa"/>
            <w:tcBorders>
              <w:right w:val="single" w:sz="8" w:space="0" w:color="000000"/>
            </w:tcBorders>
            <w:shd w:val="clear" w:color="auto" w:fill="EFEFEF"/>
            <w:vAlign w:val="center"/>
          </w:tcPr>
          <w:p w14:paraId="70EB7B19" w14:textId="77777777" w:rsidR="009F54FF" w:rsidRPr="00E25CE1" w:rsidRDefault="009F54FF" w:rsidP="00486A1D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5CE1">
              <w:rPr>
                <w:rFonts w:ascii="Calibri" w:hAnsi="Calibri" w:cs="Calibri"/>
                <w:color w:val="000000"/>
                <w:sz w:val="20"/>
                <w:szCs w:val="20"/>
              </w:rPr>
              <w:t>80 (1.2)</w:t>
            </w:r>
          </w:p>
        </w:tc>
        <w:tc>
          <w:tcPr>
            <w:tcW w:w="1723" w:type="dxa"/>
            <w:tcBorders>
              <w:right w:val="single" w:sz="8" w:space="0" w:color="000000"/>
            </w:tcBorders>
            <w:shd w:val="clear" w:color="auto" w:fill="EFEFEF"/>
            <w:vAlign w:val="center"/>
          </w:tcPr>
          <w:p w14:paraId="14DE63CC" w14:textId="77777777" w:rsidR="009F54FF" w:rsidRPr="00E25CE1" w:rsidRDefault="009F54FF" w:rsidP="00486A1D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5CE1">
              <w:rPr>
                <w:rFonts w:ascii="Calibri" w:hAnsi="Calibri" w:cs="Calibri"/>
                <w:color w:val="000000"/>
                <w:sz w:val="20"/>
                <w:szCs w:val="20"/>
              </w:rPr>
              <w:t>256 (17.0)</w:t>
            </w:r>
          </w:p>
        </w:tc>
        <w:tc>
          <w:tcPr>
            <w:tcW w:w="1766" w:type="dxa"/>
            <w:tcBorders>
              <w:right w:val="single" w:sz="8" w:space="0" w:color="000000"/>
            </w:tcBorders>
            <w:shd w:val="clear" w:color="auto" w:fill="EFEFEF"/>
            <w:vAlign w:val="center"/>
          </w:tcPr>
          <w:p w14:paraId="32A74A60" w14:textId="77777777" w:rsidR="009F54FF" w:rsidRPr="00E25CE1" w:rsidRDefault="009F54FF" w:rsidP="00486A1D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5CE1">
              <w:rPr>
                <w:rFonts w:ascii="Calibri" w:hAnsi="Calibri" w:cs="Calibri"/>
                <w:color w:val="000000"/>
                <w:sz w:val="20"/>
                <w:szCs w:val="20"/>
              </w:rPr>
              <w:t>45 (17.2)</w:t>
            </w:r>
          </w:p>
        </w:tc>
        <w:tc>
          <w:tcPr>
            <w:tcW w:w="1766" w:type="dxa"/>
            <w:tcBorders>
              <w:right w:val="single" w:sz="8" w:space="0" w:color="000000"/>
            </w:tcBorders>
            <w:shd w:val="clear" w:color="auto" w:fill="EFEFEF"/>
            <w:vAlign w:val="center"/>
          </w:tcPr>
          <w:p w14:paraId="56DD005E" w14:textId="77777777" w:rsidR="009F54FF" w:rsidRPr="00E25CE1" w:rsidRDefault="009F54FF" w:rsidP="00486A1D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5CE1">
              <w:rPr>
                <w:rFonts w:ascii="Calibri" w:hAnsi="Calibri" w:cs="Calibri"/>
                <w:color w:val="000000"/>
                <w:sz w:val="20"/>
                <w:szCs w:val="20"/>
              </w:rPr>
              <w:t>32 (22.4)</w:t>
            </w:r>
          </w:p>
        </w:tc>
        <w:tc>
          <w:tcPr>
            <w:tcW w:w="2475" w:type="dxa"/>
            <w:shd w:val="clear" w:color="auto" w:fill="EFEFEF"/>
            <w:vAlign w:val="center"/>
          </w:tcPr>
          <w:p w14:paraId="7763F887" w14:textId="77777777" w:rsidR="009F54FF" w:rsidRPr="00E25CE1" w:rsidRDefault="009F54FF" w:rsidP="00486A1D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5CE1">
              <w:rPr>
                <w:rFonts w:ascii="Calibri" w:hAnsi="Calibri" w:cs="Calibri"/>
                <w:color w:val="000000"/>
                <w:sz w:val="20"/>
                <w:szCs w:val="20"/>
              </w:rPr>
              <w:t>16 (10.8)</w:t>
            </w:r>
          </w:p>
        </w:tc>
      </w:tr>
      <w:tr w:rsidR="009F54FF" w:rsidRPr="00E25CE1" w14:paraId="2B840229" w14:textId="77777777" w:rsidTr="00486A1D">
        <w:tblPrEx>
          <w:tblBorders>
            <w:top w:val="none" w:sz="0" w:space="0" w:color="auto"/>
          </w:tblBorders>
        </w:tblPrEx>
        <w:tc>
          <w:tcPr>
            <w:tcW w:w="2969" w:type="dxa"/>
            <w:tcBorders>
              <w:right w:val="single" w:sz="8" w:space="0" w:color="000000"/>
            </w:tcBorders>
            <w:vAlign w:val="bottom"/>
          </w:tcPr>
          <w:p w14:paraId="7597EB0D" w14:textId="77777777" w:rsidR="009F54FF" w:rsidRPr="00E25CE1" w:rsidRDefault="009F54FF" w:rsidP="00486A1D">
            <w:pPr>
              <w:autoSpaceDE w:val="0"/>
              <w:autoSpaceDN w:val="0"/>
              <w:adjustRightInd w:val="0"/>
              <w:spacing w:after="0" w:line="28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5CE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ACS NISQP risk &gt; 3% &amp; </w:t>
            </w:r>
            <w:r w:rsidRPr="00E25CE1">
              <w:rPr>
                <w:rFonts w:ascii="Cambria Math" w:hAnsi="Cambria Math" w:cs="Cambria Math"/>
                <w:color w:val="000000"/>
                <w:sz w:val="20"/>
                <w:szCs w:val="20"/>
              </w:rPr>
              <w:t>≦</w:t>
            </w:r>
            <w:r w:rsidRPr="00E25CE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4%</w:t>
            </w:r>
          </w:p>
        </w:tc>
        <w:tc>
          <w:tcPr>
            <w:tcW w:w="2314" w:type="dxa"/>
            <w:tcBorders>
              <w:right w:val="single" w:sz="8" w:space="0" w:color="000000"/>
            </w:tcBorders>
            <w:vAlign w:val="center"/>
          </w:tcPr>
          <w:p w14:paraId="60214AA8" w14:textId="77777777" w:rsidR="009F54FF" w:rsidRPr="00E25CE1" w:rsidRDefault="009F54FF" w:rsidP="00486A1D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5CE1">
              <w:rPr>
                <w:rFonts w:ascii="Calibri" w:hAnsi="Calibri" w:cs="Calibri"/>
                <w:color w:val="000000"/>
                <w:sz w:val="20"/>
                <w:szCs w:val="20"/>
              </w:rPr>
              <w:t>10 (0.1)</w:t>
            </w:r>
          </w:p>
        </w:tc>
        <w:tc>
          <w:tcPr>
            <w:tcW w:w="1723" w:type="dxa"/>
            <w:tcBorders>
              <w:right w:val="single" w:sz="8" w:space="0" w:color="000000"/>
            </w:tcBorders>
            <w:vAlign w:val="center"/>
          </w:tcPr>
          <w:p w14:paraId="7839EF76" w14:textId="77777777" w:rsidR="009F54FF" w:rsidRPr="00E25CE1" w:rsidRDefault="009F54FF" w:rsidP="00486A1D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5CE1">
              <w:rPr>
                <w:rFonts w:ascii="Calibri" w:hAnsi="Calibri" w:cs="Calibri"/>
                <w:color w:val="000000"/>
                <w:sz w:val="20"/>
                <w:szCs w:val="20"/>
              </w:rPr>
              <w:t>110 (7.3)</w:t>
            </w:r>
          </w:p>
        </w:tc>
        <w:tc>
          <w:tcPr>
            <w:tcW w:w="1766" w:type="dxa"/>
            <w:tcBorders>
              <w:right w:val="single" w:sz="8" w:space="0" w:color="000000"/>
            </w:tcBorders>
            <w:vAlign w:val="center"/>
          </w:tcPr>
          <w:p w14:paraId="61A4794D" w14:textId="77777777" w:rsidR="009F54FF" w:rsidRPr="00E25CE1" w:rsidRDefault="009F54FF" w:rsidP="00486A1D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5CE1">
              <w:rPr>
                <w:rFonts w:ascii="Calibri" w:hAnsi="Calibri" w:cs="Calibri"/>
                <w:color w:val="000000"/>
                <w:sz w:val="20"/>
                <w:szCs w:val="20"/>
              </w:rPr>
              <w:t>33 (12.6)</w:t>
            </w:r>
          </w:p>
        </w:tc>
        <w:tc>
          <w:tcPr>
            <w:tcW w:w="1766" w:type="dxa"/>
            <w:tcBorders>
              <w:right w:val="single" w:sz="8" w:space="0" w:color="000000"/>
            </w:tcBorders>
            <w:vAlign w:val="center"/>
          </w:tcPr>
          <w:p w14:paraId="7DCE6D7D" w14:textId="77777777" w:rsidR="009F54FF" w:rsidRPr="00E25CE1" w:rsidRDefault="009F54FF" w:rsidP="00486A1D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5CE1">
              <w:rPr>
                <w:rFonts w:ascii="Calibri" w:hAnsi="Calibri" w:cs="Calibri"/>
                <w:color w:val="000000"/>
                <w:sz w:val="20"/>
                <w:szCs w:val="20"/>
              </w:rPr>
              <w:t>27 (18.9)</w:t>
            </w:r>
          </w:p>
        </w:tc>
        <w:tc>
          <w:tcPr>
            <w:tcW w:w="2475" w:type="dxa"/>
            <w:vAlign w:val="center"/>
          </w:tcPr>
          <w:p w14:paraId="734B518A" w14:textId="77777777" w:rsidR="009F54FF" w:rsidRPr="00E25CE1" w:rsidRDefault="009F54FF" w:rsidP="00486A1D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5CE1">
              <w:rPr>
                <w:rFonts w:ascii="Calibri" w:hAnsi="Calibri" w:cs="Calibri"/>
                <w:color w:val="000000"/>
                <w:sz w:val="20"/>
                <w:szCs w:val="20"/>
              </w:rPr>
              <w:t>24 (16.2)</w:t>
            </w:r>
          </w:p>
        </w:tc>
      </w:tr>
      <w:tr w:rsidR="009F54FF" w:rsidRPr="00E25CE1" w14:paraId="0C3BEDB4" w14:textId="77777777" w:rsidTr="00486A1D">
        <w:tc>
          <w:tcPr>
            <w:tcW w:w="2969" w:type="dxa"/>
            <w:tcBorders>
              <w:right w:val="single" w:sz="8" w:space="0" w:color="000000"/>
            </w:tcBorders>
            <w:shd w:val="clear" w:color="auto" w:fill="EFEFEF"/>
            <w:vAlign w:val="bottom"/>
          </w:tcPr>
          <w:p w14:paraId="0253AF72" w14:textId="77777777" w:rsidR="009F54FF" w:rsidRPr="00E25CE1" w:rsidRDefault="009F54FF" w:rsidP="00486A1D">
            <w:pPr>
              <w:autoSpaceDE w:val="0"/>
              <w:autoSpaceDN w:val="0"/>
              <w:adjustRightInd w:val="0"/>
              <w:spacing w:after="0" w:line="28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5CE1">
              <w:rPr>
                <w:rFonts w:ascii="Calibri" w:hAnsi="Calibri" w:cs="Calibri"/>
                <w:color w:val="000000"/>
                <w:sz w:val="20"/>
                <w:szCs w:val="20"/>
              </w:rPr>
              <w:t>ACS NISQP risk &gt; 4%</w:t>
            </w:r>
          </w:p>
        </w:tc>
        <w:tc>
          <w:tcPr>
            <w:tcW w:w="2314" w:type="dxa"/>
            <w:tcBorders>
              <w:right w:val="single" w:sz="8" w:space="0" w:color="000000"/>
            </w:tcBorders>
            <w:shd w:val="clear" w:color="auto" w:fill="EFEFEF"/>
            <w:vAlign w:val="center"/>
          </w:tcPr>
          <w:p w14:paraId="5F7E6601" w14:textId="77777777" w:rsidR="009F54FF" w:rsidRPr="00E25CE1" w:rsidRDefault="009F54FF" w:rsidP="00486A1D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5CE1">
              <w:rPr>
                <w:rFonts w:ascii="Calibri" w:hAnsi="Calibri" w:cs="Calibri"/>
                <w:color w:val="000000"/>
                <w:sz w:val="20"/>
                <w:szCs w:val="20"/>
              </w:rPr>
              <w:t>12 (0.2)</w:t>
            </w:r>
          </w:p>
        </w:tc>
        <w:tc>
          <w:tcPr>
            <w:tcW w:w="1723" w:type="dxa"/>
            <w:tcBorders>
              <w:right w:val="single" w:sz="8" w:space="0" w:color="000000"/>
            </w:tcBorders>
            <w:shd w:val="clear" w:color="auto" w:fill="EFEFEF"/>
            <w:vAlign w:val="center"/>
          </w:tcPr>
          <w:p w14:paraId="0F1C1A0C" w14:textId="77777777" w:rsidR="009F54FF" w:rsidRPr="00E25CE1" w:rsidRDefault="009F54FF" w:rsidP="00486A1D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5CE1">
              <w:rPr>
                <w:rFonts w:ascii="Calibri" w:hAnsi="Calibri" w:cs="Calibri"/>
                <w:color w:val="000000"/>
                <w:sz w:val="20"/>
                <w:szCs w:val="20"/>
              </w:rPr>
              <w:t>65 (4.3)</w:t>
            </w:r>
          </w:p>
        </w:tc>
        <w:tc>
          <w:tcPr>
            <w:tcW w:w="1766" w:type="dxa"/>
            <w:tcBorders>
              <w:right w:val="single" w:sz="8" w:space="0" w:color="000000"/>
            </w:tcBorders>
            <w:shd w:val="clear" w:color="auto" w:fill="EFEFEF"/>
            <w:vAlign w:val="center"/>
          </w:tcPr>
          <w:p w14:paraId="441FF522" w14:textId="77777777" w:rsidR="009F54FF" w:rsidRPr="00E25CE1" w:rsidRDefault="009F54FF" w:rsidP="00486A1D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5CE1">
              <w:rPr>
                <w:rFonts w:ascii="Calibri" w:hAnsi="Calibri" w:cs="Calibri"/>
                <w:color w:val="000000"/>
                <w:sz w:val="20"/>
                <w:szCs w:val="20"/>
              </w:rPr>
              <w:t>33 (12.6)</w:t>
            </w:r>
          </w:p>
        </w:tc>
        <w:tc>
          <w:tcPr>
            <w:tcW w:w="1766" w:type="dxa"/>
            <w:tcBorders>
              <w:right w:val="single" w:sz="8" w:space="0" w:color="000000"/>
            </w:tcBorders>
            <w:shd w:val="clear" w:color="auto" w:fill="EFEFEF"/>
            <w:vAlign w:val="center"/>
          </w:tcPr>
          <w:p w14:paraId="190BEABA" w14:textId="77777777" w:rsidR="009F54FF" w:rsidRPr="00E25CE1" w:rsidRDefault="009F54FF" w:rsidP="00486A1D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5CE1">
              <w:rPr>
                <w:rFonts w:ascii="Calibri" w:hAnsi="Calibri" w:cs="Calibri"/>
                <w:color w:val="000000"/>
                <w:sz w:val="20"/>
                <w:szCs w:val="20"/>
              </w:rPr>
              <w:t>50 (35.0)</w:t>
            </w:r>
          </w:p>
        </w:tc>
        <w:tc>
          <w:tcPr>
            <w:tcW w:w="2475" w:type="dxa"/>
            <w:shd w:val="clear" w:color="auto" w:fill="EFEFEF"/>
            <w:vAlign w:val="center"/>
          </w:tcPr>
          <w:p w14:paraId="79389F15" w14:textId="77777777" w:rsidR="009F54FF" w:rsidRPr="00E25CE1" w:rsidRDefault="009F54FF" w:rsidP="00486A1D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5CE1">
              <w:rPr>
                <w:rFonts w:ascii="Calibri" w:hAnsi="Calibri" w:cs="Calibri"/>
                <w:color w:val="000000"/>
                <w:sz w:val="20"/>
                <w:szCs w:val="20"/>
              </w:rPr>
              <w:t>85 (57.4)</w:t>
            </w:r>
          </w:p>
        </w:tc>
      </w:tr>
    </w:tbl>
    <w:p w14:paraId="721ADCA4" w14:textId="77777777" w:rsidR="009F54FF" w:rsidRDefault="009F54FF" w:rsidP="009F54FF">
      <w:pPr>
        <w:spacing w:line="240" w:lineRule="auto"/>
      </w:pPr>
    </w:p>
    <w:p w14:paraId="0B8F8002" w14:textId="0A2DA627" w:rsidR="009F54FF" w:rsidRPr="006311F2" w:rsidRDefault="00DC5897" w:rsidP="009F54FF">
      <w:pPr>
        <w:spacing w:line="240" w:lineRule="auto"/>
        <w:rPr>
          <w:rFonts w:ascii="Calibri" w:eastAsia="Times New Roman" w:hAnsi="Calibri" w:cs="Times New Roman"/>
          <w:sz w:val="20"/>
          <w:szCs w:val="20"/>
        </w:rPr>
      </w:pPr>
      <w:bookmarkStart w:id="0" w:name="_GoBack"/>
      <w:proofErr w:type="gramStart"/>
      <w:r w:rsidRPr="006311F2">
        <w:rPr>
          <w:rFonts w:ascii="Calibri" w:eastAsia="Times New Roman" w:hAnsi="Calibri" w:cs="Times New Roman"/>
          <w:b/>
          <w:sz w:val="20"/>
          <w:szCs w:val="20"/>
        </w:rPr>
        <w:t xml:space="preserve">SDC </w:t>
      </w:r>
      <w:r w:rsidR="009F54FF" w:rsidRPr="006311F2">
        <w:rPr>
          <w:rFonts w:ascii="Calibri" w:eastAsia="Times New Roman" w:hAnsi="Calibri" w:cs="Times New Roman"/>
          <w:b/>
          <w:sz w:val="20"/>
          <w:szCs w:val="20"/>
        </w:rPr>
        <w:t>Table 1c.</w:t>
      </w:r>
      <w:proofErr w:type="gramEnd"/>
      <w:r w:rsidR="009F54FF" w:rsidRPr="006311F2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gramStart"/>
      <w:r w:rsidR="009F54FF" w:rsidRPr="006311F2">
        <w:rPr>
          <w:rFonts w:ascii="Calibri" w:eastAsia="Times New Roman" w:hAnsi="Calibri" w:cs="Times New Roman"/>
          <w:sz w:val="20"/>
          <w:szCs w:val="20"/>
        </w:rPr>
        <w:t>Agreement on the predicted risk distribution of patients using the ACS NSQIP risk calculator versus the NSQIP MICA risk calculator.</w:t>
      </w:r>
      <w:proofErr w:type="gramEnd"/>
      <w:r w:rsidR="009F54FF" w:rsidRPr="006311F2">
        <w:rPr>
          <w:rFonts w:ascii="Calibri" w:eastAsia="Times New Roman" w:hAnsi="Calibri" w:cs="Times New Roman"/>
          <w:sz w:val="20"/>
          <w:szCs w:val="20"/>
        </w:rPr>
        <w:t xml:space="preserve">  </w:t>
      </w:r>
    </w:p>
    <w:bookmarkEnd w:id="0"/>
    <w:p w14:paraId="1B2E8D18" w14:textId="77777777" w:rsidR="009F54FF" w:rsidRDefault="009F54FF" w:rsidP="009F54FF">
      <w:pPr>
        <w:spacing w:line="240" w:lineRule="auto"/>
      </w:pPr>
      <w:proofErr w:type="gramStart"/>
      <w:r>
        <w:rPr>
          <w:rFonts w:ascii="Calibri" w:eastAsia="Times New Roman" w:hAnsi="Calibri" w:cs="Times New Roman"/>
          <w:color w:val="000000"/>
          <w:sz w:val="20"/>
          <w:szCs w:val="20"/>
        </w:rPr>
        <w:t>( )</w:t>
      </w:r>
      <w:proofErr w:type="gramEnd"/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 indicates percentage.</w:t>
      </w:r>
    </w:p>
    <w:p w14:paraId="63E78651" w14:textId="77777777" w:rsidR="009F54FF" w:rsidRDefault="009F54FF" w:rsidP="009F54FF"/>
    <w:p w14:paraId="4418BEE5" w14:textId="77777777" w:rsidR="009F54FF" w:rsidRDefault="009F54FF" w:rsidP="009F54FF"/>
    <w:p w14:paraId="3610F469" w14:textId="77777777" w:rsidR="009F54FF" w:rsidRPr="00D77D5F" w:rsidRDefault="009F54FF" w:rsidP="001B7DC3">
      <w:pPr>
        <w:contextualSpacing/>
      </w:pPr>
    </w:p>
    <w:p w14:paraId="19A91F20" w14:textId="77777777" w:rsidR="001B7DC3" w:rsidRDefault="001B7DC3" w:rsidP="00015509"/>
    <w:sectPr w:rsidR="001B7DC3" w:rsidSect="001C57AF">
      <w:pgSz w:w="15840" w:h="12240" w:orient="landscape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markup="0" w:comments="0" w:insDel="0" w:formatting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509"/>
    <w:rsid w:val="00004344"/>
    <w:rsid w:val="00015509"/>
    <w:rsid w:val="000544EA"/>
    <w:rsid w:val="0007019F"/>
    <w:rsid w:val="000A177A"/>
    <w:rsid w:val="000C2147"/>
    <w:rsid w:val="000D4BFF"/>
    <w:rsid w:val="000E1718"/>
    <w:rsid w:val="000F40B1"/>
    <w:rsid w:val="00105090"/>
    <w:rsid w:val="00181D0C"/>
    <w:rsid w:val="001B1E38"/>
    <w:rsid w:val="001B7DC3"/>
    <w:rsid w:val="001C57AF"/>
    <w:rsid w:val="002A2F3B"/>
    <w:rsid w:val="002B04CD"/>
    <w:rsid w:val="002C2D0D"/>
    <w:rsid w:val="002E39C6"/>
    <w:rsid w:val="002F0494"/>
    <w:rsid w:val="00332E7F"/>
    <w:rsid w:val="003452A3"/>
    <w:rsid w:val="00353792"/>
    <w:rsid w:val="00360D36"/>
    <w:rsid w:val="00393B3B"/>
    <w:rsid w:val="003C1C6C"/>
    <w:rsid w:val="00417143"/>
    <w:rsid w:val="004C1EE5"/>
    <w:rsid w:val="005442B4"/>
    <w:rsid w:val="00591ED8"/>
    <w:rsid w:val="00597641"/>
    <w:rsid w:val="005A47C4"/>
    <w:rsid w:val="005B5DC3"/>
    <w:rsid w:val="005D2CC9"/>
    <w:rsid w:val="005E6E41"/>
    <w:rsid w:val="006311F2"/>
    <w:rsid w:val="00670A65"/>
    <w:rsid w:val="00697564"/>
    <w:rsid w:val="006D259D"/>
    <w:rsid w:val="00745E8C"/>
    <w:rsid w:val="008370F2"/>
    <w:rsid w:val="00896B8E"/>
    <w:rsid w:val="008D4BA7"/>
    <w:rsid w:val="008E0FA3"/>
    <w:rsid w:val="00937A94"/>
    <w:rsid w:val="00942BA6"/>
    <w:rsid w:val="009F54FF"/>
    <w:rsid w:val="00A328C1"/>
    <w:rsid w:val="00A67FAA"/>
    <w:rsid w:val="00A776D1"/>
    <w:rsid w:val="00B11F82"/>
    <w:rsid w:val="00B4622B"/>
    <w:rsid w:val="00B62921"/>
    <w:rsid w:val="00B80698"/>
    <w:rsid w:val="00BD41EC"/>
    <w:rsid w:val="00BE0F3E"/>
    <w:rsid w:val="00C14B4B"/>
    <w:rsid w:val="00C47F6C"/>
    <w:rsid w:val="00CC083B"/>
    <w:rsid w:val="00CE6C38"/>
    <w:rsid w:val="00CF726D"/>
    <w:rsid w:val="00D1240A"/>
    <w:rsid w:val="00D21C74"/>
    <w:rsid w:val="00D77D5F"/>
    <w:rsid w:val="00DA5ADF"/>
    <w:rsid w:val="00DC5897"/>
    <w:rsid w:val="00DD473A"/>
    <w:rsid w:val="00E25CE1"/>
    <w:rsid w:val="00E37DD6"/>
    <w:rsid w:val="00EB205B"/>
    <w:rsid w:val="00EE0C15"/>
    <w:rsid w:val="00F4123D"/>
    <w:rsid w:val="00F81077"/>
    <w:rsid w:val="00F9688B"/>
    <w:rsid w:val="00FE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D8C6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4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386</Words>
  <Characters>2206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Rochester Medical Center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Glance, Laurent</dc:creator>
  <cp:keywords/>
  <dc:description/>
  <cp:lastModifiedBy>Allison Akeley</cp:lastModifiedBy>
  <cp:revision>6</cp:revision>
  <cp:lastPrinted>2017-10-30T17:45:00Z</cp:lastPrinted>
  <dcterms:created xsi:type="dcterms:W3CDTF">2018-05-22T19:00:00Z</dcterms:created>
  <dcterms:modified xsi:type="dcterms:W3CDTF">2018-06-05T13:49:00Z</dcterms:modified>
</cp:coreProperties>
</file>