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ABFB2" w14:textId="7CF7DD2F" w:rsidR="00BA2E80" w:rsidRDefault="00D21611">
      <w:r w:rsidRPr="00D21611">
        <w:rPr>
          <w:b/>
        </w:rPr>
        <w:t>Supplemental Digital Content</w:t>
      </w:r>
      <w:r>
        <w:t>-Model Calibration Plot</w:t>
      </w:r>
    </w:p>
    <w:p w14:paraId="4BED61BA" w14:textId="012AB040" w:rsidR="00D21611" w:rsidRDefault="00D21611" w:rsidP="00D21611">
      <w:pPr>
        <w:jc w:val="center"/>
      </w:pPr>
      <w:r>
        <w:rPr>
          <w:noProof/>
        </w:rPr>
        <w:drawing>
          <wp:inline distT="0" distB="0" distL="0" distR="0" wp14:anchorId="5DB8381A" wp14:editId="7F4D27C4">
            <wp:extent cx="3417094" cy="3326607"/>
            <wp:effectExtent l="0" t="0" r="12065" b="7620"/>
            <wp:docPr id="1" name="Chart 1">
              <a:extLst xmlns:a="http://schemas.openxmlformats.org/drawingml/2006/main">
                <a:ext uri="{FF2B5EF4-FFF2-40B4-BE49-F238E27FC236}">
                  <a16:creationId xmlns:a16="http://schemas.microsoft.com/office/drawing/2014/main" id="{1C7B1B1C-B438-47DD-A8B6-78EAC884BF3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bookmarkStart w:id="0" w:name="_GoBack"/>
      <w:bookmarkEnd w:id="0"/>
    </w:p>
    <w:p w14:paraId="40C0B2CD" w14:textId="7C1F7CA0" w:rsidR="00D21611" w:rsidRDefault="00D21611">
      <w:r>
        <w:t>Legend: Blue dots represent the observed vs. expected probability of receipt of neuraxial anesthesia across deciles of probability from our multilevel multivariable model predicting primary anesthesia type. The dashed line represents the line of ideal calibration</w:t>
      </w:r>
    </w:p>
    <w:sectPr w:rsidR="00D216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611"/>
    <w:rsid w:val="0010395E"/>
    <w:rsid w:val="003B7FDA"/>
    <w:rsid w:val="00420D5B"/>
    <w:rsid w:val="005B0F69"/>
    <w:rsid w:val="00720BB3"/>
    <w:rsid w:val="008A4D32"/>
    <w:rsid w:val="00C3478D"/>
    <w:rsid w:val="00D21611"/>
    <w:rsid w:val="00D64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9A525"/>
  <w15:chartTrackingRefBased/>
  <w15:docId w15:val="{0FDA8FFE-6454-4B06-AD63-34C157820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Calibration plot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Sheet2!$F$1</c:f>
              <c:strCache>
                <c:ptCount val="1"/>
                <c:pt idx="0">
                  <c:v>Expect Prob</c:v>
                </c:pt>
              </c:strCache>
            </c:strRef>
          </c:tx>
          <c:spPr>
            <a:ln w="19050" cap="rnd">
              <a:noFill/>
              <a:round/>
            </a:ln>
            <a:effectLst/>
          </c:spPr>
          <c:marker>
            <c:symbol val="circle"/>
            <c:size val="7"/>
            <c:spPr>
              <a:solidFill>
                <a:schemeClr val="accent1"/>
              </a:solidFill>
              <a:ln w="9525">
                <a:solidFill>
                  <a:schemeClr val="tx1"/>
                </a:solidFill>
              </a:ln>
              <a:effectLst/>
            </c:spPr>
          </c:marker>
          <c:xVal>
            <c:numRef>
              <c:f>Sheet2!$D$2:$D$13</c:f>
              <c:numCache>
                <c:formatCode>General</c:formatCode>
                <c:ptCount val="12"/>
                <c:pt idx="0">
                  <c:v>0</c:v>
                </c:pt>
                <c:pt idx="1">
                  <c:v>0.36306272367677528</c:v>
                </c:pt>
                <c:pt idx="2">
                  <c:v>0.42173667357317762</c:v>
                </c:pt>
                <c:pt idx="3">
                  <c:v>0.47231116971181014</c:v>
                </c:pt>
                <c:pt idx="4">
                  <c:v>0.50659257864004525</c:v>
                </c:pt>
                <c:pt idx="5">
                  <c:v>0.54002637031456013</c:v>
                </c:pt>
                <c:pt idx="6">
                  <c:v>0.55810887172725565</c:v>
                </c:pt>
                <c:pt idx="7">
                  <c:v>0.57854586551139575</c:v>
                </c:pt>
                <c:pt idx="8">
                  <c:v>0.60340930495385192</c:v>
                </c:pt>
                <c:pt idx="9">
                  <c:v>0.63025051798832177</c:v>
                </c:pt>
                <c:pt idx="10">
                  <c:v>0.66723163841807909</c:v>
                </c:pt>
                <c:pt idx="11">
                  <c:v>1</c:v>
                </c:pt>
              </c:numCache>
            </c:numRef>
          </c:xVal>
          <c:yVal>
            <c:numRef>
              <c:f>Sheet2!$F$2:$F$13</c:f>
              <c:numCache>
                <c:formatCode>General</c:formatCode>
                <c:ptCount val="12"/>
                <c:pt idx="1">
                  <c:v>0.35270295724241851</c:v>
                </c:pt>
                <c:pt idx="2">
                  <c:v>0.44339800339046903</c:v>
                </c:pt>
                <c:pt idx="3">
                  <c:v>0.4843661706536071</c:v>
                </c:pt>
                <c:pt idx="4">
                  <c:v>0.51365605575437934</c:v>
                </c:pt>
                <c:pt idx="5">
                  <c:v>0.53569410435110187</c:v>
                </c:pt>
                <c:pt idx="6">
                  <c:v>0.55500094179694859</c:v>
                </c:pt>
                <c:pt idx="7">
                  <c:v>0.57364852137879074</c:v>
                </c:pt>
                <c:pt idx="8">
                  <c:v>0.59417969485778865</c:v>
                </c:pt>
                <c:pt idx="9">
                  <c:v>0.61970239216424938</c:v>
                </c:pt>
                <c:pt idx="10">
                  <c:v>0.66873822975517894</c:v>
                </c:pt>
              </c:numCache>
            </c:numRef>
          </c:yVal>
          <c:smooth val="0"/>
          <c:extLst>
            <c:ext xmlns:c16="http://schemas.microsoft.com/office/drawing/2014/chart" uri="{C3380CC4-5D6E-409C-BE32-E72D297353CC}">
              <c16:uniqueId val="{00000000-C0BF-4B99-B10F-BD5D8A90F6F7}"/>
            </c:ext>
          </c:extLst>
        </c:ser>
        <c:ser>
          <c:idx val="1"/>
          <c:order val="1"/>
          <c:tx>
            <c:strRef>
              <c:f>Sheet2!$G$1</c:f>
              <c:strCache>
                <c:ptCount val="1"/>
                <c:pt idx="0">
                  <c:v>Fortyfive</c:v>
                </c:pt>
              </c:strCache>
            </c:strRef>
          </c:tx>
          <c:spPr>
            <a:ln w="12700" cap="rnd">
              <a:solidFill>
                <a:schemeClr val="tx1"/>
              </a:solidFill>
              <a:prstDash val="dash"/>
              <a:round/>
            </a:ln>
            <a:effectLst/>
          </c:spPr>
          <c:marker>
            <c:symbol val="none"/>
          </c:marker>
          <c:xVal>
            <c:numRef>
              <c:f>Sheet2!$D$2:$D$13</c:f>
              <c:numCache>
                <c:formatCode>General</c:formatCode>
                <c:ptCount val="12"/>
                <c:pt idx="0">
                  <c:v>0</c:v>
                </c:pt>
                <c:pt idx="1">
                  <c:v>0.36306272367677528</c:v>
                </c:pt>
                <c:pt idx="2">
                  <c:v>0.42173667357317762</c:v>
                </c:pt>
                <c:pt idx="3">
                  <c:v>0.47231116971181014</c:v>
                </c:pt>
                <c:pt idx="4">
                  <c:v>0.50659257864004525</c:v>
                </c:pt>
                <c:pt idx="5">
                  <c:v>0.54002637031456013</c:v>
                </c:pt>
                <c:pt idx="6">
                  <c:v>0.55810887172725565</c:v>
                </c:pt>
                <c:pt idx="7">
                  <c:v>0.57854586551139575</c:v>
                </c:pt>
                <c:pt idx="8">
                  <c:v>0.60340930495385192</c:v>
                </c:pt>
                <c:pt idx="9">
                  <c:v>0.63025051798832177</c:v>
                </c:pt>
                <c:pt idx="10">
                  <c:v>0.66723163841807909</c:v>
                </c:pt>
                <c:pt idx="11">
                  <c:v>1</c:v>
                </c:pt>
              </c:numCache>
            </c:numRef>
          </c:xVal>
          <c:yVal>
            <c:numRef>
              <c:f>Sheet2!$G$2:$G$13</c:f>
              <c:numCache>
                <c:formatCode>General</c:formatCode>
                <c:ptCount val="12"/>
                <c:pt idx="0">
                  <c:v>0</c:v>
                </c:pt>
                <c:pt idx="1">
                  <c:v>0.36306272367677528</c:v>
                </c:pt>
                <c:pt idx="2">
                  <c:v>0.42173667357317762</c:v>
                </c:pt>
                <c:pt idx="3">
                  <c:v>0.47231116971181014</c:v>
                </c:pt>
                <c:pt idx="4">
                  <c:v>0.50659257864004525</c:v>
                </c:pt>
                <c:pt idx="5">
                  <c:v>0.54002637031456013</c:v>
                </c:pt>
                <c:pt idx="6">
                  <c:v>0.55810887172725565</c:v>
                </c:pt>
                <c:pt idx="7">
                  <c:v>0.57854586551139575</c:v>
                </c:pt>
                <c:pt idx="8">
                  <c:v>0.60340930495385192</c:v>
                </c:pt>
                <c:pt idx="9">
                  <c:v>0.63025051798832177</c:v>
                </c:pt>
                <c:pt idx="10">
                  <c:v>0.66723163841807909</c:v>
                </c:pt>
                <c:pt idx="11">
                  <c:v>1</c:v>
                </c:pt>
              </c:numCache>
            </c:numRef>
          </c:yVal>
          <c:smooth val="0"/>
          <c:extLst>
            <c:ext xmlns:c16="http://schemas.microsoft.com/office/drawing/2014/chart" uri="{C3380CC4-5D6E-409C-BE32-E72D297353CC}">
              <c16:uniqueId val="{00000001-C0BF-4B99-B10F-BD5D8A90F6F7}"/>
            </c:ext>
          </c:extLst>
        </c:ser>
        <c:dLbls>
          <c:showLegendKey val="0"/>
          <c:showVal val="0"/>
          <c:showCatName val="0"/>
          <c:showSerName val="0"/>
          <c:showPercent val="0"/>
          <c:showBubbleSize val="0"/>
        </c:dLbls>
        <c:axId val="492862848"/>
        <c:axId val="492859568"/>
      </c:scatterChart>
      <c:valAx>
        <c:axId val="492862848"/>
        <c:scaling>
          <c:orientation val="minMax"/>
          <c:max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Expected</a:t>
                </a:r>
                <a:r>
                  <a:rPr lang="en-US" baseline="0"/>
                  <a:t> probability</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2859568"/>
        <c:crosses val="autoZero"/>
        <c:crossBetween val="midCat"/>
        <c:majorUnit val="0.1"/>
      </c:valAx>
      <c:valAx>
        <c:axId val="492859568"/>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Observed probability</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2862848"/>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TotalTime>
  <Pages>1</Pages>
  <Words>47</Words>
  <Characters>271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McIsaac</dc:creator>
  <cp:keywords/>
  <dc:description/>
  <cp:lastModifiedBy>Daniel McIsaac</cp:lastModifiedBy>
  <cp:revision>1</cp:revision>
  <dcterms:created xsi:type="dcterms:W3CDTF">2018-05-31T02:11:00Z</dcterms:created>
  <dcterms:modified xsi:type="dcterms:W3CDTF">2018-05-31T02:14:00Z</dcterms:modified>
</cp:coreProperties>
</file>