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F97A9" w14:textId="3075063E" w:rsidR="00A15738" w:rsidRPr="00577E90" w:rsidRDefault="00A15738" w:rsidP="00A15738">
      <w:pPr>
        <w:spacing w:line="480" w:lineRule="auto"/>
        <w:rPr>
          <w:b/>
          <w:sz w:val="32"/>
          <w:szCs w:val="32"/>
          <w:lang w:val="en-US"/>
        </w:rPr>
      </w:pPr>
      <w:r w:rsidRPr="00577E90">
        <w:rPr>
          <w:b/>
          <w:sz w:val="32"/>
          <w:szCs w:val="32"/>
          <w:lang w:val="en-US"/>
        </w:rPr>
        <w:t xml:space="preserve">Supplemental Digital Content </w:t>
      </w:r>
      <w:r w:rsidR="00ED54AD" w:rsidRPr="00577E90">
        <w:rPr>
          <w:b/>
          <w:sz w:val="32"/>
          <w:szCs w:val="32"/>
          <w:lang w:val="en-US"/>
        </w:rPr>
        <w:t>2</w:t>
      </w:r>
    </w:p>
    <w:p w14:paraId="1269EAA4" w14:textId="15A4C562" w:rsidR="00A15738" w:rsidRPr="00577E90" w:rsidRDefault="00A15738" w:rsidP="00A15738">
      <w:pPr>
        <w:spacing w:line="480" w:lineRule="auto"/>
        <w:rPr>
          <w:b/>
          <w:lang w:val="en-US"/>
        </w:rPr>
      </w:pPr>
      <w:r w:rsidRPr="00577E90">
        <w:rPr>
          <w:b/>
          <w:lang w:val="en-US"/>
        </w:rPr>
        <w:t xml:space="preserve">Blood pressure and end-tidal carbon dioxide </w:t>
      </w:r>
      <w:r w:rsidR="0055097F" w:rsidRPr="00577E90">
        <w:rPr>
          <w:b/>
          <w:lang w:val="en-US"/>
        </w:rPr>
        <w:t xml:space="preserve">ranges </w:t>
      </w:r>
      <w:r w:rsidRPr="00577E90">
        <w:rPr>
          <w:b/>
          <w:lang w:val="en-US"/>
        </w:rPr>
        <w:t xml:space="preserve">during aneurysm occlusion and neurological outcome after </w:t>
      </w:r>
      <w:r w:rsidR="00A53091" w:rsidRPr="00577E90">
        <w:rPr>
          <w:b/>
          <w:lang w:val="en-US"/>
        </w:rPr>
        <w:t xml:space="preserve">an </w:t>
      </w:r>
      <w:r w:rsidRPr="00577E90">
        <w:rPr>
          <w:b/>
          <w:lang w:val="en-US"/>
        </w:rPr>
        <w:t>aneurysmal subarachnoid hemorrhage</w:t>
      </w:r>
    </w:p>
    <w:p w14:paraId="045B4A8E" w14:textId="77777777" w:rsidR="00A15738" w:rsidRPr="00577E90" w:rsidRDefault="00A15738" w:rsidP="00A15738">
      <w:pPr>
        <w:spacing w:line="480" w:lineRule="auto"/>
        <w:rPr>
          <w:b/>
          <w:lang w:val="en-US"/>
        </w:rPr>
      </w:pPr>
    </w:p>
    <w:p w14:paraId="5D9F3301" w14:textId="77777777" w:rsidR="00D51632" w:rsidRPr="00577E90" w:rsidRDefault="00D51632" w:rsidP="00D51632">
      <w:pPr>
        <w:spacing w:line="480" w:lineRule="auto"/>
        <w:outlineLvl w:val="0"/>
      </w:pPr>
      <w:r w:rsidRPr="00577E90">
        <w:t>Annemarie Akkermans, MD</w:t>
      </w:r>
      <w:r w:rsidRPr="00577E90">
        <w:rPr>
          <w:vertAlign w:val="superscript"/>
        </w:rPr>
        <w:t>1</w:t>
      </w:r>
      <w:r w:rsidRPr="00577E90">
        <w:t xml:space="preserve"> </w:t>
      </w:r>
    </w:p>
    <w:p w14:paraId="3F7486AE" w14:textId="77777777" w:rsidR="00D51632" w:rsidRPr="00577E90" w:rsidRDefault="00D51632" w:rsidP="00D51632">
      <w:pPr>
        <w:spacing w:line="480" w:lineRule="auto"/>
        <w:rPr>
          <w:vertAlign w:val="superscript"/>
          <w:lang w:val="en-US"/>
        </w:rPr>
      </w:pPr>
      <w:r w:rsidRPr="00577E90">
        <w:rPr>
          <w:lang w:val="en-US"/>
        </w:rPr>
        <w:t>Judith A. van Waes, MD, PhD</w:t>
      </w:r>
      <w:r w:rsidRPr="00577E90">
        <w:rPr>
          <w:vertAlign w:val="superscript"/>
          <w:lang w:val="en-US"/>
        </w:rPr>
        <w:t>1</w:t>
      </w:r>
    </w:p>
    <w:p w14:paraId="745F8877" w14:textId="77777777" w:rsidR="00D51632" w:rsidRPr="00577E90" w:rsidRDefault="00D51632" w:rsidP="00D51632">
      <w:pPr>
        <w:spacing w:line="480" w:lineRule="auto"/>
        <w:rPr>
          <w:vertAlign w:val="superscript"/>
        </w:rPr>
      </w:pPr>
      <w:r w:rsidRPr="00577E90">
        <w:t>Linda M. Peelen, PhD</w:t>
      </w:r>
      <w:r w:rsidRPr="00577E90">
        <w:rPr>
          <w:vertAlign w:val="superscript"/>
        </w:rPr>
        <w:t>1,2</w:t>
      </w:r>
    </w:p>
    <w:p w14:paraId="10033378" w14:textId="77777777" w:rsidR="00D51632" w:rsidRPr="00577E90" w:rsidRDefault="00D51632" w:rsidP="00D51632">
      <w:pPr>
        <w:spacing w:line="480" w:lineRule="auto"/>
        <w:rPr>
          <w:vertAlign w:val="superscript"/>
        </w:rPr>
      </w:pPr>
      <w:r w:rsidRPr="00577E90">
        <w:t>Gabriel J. Rinkel, MD, FRCP(E)</w:t>
      </w:r>
      <w:r w:rsidRPr="00577E90">
        <w:rPr>
          <w:vertAlign w:val="superscript"/>
        </w:rPr>
        <w:t>3</w:t>
      </w:r>
      <w:bookmarkStart w:id="0" w:name="_GoBack"/>
      <w:bookmarkEnd w:id="0"/>
    </w:p>
    <w:p w14:paraId="65DA4E58" w14:textId="77777777" w:rsidR="00D51632" w:rsidRPr="00577E90" w:rsidRDefault="00D51632" w:rsidP="00D51632">
      <w:pPr>
        <w:spacing w:line="480" w:lineRule="auto"/>
        <w:rPr>
          <w:vertAlign w:val="superscript"/>
        </w:rPr>
      </w:pPr>
      <w:r w:rsidRPr="00577E90">
        <w:t>Wilton A. van Klei, MD, PhD</w:t>
      </w:r>
      <w:r w:rsidRPr="00577E90">
        <w:rPr>
          <w:vertAlign w:val="superscript"/>
        </w:rPr>
        <w:t>1</w:t>
      </w:r>
    </w:p>
    <w:p w14:paraId="7DFD8DB3" w14:textId="77777777" w:rsidR="00A15738" w:rsidRPr="00577E90" w:rsidRDefault="00A15738" w:rsidP="00A15738">
      <w:pPr>
        <w:spacing w:line="480" w:lineRule="auto"/>
        <w:rPr>
          <w:vertAlign w:val="superscript"/>
          <w:lang w:val="en-US"/>
        </w:rPr>
      </w:pPr>
      <w:r w:rsidRPr="00577E90">
        <w:rPr>
          <w:vertAlign w:val="superscript"/>
          <w:lang w:val="en-US"/>
        </w:rPr>
        <w:t xml:space="preserve">   </w:t>
      </w:r>
    </w:p>
    <w:p w14:paraId="03320005" w14:textId="77777777" w:rsidR="00A15738" w:rsidRPr="00577E90" w:rsidRDefault="00A15738" w:rsidP="00A15738">
      <w:pPr>
        <w:spacing w:line="480" w:lineRule="auto"/>
        <w:rPr>
          <w:b/>
          <w:lang w:val="en-US"/>
        </w:rPr>
      </w:pPr>
      <w:r w:rsidRPr="00577E90">
        <w:rPr>
          <w:vertAlign w:val="superscript"/>
          <w:lang w:val="en-US"/>
        </w:rPr>
        <w:t>1</w:t>
      </w:r>
      <w:r w:rsidRPr="00577E90">
        <w:rPr>
          <w:lang w:val="en-US"/>
        </w:rPr>
        <w:t xml:space="preserve"> Department of Anesthesiology, University Medical Center Utrecht, Utrecht University, The Netherlands</w:t>
      </w:r>
      <w:r w:rsidRPr="00577E90">
        <w:rPr>
          <w:lang w:val="en-US"/>
        </w:rPr>
        <w:br/>
      </w:r>
      <w:r w:rsidRPr="00577E90">
        <w:rPr>
          <w:vertAlign w:val="superscript"/>
          <w:lang w:val="en-US"/>
        </w:rPr>
        <w:t>2</w:t>
      </w:r>
      <w:r w:rsidRPr="00577E90">
        <w:rPr>
          <w:lang w:val="en-US"/>
        </w:rPr>
        <w:t xml:space="preserve"> Department of Epidemiology, Julius Center for Health Sciences and Primary Care, University Medical Center Utrecht, Utrecht University, The Netherlands</w:t>
      </w:r>
      <w:r w:rsidRPr="00577E90">
        <w:rPr>
          <w:lang w:val="en-US"/>
        </w:rPr>
        <w:br/>
      </w:r>
      <w:r w:rsidRPr="00577E90">
        <w:rPr>
          <w:vertAlign w:val="superscript"/>
          <w:lang w:val="en-US"/>
        </w:rPr>
        <w:t>3</w:t>
      </w:r>
      <w:r w:rsidRPr="00577E90">
        <w:rPr>
          <w:lang w:val="en-US"/>
        </w:rPr>
        <w:t xml:space="preserve"> Department of Neurology and Neurosurgery, Brain Centre Rudolf Magnus, University Medical Center Utrecht, Utrecht University, The Netherlands</w:t>
      </w:r>
      <w:r w:rsidRPr="00577E90">
        <w:rPr>
          <w:lang w:val="en-US"/>
        </w:rPr>
        <w:br/>
      </w:r>
    </w:p>
    <w:p w14:paraId="30377A30" w14:textId="77777777" w:rsidR="00A15738" w:rsidRPr="00577E90" w:rsidRDefault="00A15738" w:rsidP="00A15738">
      <w:pPr>
        <w:spacing w:line="480" w:lineRule="auto"/>
        <w:outlineLvl w:val="0"/>
        <w:rPr>
          <w:b/>
          <w:lang w:val="en-US"/>
        </w:rPr>
      </w:pPr>
      <w:r w:rsidRPr="00577E90">
        <w:rPr>
          <w:b/>
          <w:lang w:val="en-US"/>
        </w:rPr>
        <w:t>Correspondence to:</w:t>
      </w:r>
    </w:p>
    <w:p w14:paraId="5B574A05" w14:textId="77777777" w:rsidR="00A15738" w:rsidRPr="00577E90" w:rsidRDefault="00A15738" w:rsidP="00A15738">
      <w:pPr>
        <w:spacing w:line="480" w:lineRule="auto"/>
        <w:rPr>
          <w:lang w:val="en-US"/>
        </w:rPr>
      </w:pPr>
      <w:r w:rsidRPr="00577E90">
        <w:rPr>
          <w:lang w:val="en-US"/>
        </w:rPr>
        <w:t>A. Akkermans, MD; Email:</w:t>
      </w:r>
      <w:r w:rsidRPr="00577E90">
        <w:rPr>
          <w:lang w:val="en-US"/>
        </w:rPr>
        <w:tab/>
        <w:t xml:space="preserve">a.akkermans@umcutrecht.nl </w:t>
      </w:r>
      <w:r w:rsidRPr="00577E90">
        <w:rPr>
          <w:lang w:val="en-US"/>
        </w:rPr>
        <w:br/>
      </w:r>
    </w:p>
    <w:p w14:paraId="3EBF96B4" w14:textId="77777777" w:rsidR="00A15738" w:rsidRPr="00577E90" w:rsidRDefault="00A15738">
      <w:r w:rsidRPr="00577E90">
        <w:br w:type="page"/>
      </w:r>
    </w:p>
    <w:tbl>
      <w:tblPr>
        <w:tblStyle w:val="Lijsttabel41"/>
        <w:tblpPr w:leftFromText="141" w:rightFromText="141" w:vertAnchor="page" w:horzAnchor="page" w:tblpX="1401" w:tblpY="1805"/>
        <w:tblW w:w="9645" w:type="dxa"/>
        <w:tblLook w:val="04A0" w:firstRow="1" w:lastRow="0" w:firstColumn="1" w:lastColumn="0" w:noHBand="0" w:noVBand="1"/>
      </w:tblPr>
      <w:tblGrid>
        <w:gridCol w:w="1418"/>
        <w:gridCol w:w="8227"/>
      </w:tblGrid>
      <w:tr w:rsidR="00577E90" w:rsidRPr="00577E90" w14:paraId="1A9AFF15" w14:textId="77777777" w:rsidTr="00A1573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right w:val="single" w:sz="4" w:space="0" w:color="auto"/>
            </w:tcBorders>
            <w:shd w:val="clear" w:color="auto" w:fill="auto"/>
          </w:tcPr>
          <w:p w14:paraId="57055F04" w14:textId="77777777" w:rsidR="00A15738" w:rsidRPr="00577E90" w:rsidRDefault="00A15738" w:rsidP="00A15738">
            <w:pPr>
              <w:jc w:val="both"/>
              <w:rPr>
                <w:color w:val="auto"/>
                <w:lang w:val="en-US"/>
              </w:rPr>
            </w:pPr>
          </w:p>
        </w:tc>
        <w:tc>
          <w:tcPr>
            <w:tcW w:w="8227" w:type="dxa"/>
            <w:tcBorders>
              <w:left w:val="single" w:sz="4" w:space="0" w:color="auto"/>
            </w:tcBorders>
            <w:shd w:val="clear" w:color="auto" w:fill="auto"/>
          </w:tcPr>
          <w:p w14:paraId="041AFE50" w14:textId="77777777" w:rsidR="00A15738" w:rsidRPr="00577E90" w:rsidRDefault="00A15738" w:rsidP="00A15738">
            <w:pPr>
              <w:jc w:val="both"/>
              <w:cnfStyle w:val="100000000000" w:firstRow="1" w:lastRow="0" w:firstColumn="0" w:lastColumn="0" w:oddVBand="0" w:evenVBand="0" w:oddHBand="0" w:evenHBand="0" w:firstRowFirstColumn="0" w:firstRowLastColumn="0" w:lastRowFirstColumn="0" w:lastRowLastColumn="0"/>
              <w:rPr>
                <w:color w:val="auto"/>
                <w:lang w:val="en-US"/>
              </w:rPr>
            </w:pPr>
            <w:r w:rsidRPr="00577E90">
              <w:rPr>
                <w:color w:val="auto"/>
                <w:lang w:val="en-US"/>
              </w:rPr>
              <w:t>Artifact criteria</w:t>
            </w:r>
            <w:r w:rsidRPr="00577E90">
              <w:rPr>
                <w:color w:val="auto"/>
                <w:vertAlign w:val="superscript"/>
                <w:lang w:val="en-US"/>
              </w:rPr>
              <w:t>1,2</w:t>
            </w:r>
            <w:r w:rsidRPr="00577E90">
              <w:rPr>
                <w:color w:val="auto"/>
                <w:lang w:val="en-US"/>
              </w:rPr>
              <w:t xml:space="preserve"> </w:t>
            </w:r>
          </w:p>
        </w:tc>
      </w:tr>
      <w:tr w:rsidR="00577E90" w:rsidRPr="00577E90" w14:paraId="25355619" w14:textId="77777777" w:rsidTr="00A157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right w:val="single" w:sz="4" w:space="0" w:color="auto"/>
            </w:tcBorders>
            <w:shd w:val="clear" w:color="auto" w:fill="auto"/>
          </w:tcPr>
          <w:p w14:paraId="47388F10" w14:textId="77777777" w:rsidR="00A15738" w:rsidRPr="00577E90" w:rsidRDefault="00A15738" w:rsidP="00A15738">
            <w:pPr>
              <w:jc w:val="both"/>
              <w:rPr>
                <w:lang w:val="en-US"/>
              </w:rPr>
            </w:pPr>
            <w:r w:rsidRPr="00577E90">
              <w:rPr>
                <w:lang w:val="en-US"/>
              </w:rPr>
              <w:t xml:space="preserve">General criteria </w:t>
            </w:r>
          </w:p>
        </w:tc>
        <w:tc>
          <w:tcPr>
            <w:tcW w:w="8227" w:type="dxa"/>
            <w:tcBorders>
              <w:left w:val="single" w:sz="4" w:space="0" w:color="auto"/>
            </w:tcBorders>
            <w:shd w:val="clear" w:color="auto" w:fill="auto"/>
          </w:tcPr>
          <w:p w14:paraId="5FD528C2" w14:textId="77777777" w:rsidR="00A15738" w:rsidRPr="00577E90" w:rsidRDefault="00A15738" w:rsidP="00A15738">
            <w:pPr>
              <w:numPr>
                <w:ilvl w:val="0"/>
                <w:numId w:val="1"/>
              </w:numPr>
              <w:jc w:val="both"/>
              <w:cnfStyle w:val="000000100000" w:firstRow="0" w:lastRow="0" w:firstColumn="0" w:lastColumn="0" w:oddVBand="0" w:evenVBand="0" w:oddHBand="1" w:evenHBand="0" w:firstRowFirstColumn="0" w:firstRowLastColumn="0" w:lastRowFirstColumn="0" w:lastRowLastColumn="0"/>
              <w:rPr>
                <w:lang w:val="en-US"/>
              </w:rPr>
            </w:pPr>
            <w:r w:rsidRPr="00577E90">
              <w:rPr>
                <w:lang w:val="en-US"/>
              </w:rPr>
              <w:t>User entered values: invalid.</w:t>
            </w:r>
          </w:p>
          <w:p w14:paraId="0F89936A" w14:textId="77777777" w:rsidR="00A15738" w:rsidRPr="00577E90" w:rsidRDefault="00A15738" w:rsidP="00A15738">
            <w:pPr>
              <w:numPr>
                <w:ilvl w:val="0"/>
                <w:numId w:val="1"/>
              </w:numPr>
              <w:jc w:val="both"/>
              <w:cnfStyle w:val="000000100000" w:firstRow="0" w:lastRow="0" w:firstColumn="0" w:lastColumn="0" w:oddVBand="0" w:evenVBand="0" w:oddHBand="1" w:evenHBand="0" w:firstRowFirstColumn="0" w:firstRowLastColumn="0" w:lastRowFirstColumn="0" w:lastRowLastColumn="0"/>
              <w:rPr>
                <w:lang w:val="en-US"/>
              </w:rPr>
            </w:pPr>
            <w:r w:rsidRPr="00577E90">
              <w:rPr>
                <w:lang w:val="en-US"/>
              </w:rPr>
              <w:t>Two measurements had to be below the threshold, before it was classified as an episode. Within one episode, one measurement was allowed to reach the threshold without ending it, when the next measurement was again below the threshold.</w:t>
            </w:r>
          </w:p>
          <w:p w14:paraId="2BE9036E" w14:textId="77777777" w:rsidR="00A15738" w:rsidRPr="00577E90" w:rsidRDefault="00A15738" w:rsidP="00A15738">
            <w:pPr>
              <w:numPr>
                <w:ilvl w:val="0"/>
                <w:numId w:val="1"/>
              </w:numPr>
              <w:jc w:val="both"/>
              <w:cnfStyle w:val="000000100000" w:firstRow="0" w:lastRow="0" w:firstColumn="0" w:lastColumn="0" w:oddVBand="0" w:evenVBand="0" w:oddHBand="1" w:evenHBand="0" w:firstRowFirstColumn="0" w:firstRowLastColumn="0" w:lastRowFirstColumn="0" w:lastRowLastColumn="0"/>
              <w:rPr>
                <w:lang w:val="en-US"/>
              </w:rPr>
            </w:pPr>
            <w:r w:rsidRPr="00577E90">
              <w:rPr>
                <w:lang w:val="en-US"/>
              </w:rPr>
              <w:t>Intraoperative data collection started ten minutes after incision (or 20 minutes after induction end when not available) and stopped ten minutes prior to procedure end (or 20 minutes prior to anesthesia end when not available).</w:t>
            </w:r>
          </w:p>
        </w:tc>
      </w:tr>
      <w:tr w:rsidR="00577E90" w:rsidRPr="00577E90" w14:paraId="6E11450C" w14:textId="77777777" w:rsidTr="00A15738">
        <w:trPr>
          <w:trHeight w:val="2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right w:val="single" w:sz="4" w:space="0" w:color="auto"/>
            </w:tcBorders>
            <w:shd w:val="clear" w:color="auto" w:fill="auto"/>
          </w:tcPr>
          <w:p w14:paraId="0A34CD55" w14:textId="77777777" w:rsidR="00A15738" w:rsidRPr="00577E90" w:rsidRDefault="00A15738" w:rsidP="00A15738">
            <w:pPr>
              <w:jc w:val="both"/>
              <w:rPr>
                <w:lang w:val="en-US"/>
              </w:rPr>
            </w:pPr>
            <w:r w:rsidRPr="00577E90">
              <w:rPr>
                <w:lang w:val="en-US"/>
              </w:rPr>
              <w:t xml:space="preserve">Blood pressure </w:t>
            </w:r>
          </w:p>
        </w:tc>
        <w:tc>
          <w:tcPr>
            <w:tcW w:w="8227" w:type="dxa"/>
            <w:tcBorders>
              <w:left w:val="single" w:sz="4" w:space="0" w:color="auto"/>
            </w:tcBorders>
            <w:shd w:val="clear" w:color="auto" w:fill="auto"/>
          </w:tcPr>
          <w:p w14:paraId="26B5FDF6"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 xml:space="preserve">At least 20 MAP valid measurements (not consecutive) </w:t>
            </w:r>
          </w:p>
          <w:p w14:paraId="2EDC962B"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Exclusion if no recorded MAP &gt; 10 minutes uninterrupted</w:t>
            </w:r>
          </w:p>
          <w:p w14:paraId="5F79B441"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 xml:space="preserve">SBP had to be between 50 and 250 mmHg </w:t>
            </w:r>
          </w:p>
          <w:p w14:paraId="5B050A23"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DB</w:t>
            </w:r>
            <w:r w:rsidRPr="00577E90">
              <w:rPr>
                <w:rFonts w:eastAsia="Times New Roman"/>
                <w:shd w:val="clear" w:color="auto" w:fill="FFFFFF"/>
                <w:lang w:val="en-US"/>
              </w:rPr>
              <w:t>P</w:t>
            </w:r>
            <w:r w:rsidRPr="00577E90">
              <w:rPr>
                <w:lang w:val="en-US"/>
              </w:rPr>
              <w:t xml:space="preserve"> had to be between 20 and 200 mmHg </w:t>
            </w:r>
          </w:p>
          <w:p w14:paraId="6B62C976"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 xml:space="preserve">MAP had to be between 50 and 150 mmHg </w:t>
            </w:r>
          </w:p>
          <w:p w14:paraId="47D7B186"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 xml:space="preserve">MAP had to be between SBP and DBP </w:t>
            </w:r>
          </w:p>
          <w:p w14:paraId="38C22CAF"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Pulse pressure was higher than 20 + (DBP/90)*10</w:t>
            </w:r>
          </w:p>
          <w:p w14:paraId="0C390899"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 xml:space="preserve">Pulse pressure was higher than 10 + (MAP/150)*10 </w:t>
            </w:r>
          </w:p>
          <w:p w14:paraId="030B92F4" w14:textId="77777777" w:rsidR="00A15738" w:rsidRPr="00577E90" w:rsidRDefault="00A15738" w:rsidP="00A15738">
            <w:pPr>
              <w:numPr>
                <w:ilvl w:val="0"/>
                <w:numId w:val="1"/>
              </w:numPr>
              <w:jc w:val="both"/>
              <w:cnfStyle w:val="000000000000" w:firstRow="0" w:lastRow="0" w:firstColumn="0" w:lastColumn="0" w:oddVBand="0" w:evenVBand="0" w:oddHBand="0" w:evenHBand="0" w:firstRowFirstColumn="0" w:firstRowLastColumn="0" w:lastRowFirstColumn="0" w:lastRowLastColumn="0"/>
              <w:rPr>
                <w:lang w:val="en-US"/>
              </w:rPr>
            </w:pPr>
            <w:r w:rsidRPr="00577E90">
              <w:rPr>
                <w:lang w:val="en-US"/>
              </w:rPr>
              <w:t xml:space="preserve">Non-invasive blood pressure was used unless an arterial blood pressure was measured at the same time or within 6 minutes before or after the non-invasive blood pressure measurement. </w:t>
            </w:r>
          </w:p>
        </w:tc>
      </w:tr>
      <w:tr w:rsidR="00577E90" w:rsidRPr="00577E90" w14:paraId="3EA57CC5" w14:textId="77777777" w:rsidTr="00A1573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right w:val="single" w:sz="4" w:space="0" w:color="auto"/>
            </w:tcBorders>
            <w:shd w:val="clear" w:color="auto" w:fill="auto"/>
          </w:tcPr>
          <w:p w14:paraId="2792D639" w14:textId="77777777" w:rsidR="00A15738" w:rsidRPr="00577E90" w:rsidRDefault="00A15738" w:rsidP="00A15738">
            <w:pPr>
              <w:jc w:val="both"/>
              <w:rPr>
                <w:lang w:val="en-US"/>
              </w:rPr>
            </w:pPr>
            <w:r w:rsidRPr="00577E90">
              <w:rPr>
                <w:lang w:val="en-US"/>
              </w:rPr>
              <w:t>ETCO2</w:t>
            </w:r>
          </w:p>
        </w:tc>
        <w:tc>
          <w:tcPr>
            <w:tcW w:w="8227" w:type="dxa"/>
            <w:tcBorders>
              <w:left w:val="single" w:sz="4" w:space="0" w:color="auto"/>
            </w:tcBorders>
            <w:shd w:val="clear" w:color="auto" w:fill="auto"/>
          </w:tcPr>
          <w:p w14:paraId="473112A9" w14:textId="77777777" w:rsidR="00A15738" w:rsidRPr="00577E90" w:rsidRDefault="00A15738" w:rsidP="00A15738">
            <w:pPr>
              <w:numPr>
                <w:ilvl w:val="0"/>
                <w:numId w:val="2"/>
              </w:numPr>
              <w:jc w:val="both"/>
              <w:cnfStyle w:val="000000100000" w:firstRow="0" w:lastRow="0" w:firstColumn="0" w:lastColumn="0" w:oddVBand="0" w:evenVBand="0" w:oddHBand="1" w:evenHBand="0" w:firstRowFirstColumn="0" w:firstRowLastColumn="0" w:lastRowFirstColumn="0" w:lastRowLastColumn="0"/>
              <w:rPr>
                <w:lang w:val="en-US"/>
              </w:rPr>
            </w:pPr>
            <w:r w:rsidRPr="00577E90">
              <w:rPr>
                <w:lang w:val="en-US"/>
              </w:rPr>
              <w:t xml:space="preserve">At least 20 valid ETCO2 measurements (not consecutive) </w:t>
            </w:r>
          </w:p>
          <w:p w14:paraId="40A5C1F3" w14:textId="77777777" w:rsidR="00A15738" w:rsidRPr="00577E90" w:rsidRDefault="00A15738" w:rsidP="00A15738">
            <w:pPr>
              <w:numPr>
                <w:ilvl w:val="0"/>
                <w:numId w:val="2"/>
              </w:numPr>
              <w:jc w:val="both"/>
              <w:cnfStyle w:val="000000100000" w:firstRow="0" w:lastRow="0" w:firstColumn="0" w:lastColumn="0" w:oddVBand="0" w:evenVBand="0" w:oddHBand="1" w:evenHBand="0" w:firstRowFirstColumn="0" w:firstRowLastColumn="0" w:lastRowFirstColumn="0" w:lastRowLastColumn="0"/>
              <w:rPr>
                <w:lang w:val="en-US"/>
              </w:rPr>
            </w:pPr>
            <w:r w:rsidRPr="00577E90">
              <w:rPr>
                <w:lang w:val="en-US"/>
              </w:rPr>
              <w:t>Exclusion if no recorded ETCO2 &gt; 10 minutes uninterrupted</w:t>
            </w:r>
          </w:p>
          <w:p w14:paraId="320E57FA" w14:textId="77777777" w:rsidR="00A15738" w:rsidRPr="00577E90" w:rsidRDefault="00A15738" w:rsidP="00A15738">
            <w:pPr>
              <w:pStyle w:val="Lijstalinea"/>
              <w:numPr>
                <w:ilvl w:val="0"/>
                <w:numId w:val="2"/>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E90">
              <w:rPr>
                <w:rFonts w:ascii="Times New Roman" w:hAnsi="Times New Roman" w:cs="Times New Roman"/>
                <w:sz w:val="24"/>
                <w:szCs w:val="24"/>
              </w:rPr>
              <w:t xml:space="preserve">ETCO2 had to be between 10 and 65 mmHg </w:t>
            </w:r>
          </w:p>
          <w:p w14:paraId="6B51DD59" w14:textId="77777777" w:rsidR="00A15738" w:rsidRPr="00577E90" w:rsidRDefault="00A15738" w:rsidP="00A15738">
            <w:pPr>
              <w:pStyle w:val="Lijstalinea"/>
              <w:numPr>
                <w:ilvl w:val="0"/>
                <w:numId w:val="2"/>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E90">
              <w:rPr>
                <w:rFonts w:ascii="Times New Roman" w:hAnsi="Times New Roman" w:cs="Times New Roman"/>
                <w:sz w:val="24"/>
                <w:szCs w:val="24"/>
              </w:rPr>
              <w:t xml:space="preserve">Invalid when abrupt changes in ETCO2 values were seen, defined as </w:t>
            </w:r>
            <w:r w:rsidRPr="00577E90">
              <w:rPr>
                <w:rFonts w:ascii="Times New Roman" w:hAnsi="Times New Roman" w:cs="Times New Roman"/>
                <w:sz w:val="24"/>
                <w:szCs w:val="24"/>
              </w:rPr>
              <w:sym w:font="Symbol" w:char="F0B3"/>
            </w:r>
            <w:r w:rsidRPr="00577E90">
              <w:rPr>
                <w:rFonts w:ascii="Times New Roman" w:hAnsi="Times New Roman" w:cs="Times New Roman"/>
                <w:sz w:val="24"/>
                <w:szCs w:val="24"/>
              </w:rPr>
              <w:t xml:space="preserve"> 5mmHg change in either direction with a consecutive value changing back with at least 5 mmHg. </w:t>
            </w:r>
          </w:p>
        </w:tc>
      </w:tr>
      <w:tr w:rsidR="00577E90" w:rsidRPr="00577E90" w14:paraId="5FCBA966" w14:textId="77777777" w:rsidTr="00A15738">
        <w:trPr>
          <w:trHeight w:val="2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bottom w:val="single" w:sz="4" w:space="0" w:color="auto"/>
              <w:right w:val="single" w:sz="4" w:space="0" w:color="auto"/>
            </w:tcBorders>
            <w:shd w:val="clear" w:color="auto" w:fill="auto"/>
          </w:tcPr>
          <w:p w14:paraId="6DB05885" w14:textId="77777777" w:rsidR="00A15738" w:rsidRPr="00577E90" w:rsidRDefault="00A15738" w:rsidP="00A15738">
            <w:pPr>
              <w:jc w:val="both"/>
              <w:rPr>
                <w:lang w:val="en-US"/>
              </w:rPr>
            </w:pPr>
            <w:r w:rsidRPr="00577E90">
              <w:rPr>
                <w:lang w:val="en-US"/>
              </w:rPr>
              <w:t>RMV</w:t>
            </w:r>
          </w:p>
        </w:tc>
        <w:tc>
          <w:tcPr>
            <w:tcW w:w="8227" w:type="dxa"/>
            <w:tcBorders>
              <w:left w:val="single" w:sz="4" w:space="0" w:color="auto"/>
            </w:tcBorders>
            <w:shd w:val="clear" w:color="auto" w:fill="auto"/>
          </w:tcPr>
          <w:p w14:paraId="2140E70C" w14:textId="77777777" w:rsidR="00A15738" w:rsidRPr="00577E90" w:rsidRDefault="00A15738" w:rsidP="00A15738">
            <w:pPr>
              <w:pStyle w:val="Lijstalinea"/>
              <w:numPr>
                <w:ilvl w:val="0"/>
                <w:numId w:val="1"/>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E90">
              <w:rPr>
                <w:rFonts w:ascii="Times New Roman" w:hAnsi="Times New Roman" w:cs="Times New Roman"/>
                <w:sz w:val="24"/>
                <w:szCs w:val="24"/>
              </w:rPr>
              <w:t>Tidal volume had to be between 100 ml and 1000ml</w:t>
            </w:r>
          </w:p>
          <w:p w14:paraId="51EC6D3B" w14:textId="77777777" w:rsidR="00A15738" w:rsidRPr="00577E90" w:rsidRDefault="00A15738" w:rsidP="00A15738">
            <w:pPr>
              <w:pStyle w:val="Lijstalinea"/>
              <w:numPr>
                <w:ilvl w:val="0"/>
                <w:numId w:val="1"/>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E90">
              <w:rPr>
                <w:rFonts w:ascii="Times New Roman" w:hAnsi="Times New Roman" w:cs="Times New Roman"/>
                <w:sz w:val="24"/>
                <w:szCs w:val="24"/>
              </w:rPr>
              <w:t xml:space="preserve">Respiratory rate had to be between 4 and 25/minute </w:t>
            </w:r>
          </w:p>
          <w:p w14:paraId="76276146" w14:textId="77777777" w:rsidR="00A15738" w:rsidRPr="00577E90" w:rsidRDefault="00A15738" w:rsidP="00A15738">
            <w:pPr>
              <w:pStyle w:val="Lijstalinea"/>
              <w:numPr>
                <w:ilvl w:val="0"/>
                <w:numId w:val="1"/>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E90">
              <w:rPr>
                <w:rFonts w:ascii="Times New Roman" w:hAnsi="Times New Roman" w:cs="Times New Roman"/>
                <w:sz w:val="24"/>
                <w:szCs w:val="24"/>
              </w:rPr>
              <w:t xml:space="preserve">RMV had to be between 500 and 25000 ml/min </w:t>
            </w:r>
          </w:p>
        </w:tc>
      </w:tr>
    </w:tbl>
    <w:p w14:paraId="232E8858" w14:textId="77777777" w:rsidR="00A15738" w:rsidRPr="00577E90" w:rsidRDefault="00A15738" w:rsidP="00A15738">
      <w:pPr>
        <w:spacing w:line="480" w:lineRule="auto"/>
        <w:outlineLvl w:val="0"/>
        <w:rPr>
          <w:b/>
          <w:lang w:val="en-US"/>
        </w:rPr>
      </w:pPr>
      <w:r w:rsidRPr="00577E90">
        <w:rPr>
          <w:b/>
          <w:lang w:val="en-US"/>
        </w:rPr>
        <w:t xml:space="preserve">Table 1. Artifact filter </w:t>
      </w:r>
    </w:p>
    <w:p w14:paraId="4B316D16" w14:textId="77777777" w:rsidR="00A15738" w:rsidRPr="00577E90" w:rsidRDefault="00A15738" w:rsidP="00A15738">
      <w:pPr>
        <w:spacing w:line="360" w:lineRule="auto"/>
        <w:rPr>
          <w:rFonts w:eastAsia="Times New Roman"/>
          <w:i/>
          <w:sz w:val="20"/>
          <w:szCs w:val="20"/>
          <w:shd w:val="clear" w:color="auto" w:fill="FFFFFF"/>
          <w:lang w:val="en-US"/>
        </w:rPr>
      </w:pPr>
      <w:r w:rsidRPr="00577E90">
        <w:rPr>
          <w:i/>
          <w:sz w:val="20"/>
          <w:szCs w:val="20"/>
          <w:lang w:val="en-US"/>
        </w:rPr>
        <w:t xml:space="preserve">ETCO2: end-tidal carbon dioxide. MAP: mean arterial blood pressure. SBP: systolic blood pressure. </w:t>
      </w:r>
      <w:r w:rsidRPr="00577E90">
        <w:rPr>
          <w:rFonts w:eastAsia="Times New Roman"/>
          <w:i/>
          <w:sz w:val="20"/>
          <w:szCs w:val="20"/>
          <w:shd w:val="clear" w:color="auto" w:fill="FFFFFF"/>
          <w:lang w:val="en-US"/>
        </w:rPr>
        <w:t>DBP:</w:t>
      </w:r>
    </w:p>
    <w:p w14:paraId="4232CC05" w14:textId="77777777" w:rsidR="00A15738" w:rsidRPr="00577E90" w:rsidRDefault="00A15738" w:rsidP="00A15738">
      <w:pPr>
        <w:spacing w:line="360" w:lineRule="auto"/>
        <w:rPr>
          <w:rFonts w:eastAsia="Times New Roman"/>
          <w:i/>
          <w:sz w:val="20"/>
          <w:szCs w:val="20"/>
          <w:shd w:val="clear" w:color="auto" w:fill="FFFFFF"/>
          <w:lang w:val="en-US"/>
        </w:rPr>
      </w:pPr>
      <w:r w:rsidRPr="00577E90">
        <w:rPr>
          <w:rFonts w:eastAsia="Times New Roman"/>
          <w:i/>
          <w:sz w:val="20"/>
          <w:szCs w:val="20"/>
          <w:shd w:val="clear" w:color="auto" w:fill="FFFFFF"/>
          <w:lang w:val="en-US"/>
        </w:rPr>
        <w:t>diastolic blood pressure. RMV: respiratory minute volume (calculated measure: tidal volume * respiratory  rate)</w:t>
      </w:r>
    </w:p>
    <w:p w14:paraId="31C9AC4A" w14:textId="77777777" w:rsidR="00A15738" w:rsidRPr="00577E90" w:rsidRDefault="00A15738" w:rsidP="00A15738">
      <w:pPr>
        <w:rPr>
          <w:rFonts w:eastAsia="Times New Roman"/>
          <w:b/>
          <w:shd w:val="clear" w:color="auto" w:fill="FFFFFF"/>
          <w:lang w:val="en-US"/>
        </w:rPr>
      </w:pPr>
    </w:p>
    <w:p w14:paraId="20E36FDF" w14:textId="77777777" w:rsidR="00A15738" w:rsidRPr="00577E90" w:rsidRDefault="00A15738" w:rsidP="00A15738">
      <w:pPr>
        <w:rPr>
          <w:rFonts w:eastAsia="Times New Roman"/>
          <w:b/>
          <w:shd w:val="clear" w:color="auto" w:fill="FFFFFF"/>
          <w:lang w:val="en-US"/>
        </w:rPr>
      </w:pPr>
      <w:r w:rsidRPr="00577E90">
        <w:rPr>
          <w:rFonts w:eastAsia="Times New Roman"/>
          <w:b/>
          <w:shd w:val="clear" w:color="auto" w:fill="FFFFFF"/>
          <w:lang w:val="en-US"/>
        </w:rPr>
        <w:t xml:space="preserve">References </w:t>
      </w:r>
    </w:p>
    <w:p w14:paraId="50478172" w14:textId="77777777" w:rsidR="00A15738" w:rsidRPr="00577E90" w:rsidRDefault="00A15738" w:rsidP="00A15738">
      <w:pPr>
        <w:pStyle w:val="Lijstalinea"/>
        <w:widowControl w:val="0"/>
        <w:numPr>
          <w:ilvl w:val="0"/>
          <w:numId w:val="3"/>
        </w:numPr>
        <w:autoSpaceDE w:val="0"/>
        <w:autoSpaceDN w:val="0"/>
        <w:adjustRightInd w:val="0"/>
        <w:spacing w:line="480" w:lineRule="auto"/>
        <w:rPr>
          <w:rFonts w:ascii="Times New Roman" w:eastAsia="Times New Roman" w:hAnsi="Times New Roman" w:cs="Times New Roman"/>
          <w:noProof/>
          <w:sz w:val="24"/>
          <w:szCs w:val="24"/>
        </w:rPr>
      </w:pPr>
      <w:r w:rsidRPr="00577E90">
        <w:rPr>
          <w:rFonts w:ascii="Times New Roman" w:eastAsia="Times New Roman" w:hAnsi="Times New Roman" w:cs="Times New Roman"/>
          <w:noProof/>
          <w:sz w:val="24"/>
          <w:szCs w:val="24"/>
        </w:rPr>
        <w:t>Kool NP, Waes JAR van, Bijker JB, Peelen LM, Wolfswinkel L van, Graaff JC de, Klei WA van: Artifacts in research data obtained from an anesthesia information and management system. Can J Anaesth 2012; 59:833–41</w:t>
      </w:r>
    </w:p>
    <w:p w14:paraId="623DDE89" w14:textId="77777777" w:rsidR="00F763ED" w:rsidRPr="00577E90" w:rsidRDefault="00A15738" w:rsidP="00A15738">
      <w:pPr>
        <w:pStyle w:val="Lijstalinea"/>
        <w:widowControl w:val="0"/>
        <w:numPr>
          <w:ilvl w:val="0"/>
          <w:numId w:val="3"/>
        </w:numPr>
        <w:autoSpaceDE w:val="0"/>
        <w:autoSpaceDN w:val="0"/>
        <w:adjustRightInd w:val="0"/>
        <w:spacing w:line="480" w:lineRule="auto"/>
        <w:rPr>
          <w:rFonts w:ascii="Times New Roman" w:eastAsia="Times New Roman" w:hAnsi="Times New Roman" w:cs="Times New Roman"/>
          <w:noProof/>
          <w:sz w:val="24"/>
          <w:szCs w:val="24"/>
        </w:rPr>
      </w:pPr>
      <w:r w:rsidRPr="00577E90">
        <w:rPr>
          <w:rFonts w:ascii="Times New Roman" w:eastAsia="Times New Roman" w:hAnsi="Times New Roman" w:cs="Times New Roman"/>
          <w:noProof/>
          <w:sz w:val="24"/>
          <w:szCs w:val="24"/>
        </w:rPr>
        <w:t>Bender SP, Paganelli WC, Gerety LP, Tharp WG, Shanks AM, Housey M, Blank RS, Colquhoun DA, Fernandez-Bustamante A, Jameson LC, Kheterpal S: Intraoperative Lung-Protective Ventilation Trends and Practice Patterns. Anesth Analg 2015; 121:1231–9</w:t>
      </w:r>
    </w:p>
    <w:sectPr w:rsidR="00F763ED" w:rsidRPr="00577E90" w:rsidSect="00C8523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851F" w14:textId="77777777" w:rsidR="00D7396E" w:rsidRDefault="00D7396E">
      <w:r>
        <w:separator/>
      </w:r>
    </w:p>
  </w:endnote>
  <w:endnote w:type="continuationSeparator" w:id="0">
    <w:p w14:paraId="00EF2A0A" w14:textId="77777777" w:rsidR="00D7396E" w:rsidRDefault="00D7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185D7" w14:textId="77777777" w:rsidR="00F00117" w:rsidRDefault="00690025" w:rsidP="009F464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785695" w14:textId="77777777" w:rsidR="00F00117" w:rsidRDefault="00D7396E" w:rsidP="00FE0F7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A6EC" w14:textId="77777777" w:rsidR="00F00117" w:rsidRDefault="00690025" w:rsidP="009F464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396E">
      <w:rPr>
        <w:rStyle w:val="Paginanummer"/>
        <w:noProof/>
      </w:rPr>
      <w:t>1</w:t>
    </w:r>
    <w:r>
      <w:rPr>
        <w:rStyle w:val="Paginanummer"/>
      </w:rPr>
      <w:fldChar w:fldCharType="end"/>
    </w:r>
  </w:p>
  <w:p w14:paraId="551A88DF" w14:textId="77777777" w:rsidR="00F00117" w:rsidRDefault="00D7396E" w:rsidP="00FE0F7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89B1" w14:textId="77777777" w:rsidR="00D7396E" w:rsidRDefault="00D7396E">
      <w:r>
        <w:separator/>
      </w:r>
    </w:p>
  </w:footnote>
  <w:footnote w:type="continuationSeparator" w:id="0">
    <w:p w14:paraId="1BE7DDAA" w14:textId="77777777" w:rsidR="00D7396E" w:rsidRDefault="00D73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F4E17"/>
    <w:multiLevelType w:val="hybridMultilevel"/>
    <w:tmpl w:val="1D8E1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07137A"/>
    <w:multiLevelType w:val="hybridMultilevel"/>
    <w:tmpl w:val="A342CC68"/>
    <w:lvl w:ilvl="0" w:tplc="A942F79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C252FC"/>
    <w:multiLevelType w:val="hybridMultilevel"/>
    <w:tmpl w:val="FC5622FE"/>
    <w:lvl w:ilvl="0" w:tplc="A942F790">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38"/>
    <w:rsid w:val="00162C36"/>
    <w:rsid w:val="00171461"/>
    <w:rsid w:val="001C4328"/>
    <w:rsid w:val="001F6E84"/>
    <w:rsid w:val="002140C5"/>
    <w:rsid w:val="002877B6"/>
    <w:rsid w:val="002F5E1E"/>
    <w:rsid w:val="003477D5"/>
    <w:rsid w:val="003815C1"/>
    <w:rsid w:val="003951A0"/>
    <w:rsid w:val="0048252F"/>
    <w:rsid w:val="00482F33"/>
    <w:rsid w:val="004D4A2A"/>
    <w:rsid w:val="00523059"/>
    <w:rsid w:val="0055097F"/>
    <w:rsid w:val="00554CDD"/>
    <w:rsid w:val="00577E90"/>
    <w:rsid w:val="00593C97"/>
    <w:rsid w:val="00645AEA"/>
    <w:rsid w:val="00690025"/>
    <w:rsid w:val="007C2B3A"/>
    <w:rsid w:val="00862A4C"/>
    <w:rsid w:val="00936931"/>
    <w:rsid w:val="009E5E5F"/>
    <w:rsid w:val="00A15738"/>
    <w:rsid w:val="00A51791"/>
    <w:rsid w:val="00A53091"/>
    <w:rsid w:val="00A72A78"/>
    <w:rsid w:val="00A77ACE"/>
    <w:rsid w:val="00A97FE6"/>
    <w:rsid w:val="00AB629D"/>
    <w:rsid w:val="00AC342A"/>
    <w:rsid w:val="00C61B4E"/>
    <w:rsid w:val="00C85235"/>
    <w:rsid w:val="00D0487D"/>
    <w:rsid w:val="00D15449"/>
    <w:rsid w:val="00D43EE4"/>
    <w:rsid w:val="00D51632"/>
    <w:rsid w:val="00D7396E"/>
    <w:rsid w:val="00EA119D"/>
    <w:rsid w:val="00ED54AD"/>
    <w:rsid w:val="00FA03E7"/>
    <w:rsid w:val="00FE6D82"/>
    <w:rsid w:val="00FF5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532A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738"/>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A15738"/>
    <w:rPr>
      <w:sz w:val="18"/>
      <w:szCs w:val="18"/>
    </w:rPr>
  </w:style>
  <w:style w:type="paragraph" w:styleId="Tekstopmerking">
    <w:name w:val="annotation text"/>
    <w:basedOn w:val="Standaard"/>
    <w:link w:val="TekstopmerkingTeken"/>
    <w:uiPriority w:val="99"/>
    <w:unhideWhenUsed/>
    <w:rsid w:val="00A15738"/>
    <w:pPr>
      <w:spacing w:before="200" w:after="200"/>
    </w:pPr>
    <w:rPr>
      <w:rFonts w:asciiTheme="minorHAnsi" w:eastAsiaTheme="minorEastAsia" w:hAnsiTheme="minorHAnsi" w:cstheme="minorBidi"/>
      <w:lang w:val="en-US" w:eastAsia="en-US"/>
    </w:rPr>
  </w:style>
  <w:style w:type="character" w:customStyle="1" w:styleId="TekstopmerkingTeken">
    <w:name w:val="Tekst opmerking Teken"/>
    <w:basedOn w:val="Standaardalinea-lettertype"/>
    <w:link w:val="Tekstopmerking"/>
    <w:uiPriority w:val="99"/>
    <w:rsid w:val="00A15738"/>
    <w:rPr>
      <w:rFonts w:eastAsiaTheme="minorEastAsia"/>
      <w:lang w:val="en-US"/>
    </w:rPr>
  </w:style>
  <w:style w:type="paragraph" w:styleId="Ballontekst">
    <w:name w:val="Balloon Text"/>
    <w:basedOn w:val="Standaard"/>
    <w:link w:val="BallontekstTeken"/>
    <w:uiPriority w:val="99"/>
    <w:semiHidden/>
    <w:unhideWhenUsed/>
    <w:rsid w:val="00A15738"/>
    <w:rPr>
      <w:sz w:val="18"/>
      <w:szCs w:val="18"/>
    </w:rPr>
  </w:style>
  <w:style w:type="character" w:customStyle="1" w:styleId="BallontekstTeken">
    <w:name w:val="Ballontekst Teken"/>
    <w:basedOn w:val="Standaardalinea-lettertype"/>
    <w:link w:val="Ballontekst"/>
    <w:uiPriority w:val="99"/>
    <w:semiHidden/>
    <w:rsid w:val="00A15738"/>
    <w:rPr>
      <w:rFonts w:ascii="Times New Roman" w:hAnsi="Times New Roman" w:cs="Times New Roman"/>
      <w:sz w:val="18"/>
      <w:szCs w:val="18"/>
      <w:lang w:eastAsia="nl-NL"/>
    </w:rPr>
  </w:style>
  <w:style w:type="paragraph" w:styleId="Lijstalinea">
    <w:name w:val="List Paragraph"/>
    <w:basedOn w:val="Standaard"/>
    <w:uiPriority w:val="34"/>
    <w:qFormat/>
    <w:rsid w:val="00A15738"/>
    <w:pPr>
      <w:spacing w:before="200" w:after="200" w:line="276" w:lineRule="auto"/>
      <w:ind w:left="720"/>
      <w:contextualSpacing/>
    </w:pPr>
    <w:rPr>
      <w:rFonts w:asciiTheme="minorHAnsi" w:eastAsiaTheme="minorEastAsia" w:hAnsiTheme="minorHAnsi" w:cstheme="minorBidi"/>
      <w:sz w:val="20"/>
      <w:szCs w:val="20"/>
      <w:lang w:val="en-US" w:eastAsia="en-US"/>
    </w:rPr>
  </w:style>
  <w:style w:type="character" w:styleId="Paginanummer">
    <w:name w:val="page number"/>
    <w:basedOn w:val="Standaardalinea-lettertype"/>
    <w:unhideWhenUsed/>
    <w:rsid w:val="00A15738"/>
  </w:style>
  <w:style w:type="table" w:customStyle="1" w:styleId="Lijsttabel41">
    <w:name w:val="Lijsttabel 41"/>
    <w:basedOn w:val="Standaardtabel"/>
    <w:uiPriority w:val="49"/>
    <w:rsid w:val="00A1573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oettekst">
    <w:name w:val="footer"/>
    <w:basedOn w:val="Standaard"/>
    <w:link w:val="VoettekstTeken"/>
    <w:uiPriority w:val="99"/>
    <w:unhideWhenUsed/>
    <w:rsid w:val="00A15738"/>
    <w:pPr>
      <w:tabs>
        <w:tab w:val="center" w:pos="4536"/>
        <w:tab w:val="right" w:pos="9072"/>
      </w:tabs>
    </w:pPr>
  </w:style>
  <w:style w:type="character" w:customStyle="1" w:styleId="VoettekstTeken">
    <w:name w:val="Voettekst Teken"/>
    <w:basedOn w:val="Standaardalinea-lettertype"/>
    <w:link w:val="Voettekst"/>
    <w:uiPriority w:val="99"/>
    <w:rsid w:val="00A15738"/>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2602</Characters>
  <Application>Microsoft Macintosh Word</Application>
  <DocSecurity>0</DocSecurity>
  <Lines>21</Lines>
  <Paragraphs>6</Paragraphs>
  <ScaleCrop>false</ScaleCrop>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2018-08-25T15:13:00Z</dcterms:created>
  <dcterms:modified xsi:type="dcterms:W3CDTF">2018-09-01T08:19:00Z</dcterms:modified>
</cp:coreProperties>
</file>