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EFD6A" w14:textId="4454A5C8" w:rsidR="00824C86" w:rsidRPr="005672EA" w:rsidRDefault="00AF2771" w:rsidP="00824C86">
      <w:pPr>
        <w:rPr>
          <w:i/>
          <w:sz w:val="28"/>
          <w:szCs w:val="28"/>
        </w:rPr>
      </w:pPr>
      <w:r>
        <w:rPr>
          <w:b/>
          <w:sz w:val="28"/>
          <w:szCs w:val="28"/>
        </w:rPr>
        <w:t>Supplemental Digital Content 4</w:t>
      </w:r>
      <w:r w:rsidR="00FC40A7" w:rsidRPr="005672EA">
        <w:rPr>
          <w:b/>
          <w:sz w:val="28"/>
          <w:szCs w:val="28"/>
        </w:rPr>
        <w:t xml:space="preserve">:  </w:t>
      </w:r>
      <w:r w:rsidR="00C46487" w:rsidRPr="00236825">
        <w:rPr>
          <w:b/>
          <w:sz w:val="28"/>
          <w:szCs w:val="28"/>
        </w:rPr>
        <w:t>Question 1d, (</w:t>
      </w:r>
      <w:r w:rsidR="00FC40A7" w:rsidRPr="00236825">
        <w:rPr>
          <w:b/>
          <w:sz w:val="28"/>
          <w:szCs w:val="28"/>
        </w:rPr>
        <w:t xml:space="preserve">Query </w:t>
      </w:r>
      <w:r w:rsidRPr="00236825">
        <w:rPr>
          <w:b/>
          <w:sz w:val="28"/>
          <w:szCs w:val="28"/>
        </w:rPr>
        <w:t>4</w:t>
      </w:r>
      <w:r w:rsidR="00EA6A3A" w:rsidRPr="00236825">
        <w:rPr>
          <w:b/>
          <w:sz w:val="28"/>
          <w:szCs w:val="28"/>
        </w:rPr>
        <w:t>)</w:t>
      </w:r>
      <w:r w:rsidR="002774FD" w:rsidRPr="00236825">
        <w:rPr>
          <w:b/>
          <w:sz w:val="28"/>
          <w:szCs w:val="28"/>
        </w:rPr>
        <w:t>.</w:t>
      </w:r>
      <w:r w:rsidR="002774FD">
        <w:rPr>
          <w:b/>
          <w:sz w:val="28"/>
          <w:szCs w:val="28"/>
        </w:rPr>
        <w:t xml:space="preserve">  </w:t>
      </w:r>
      <w:r w:rsidR="00824C86" w:rsidRPr="005672EA">
        <w:rPr>
          <w:b/>
          <w:sz w:val="28"/>
          <w:szCs w:val="28"/>
        </w:rPr>
        <w:t xml:space="preserve">What is the succinylcholine administration </w:t>
      </w:r>
      <w:r w:rsidR="00FC40A7" w:rsidRPr="005672EA">
        <w:rPr>
          <w:b/>
          <w:sz w:val="28"/>
          <w:szCs w:val="28"/>
        </w:rPr>
        <w:t xml:space="preserve">rate </w:t>
      </w:r>
      <w:r w:rsidR="00824C86" w:rsidRPr="005672EA">
        <w:rPr>
          <w:b/>
          <w:sz w:val="28"/>
          <w:szCs w:val="28"/>
        </w:rPr>
        <w:t xml:space="preserve">in </w:t>
      </w:r>
      <w:r>
        <w:rPr>
          <w:b/>
          <w:sz w:val="28"/>
          <w:szCs w:val="28"/>
        </w:rPr>
        <w:t>medical</w:t>
      </w:r>
      <w:r w:rsidR="00E47BE0" w:rsidRPr="005672EA">
        <w:rPr>
          <w:b/>
          <w:sz w:val="28"/>
          <w:szCs w:val="28"/>
        </w:rPr>
        <w:t>/</w:t>
      </w:r>
      <w:r w:rsidR="00FC40A7" w:rsidRPr="005672EA">
        <w:rPr>
          <w:b/>
          <w:sz w:val="28"/>
          <w:szCs w:val="28"/>
        </w:rPr>
        <w:t>oral surgical/</w:t>
      </w:r>
      <w:r w:rsidR="00824C86" w:rsidRPr="005672EA">
        <w:rPr>
          <w:b/>
          <w:sz w:val="28"/>
          <w:szCs w:val="28"/>
        </w:rPr>
        <w:t xml:space="preserve">dental offices that sedate or anesthetize patients? </w:t>
      </w:r>
      <w:bookmarkStart w:id="0" w:name="_GoBack"/>
      <w:bookmarkEnd w:id="0"/>
    </w:p>
    <w:p w14:paraId="30F67C4E" w14:textId="04CD33DD" w:rsidR="00E47BE0" w:rsidRDefault="00073C13">
      <w:r>
        <w:rPr>
          <w:noProof/>
        </w:rPr>
        <mc:AlternateContent>
          <mc:Choice Requires="wps">
            <w:drawing>
              <wp:anchor distT="0" distB="0" distL="114300" distR="114300" simplePos="0" relativeHeight="251742208" behindDoc="0" locked="0" layoutInCell="1" allowOverlap="1" wp14:anchorId="15E644C7" wp14:editId="3DE93247">
                <wp:simplePos x="0" y="0"/>
                <wp:positionH relativeFrom="column">
                  <wp:posOffset>1943100</wp:posOffset>
                </wp:positionH>
                <wp:positionV relativeFrom="paragraph">
                  <wp:posOffset>4937760</wp:posOffset>
                </wp:positionV>
                <wp:extent cx="1714500" cy="685800"/>
                <wp:effectExtent l="0" t="0" r="12700" b="12700"/>
                <wp:wrapNone/>
                <wp:docPr id="6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AB1CA66" w14:textId="77777777" w:rsidR="00F40FA9" w:rsidRDefault="00F40FA9" w:rsidP="00E47BE0">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03725" id="Rectangle 103" o:spid="_x0000_s1062" style="position:absolute;margin-left:153pt;margin-top:388.8pt;width:135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">
                <v:path arrowok="t"/>
                <v:textbox inset=",7.2pt,,7.2pt">
                  <w:txbxContent>
                    <w:p w14:paraId="0E3B8DC0" w14:textId="30EBD5A4" w:rsidR="00726212" w:rsidRDefault="00726212" w:rsidP="00E47BE0">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1)</w:t>
                      </w: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363A992C" wp14:editId="0112FC7D">
                <wp:simplePos x="0" y="0"/>
                <wp:positionH relativeFrom="column">
                  <wp:posOffset>1257300</wp:posOffset>
                </wp:positionH>
                <wp:positionV relativeFrom="paragraph">
                  <wp:posOffset>1965960</wp:posOffset>
                </wp:positionV>
                <wp:extent cx="2771775" cy="676275"/>
                <wp:effectExtent l="0" t="0" r="9525" b="9525"/>
                <wp:wrapNone/>
                <wp:docPr id="6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676275"/>
                        </a:xfrm>
                        <a:prstGeom prst="rect">
                          <a:avLst/>
                        </a:prstGeom>
                        <a:solidFill>
                          <a:srgbClr val="FFFFFF"/>
                        </a:solidFill>
                        <a:ln w="9525">
                          <a:solidFill>
                            <a:srgbClr val="000000"/>
                          </a:solidFill>
                          <a:miter lim="800000"/>
                          <a:headEnd/>
                          <a:tailEnd/>
                        </a:ln>
                      </wps:spPr>
                      <wps:txbx>
                        <w:txbxContent>
                          <w:p w14:paraId="0BC61E0D" w14:textId="77777777" w:rsidR="00F40FA9" w:rsidRDefault="00F40FA9" w:rsidP="00E47BE0">
                            <w:pPr>
                              <w:jc w:val="center"/>
                              <w:rPr>
                                <w:rFonts w:ascii="Calibri" w:hAnsi="Calibri"/>
                                <w:sz w:val="22"/>
                                <w:szCs w:val="22"/>
                              </w:rPr>
                            </w:pPr>
                            <w:r>
                              <w:rPr>
                                <w:rFonts w:ascii="Calibri" w:hAnsi="Calibri"/>
                                <w:sz w:val="22"/>
                                <w:szCs w:val="22"/>
                              </w:rPr>
                              <w:t>Records remaining after non-human, non-English abstracts, and duplicates removed (n= 25)</w:t>
                            </w:r>
                          </w:p>
                          <w:p w14:paraId="4A7BA0CE" w14:textId="77777777" w:rsidR="00F40FA9" w:rsidRDefault="00F40FA9" w:rsidP="00E47BE0">
                            <w:pPr>
                              <w:jc w:val="center"/>
                              <w:rPr>
                                <w:rFonts w:ascii="Calibri" w:hAnsi="Calibri"/>
                                <w:sz w:val="22"/>
                                <w:szCs w:val="22"/>
                                <w:lang w:val="en"/>
                              </w:rPr>
                            </w:pPr>
                            <w:r>
                              <w:rPr>
                                <w:rFonts w:ascii="Calibri" w:hAnsi="Calibri"/>
                                <w:sz w:val="22"/>
                                <w:szCs w:val="22"/>
                              </w:rPr>
                              <w:br/>
                              <w:t>(</w:t>
                            </w:r>
                            <w:proofErr w:type="gramStart"/>
                            <w:r>
                              <w:rPr>
                                <w:rFonts w:ascii="Calibri" w:hAnsi="Calibri"/>
                                <w:sz w:val="22"/>
                                <w:szCs w:val="22"/>
                              </w:rPr>
                              <w:t>n</w:t>
                            </w:r>
                            <w:proofErr w:type="gramEnd"/>
                            <w:r>
                              <w:rPr>
                                <w:rFonts w:ascii="Calibri" w:hAnsi="Calibri"/>
                                <w:sz w:val="22"/>
                                <w:szCs w:val="22"/>
                              </w:rPr>
                              <w:t xml:space="preserve">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A04E26" id="Rectangle 100" o:spid="_x0000_s1063" style="position:absolute;margin-left:99pt;margin-top:154.8pt;width:218.25pt;height:5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">
                <v:path arrowok="t"/>
                <v:textbox inset=",7.2pt,,7.2pt">
                  <w:txbxContent>
                    <w:p w14:paraId="783C29A3" w14:textId="59696C57" w:rsidR="00726212" w:rsidRDefault="00726212" w:rsidP="00E47BE0">
                      <w:pPr>
                        <w:jc w:val="center"/>
                        <w:rPr>
                          <w:rFonts w:ascii="Calibri" w:hAnsi="Calibri"/>
                          <w:sz w:val="22"/>
                          <w:szCs w:val="22"/>
                        </w:rPr>
                      </w:pPr>
                      <w:r>
                        <w:rPr>
                          <w:rFonts w:ascii="Calibri" w:hAnsi="Calibri"/>
                          <w:sz w:val="22"/>
                          <w:szCs w:val="22"/>
                        </w:rPr>
                        <w:t>Records remaining after non-human, non-English abstracts, and duplicates removed (n= 25)</w:t>
                      </w:r>
                    </w:p>
                    <w:p w14:paraId="37163BCA" w14:textId="77777777" w:rsidR="00726212" w:rsidRDefault="00726212" w:rsidP="00E47BE0">
                      <w:pPr>
                        <w:jc w:val="center"/>
                        <w:rPr>
                          <w:rFonts w:ascii="Calibri" w:hAnsi="Calibri"/>
                          <w:sz w:val="22"/>
                          <w:szCs w:val="22"/>
                          <w:lang w:val="en"/>
                        </w:rPr>
                      </w:pP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506CF02C" wp14:editId="7E469AA1">
                <wp:simplePos x="0" y="0"/>
                <wp:positionH relativeFrom="column">
                  <wp:posOffset>2971800</wp:posOffset>
                </wp:positionH>
                <wp:positionV relativeFrom="paragraph">
                  <wp:posOffset>480060</wp:posOffset>
                </wp:positionV>
                <wp:extent cx="2228850" cy="876300"/>
                <wp:effectExtent l="0" t="0" r="19050" b="12700"/>
                <wp:wrapNone/>
                <wp:docPr id="6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876300"/>
                        </a:xfrm>
                        <a:prstGeom prst="rect">
                          <a:avLst/>
                        </a:prstGeom>
                        <a:solidFill>
                          <a:srgbClr val="FFFFFF"/>
                        </a:solidFill>
                        <a:ln w="9525">
                          <a:solidFill>
                            <a:srgbClr val="000000"/>
                          </a:solidFill>
                          <a:miter lim="800000"/>
                          <a:headEnd/>
                          <a:tailEnd/>
                        </a:ln>
                      </wps:spPr>
                      <wps:txbx>
                        <w:txbxContent>
                          <w:p w14:paraId="160807DA" w14:textId="77777777" w:rsidR="00F40FA9" w:rsidRDefault="00F40FA9" w:rsidP="00E47BE0">
                            <w:pPr>
                              <w:jc w:val="center"/>
                              <w:rPr>
                                <w:rFonts w:ascii="Calibri" w:hAnsi="Calibri"/>
                                <w:sz w:val="22"/>
                                <w:szCs w:val="22"/>
                                <w:lang w:val="en"/>
                              </w:rPr>
                            </w:pPr>
                            <w:r>
                              <w:rPr>
                                <w:rFonts w:ascii="Calibri" w:hAnsi="Calibri"/>
                                <w:sz w:val="22"/>
                                <w:szCs w:val="22"/>
                              </w:rPr>
                              <w:t>Additional records identified through other sources (OVID, Cochrane, Google, West Law) (n=24)</w:t>
                            </w:r>
                            <w:r>
                              <w:rPr>
                                <w:rFonts w:ascii="Calibri" w:hAnsi="Calibri"/>
                                <w:sz w:val="22"/>
                                <w:szCs w:val="22"/>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E2DB20" id="Rectangle 99" o:spid="_x0000_s1064" style="position:absolute;margin-left:234pt;margin-top:37.8pt;width:175.5pt;height: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">
                <v:path arrowok="t"/>
                <v:textbox inset=",7.2pt,,7.2pt">
                  <w:txbxContent>
                    <w:p w14:paraId="0EFB36C7" w14:textId="20D283F7" w:rsidR="00726212" w:rsidRDefault="00726212" w:rsidP="00E47BE0">
                      <w:pPr>
                        <w:jc w:val="center"/>
                        <w:rPr>
                          <w:rFonts w:ascii="Calibri" w:hAnsi="Calibri"/>
                          <w:sz w:val="22"/>
                          <w:szCs w:val="22"/>
                          <w:lang w:val="en"/>
                        </w:rPr>
                      </w:pPr>
                      <w:r>
                        <w:rPr>
                          <w:rFonts w:ascii="Calibri" w:hAnsi="Calibri"/>
                          <w:sz w:val="22"/>
                          <w:szCs w:val="22"/>
                        </w:rPr>
                        <w:t>Additional records identified through other sources (OVID, Cochrane, Google, West Law) (n=24)</w:t>
                      </w:r>
                      <w:r>
                        <w:rPr>
                          <w:rFonts w:ascii="Calibri" w:hAnsi="Calibri"/>
                          <w:sz w:val="22"/>
                          <w:szCs w:val="22"/>
                        </w:rPr>
                        <w:br/>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75A70533" wp14:editId="237F7954">
                <wp:simplePos x="0" y="0"/>
                <wp:positionH relativeFrom="column">
                  <wp:posOffset>342900</wp:posOffset>
                </wp:positionH>
                <wp:positionV relativeFrom="paragraph">
                  <wp:posOffset>480060</wp:posOffset>
                </wp:positionV>
                <wp:extent cx="2228850" cy="873125"/>
                <wp:effectExtent l="0" t="0" r="19050" b="15875"/>
                <wp:wrapNone/>
                <wp:docPr id="6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873125"/>
                        </a:xfrm>
                        <a:prstGeom prst="rect">
                          <a:avLst/>
                        </a:prstGeom>
                        <a:solidFill>
                          <a:srgbClr val="FFFFFF"/>
                        </a:solidFill>
                        <a:ln w="9525">
                          <a:solidFill>
                            <a:srgbClr val="000000"/>
                          </a:solidFill>
                          <a:miter lim="800000"/>
                          <a:headEnd/>
                          <a:tailEnd/>
                        </a:ln>
                      </wps:spPr>
                      <wps:txbx>
                        <w:txbxContent>
                          <w:p w14:paraId="2B41A3CF" w14:textId="77777777" w:rsidR="00F40FA9" w:rsidRDefault="00F40FA9" w:rsidP="00E47BE0">
                            <w:pPr>
                              <w:jc w:val="center"/>
                              <w:rPr>
                                <w:rFonts w:ascii="Calibri" w:hAnsi="Calibri"/>
                                <w:sz w:val="22"/>
                                <w:szCs w:val="22"/>
                                <w:lang w:val="en"/>
                              </w:rPr>
                            </w:pPr>
                            <w:r>
                              <w:rPr>
                                <w:rFonts w:ascii="Calibri" w:hAnsi="Calibri"/>
                                <w:sz w:val="22"/>
                                <w:szCs w:val="22"/>
                              </w:rPr>
                              <w:t>Records identified through PubMed database searching</w:t>
                            </w:r>
                            <w:r>
                              <w:rPr>
                                <w:rFonts w:ascii="Calibri" w:hAnsi="Calibri"/>
                                <w:sz w:val="22"/>
                                <w:szCs w:val="22"/>
                              </w:rPr>
                              <w:b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D33DD" id="Rectangle 92" o:spid="_x0000_s1065" style="position:absolute;margin-left:27pt;margin-top:37.8pt;width:175.5pt;height:6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">
                <v:path arrowok="t"/>
                <v:textbox inset=",7.2pt,,7.2pt">
                  <w:txbxContent>
                    <w:p w14:paraId="5124E3D2" w14:textId="348D0683" w:rsidR="00726212" w:rsidRDefault="00726212" w:rsidP="00E47BE0">
                      <w:pPr>
                        <w:jc w:val="center"/>
                        <w:rPr>
                          <w:rFonts w:ascii="Calibri" w:hAnsi="Calibri"/>
                          <w:sz w:val="22"/>
                          <w:szCs w:val="22"/>
                          <w:lang w:val="en"/>
                        </w:rPr>
                      </w:pPr>
                      <w:r>
                        <w:rPr>
                          <w:rFonts w:ascii="Calibri" w:hAnsi="Calibri"/>
                          <w:sz w:val="22"/>
                          <w:szCs w:val="22"/>
                        </w:rPr>
                        <w:t>Records identified through PubMed database searching</w:t>
                      </w:r>
                      <w:r>
                        <w:rPr>
                          <w:rFonts w:ascii="Calibri" w:hAnsi="Calibri"/>
                          <w:sz w:val="22"/>
                          <w:szCs w:val="22"/>
                        </w:rPr>
                        <w:br/>
                        <w:t>(n = 1)</w:t>
                      </w:r>
                    </w:p>
                  </w:txbxContent>
                </v:textbox>
              </v:rect>
            </w:pict>
          </mc:Fallback>
        </mc:AlternateContent>
      </w:r>
      <w:r>
        <w:rPr>
          <w:noProof/>
        </w:rPr>
        <mc:AlternateContent>
          <mc:Choice Requires="wps">
            <w:drawing>
              <wp:anchor distT="36576" distB="36576" distL="36576" distR="36576" simplePos="0" relativeHeight="251744256" behindDoc="0" locked="0" layoutInCell="1" allowOverlap="1" wp14:anchorId="6C5E5278" wp14:editId="798EC651">
                <wp:simplePos x="0" y="0"/>
                <wp:positionH relativeFrom="column">
                  <wp:posOffset>2743200</wp:posOffset>
                </wp:positionH>
                <wp:positionV relativeFrom="paragraph">
                  <wp:posOffset>4354830</wp:posOffset>
                </wp:positionV>
                <wp:extent cx="0" cy="576580"/>
                <wp:effectExtent l="63500" t="0" r="38100" b="33020"/>
                <wp:wrapNone/>
                <wp:docPr id="6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65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C9C4C" id="AutoShape 105" o:spid="_x0000_s1026" type="#_x0000_t32" style="position:absolute;margin-left:3in;margin-top:342.9pt;width:0;height:45.4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">
                <v:stroke endarrow="block"/>
                <v:shadow color="#ccc"/>
                <o:lock v:ext="edit" shapetype="f"/>
              </v:shape>
            </w:pict>
          </mc:Fallback>
        </mc:AlternateContent>
      </w:r>
      <w:r>
        <w:rPr>
          <w:noProof/>
        </w:rPr>
        <mc:AlternateContent>
          <mc:Choice Requires="wps">
            <w:drawing>
              <wp:anchor distT="0" distB="0" distL="114300" distR="114300" simplePos="0" relativeHeight="251732992" behindDoc="0" locked="0" layoutInCell="1" allowOverlap="1" wp14:anchorId="04EAD94A" wp14:editId="190BFD57">
                <wp:simplePos x="0" y="0"/>
                <wp:positionH relativeFrom="column">
                  <wp:posOffset>-818515</wp:posOffset>
                </wp:positionH>
                <wp:positionV relativeFrom="paragraph">
                  <wp:posOffset>5163820</wp:posOffset>
                </wp:positionV>
                <wp:extent cx="1019175" cy="297180"/>
                <wp:effectExtent l="5398" t="0" r="14922" b="14923"/>
                <wp:wrapNone/>
                <wp:docPr id="5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19175" cy="297180"/>
                        </a:xfrm>
                        <a:prstGeom prst="roundRect">
                          <a:avLst>
                            <a:gd name="adj" fmla="val 16667"/>
                          </a:avLst>
                        </a:prstGeom>
                        <a:solidFill>
                          <a:srgbClr val="CCECFF"/>
                        </a:solidFill>
                        <a:ln w="9525">
                          <a:solidFill>
                            <a:srgbClr val="000000"/>
                          </a:solidFill>
                          <a:round/>
                          <a:headEnd/>
                          <a:tailEnd/>
                        </a:ln>
                      </wps:spPr>
                      <wps:txbx>
                        <w:txbxContent>
                          <w:p w14:paraId="059693B5" w14:textId="77777777" w:rsidR="00F40FA9" w:rsidRDefault="00F40FA9" w:rsidP="00E47BE0">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0" style="position:absolute;margin-left:-64.4pt;margin-top:406.6pt;width:80.25pt;height:23.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" fillcolor="#ccecff">
                <v:path arrowok="t"/>
                <v:textbox style="layout-flow:vertical;mso-layout-flow-alt:bottom-to-top" inset="3.6pt,,3.6pt">
                  <w:txbxContent>
                    <w:p w14:paraId="059693B5" w14:textId="77777777" w:rsidR="00726212" w:rsidRDefault="00726212" w:rsidP="00E47BE0">
                      <w:pPr>
                        <w:pStyle w:val="Heading2"/>
                        <w:keepNext/>
                        <w:rPr>
                          <w:rFonts w:ascii="Calibri" w:hAnsi="Calibri"/>
                          <w:lang w:val="en"/>
                        </w:rPr>
                      </w:pPr>
                      <w:r>
                        <w:rPr>
                          <w:rFonts w:ascii="Calibri" w:hAnsi="Calibri"/>
                          <w:lang w:val="en"/>
                        </w:rPr>
                        <w:t>Included</w:t>
                      </w:r>
                    </w:p>
                  </w:txbxContent>
                </v:textbox>
              </v:roundrect>
            </w:pict>
          </mc:Fallback>
        </mc:AlternateContent>
      </w:r>
      <w:r>
        <w:rPr>
          <w:noProof/>
        </w:rPr>
        <mc:AlternateContent>
          <mc:Choice Requires="wps">
            <w:drawing>
              <wp:anchor distT="0" distB="0" distL="114300" distR="114300" simplePos="0" relativeHeight="251734016" behindDoc="0" locked="0" layoutInCell="1" allowOverlap="1" wp14:anchorId="21F52B58" wp14:editId="558C9241">
                <wp:simplePos x="0" y="0"/>
                <wp:positionH relativeFrom="column">
                  <wp:posOffset>-994410</wp:posOffset>
                </wp:positionH>
                <wp:positionV relativeFrom="paragraph">
                  <wp:posOffset>3834765</wp:posOffset>
                </wp:positionV>
                <wp:extent cx="1371600" cy="297180"/>
                <wp:effectExtent l="3810" t="0" r="16510" b="16510"/>
                <wp:wrapNone/>
                <wp:docPr id="5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A8ED2E7" w14:textId="77777777" w:rsidR="00F40FA9" w:rsidRDefault="00F40FA9" w:rsidP="00E47BE0">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94B088" id="AutoShape 95" o:spid="_x0000_s1067" style="position:absolute;margin-left:-78.3pt;margin-top:301.95pt;width:108pt;height:23.4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" fillcolor="#ccecff">
                <v:path arrowok="t"/>
                <v:textbox style="layout-flow:vertical;mso-layout-flow-alt:bottom-to-top" inset="3.6pt,,3.6pt">
                  <w:txbxContent>
                    <w:p w14:paraId="76D77657" w14:textId="77777777" w:rsidR="00726212" w:rsidRDefault="00726212" w:rsidP="00E47BE0">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rPr>
        <mc:AlternateContent>
          <mc:Choice Requires="wps">
            <w:drawing>
              <wp:anchor distT="0" distB="0" distL="114300" distR="114300" simplePos="0" relativeHeight="251731968" behindDoc="0" locked="0" layoutInCell="1" allowOverlap="1" wp14:anchorId="0CD3A5CD" wp14:editId="2E8C6950">
                <wp:simplePos x="0" y="0"/>
                <wp:positionH relativeFrom="column">
                  <wp:posOffset>-1056640</wp:posOffset>
                </wp:positionH>
                <wp:positionV relativeFrom="paragraph">
                  <wp:posOffset>2306320</wp:posOffset>
                </wp:positionV>
                <wp:extent cx="1495425" cy="297180"/>
                <wp:effectExtent l="2223" t="0" r="18097" b="18098"/>
                <wp:wrapNone/>
                <wp:docPr id="5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95425" cy="297180"/>
                        </a:xfrm>
                        <a:prstGeom prst="roundRect">
                          <a:avLst>
                            <a:gd name="adj" fmla="val 16667"/>
                          </a:avLst>
                        </a:prstGeom>
                        <a:solidFill>
                          <a:srgbClr val="CCECFF"/>
                        </a:solidFill>
                        <a:ln w="9525">
                          <a:solidFill>
                            <a:srgbClr val="000000"/>
                          </a:solidFill>
                          <a:round/>
                          <a:headEnd/>
                          <a:tailEnd/>
                        </a:ln>
                      </wps:spPr>
                      <wps:txbx>
                        <w:txbxContent>
                          <w:p w14:paraId="7EDA912E" w14:textId="77777777" w:rsidR="00F40FA9" w:rsidRDefault="00F40FA9" w:rsidP="00E47BE0">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45416D" id="AutoShape 93" o:spid="_x0000_s1068" style="position:absolute;margin-left:-83.2pt;margin-top:181.6pt;width:117.75pt;height:23.4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" fillcolor="#ccecff">
                <v:path arrowok="t"/>
                <v:textbox style="layout-flow:vertical;mso-layout-flow-alt:bottom-to-top" inset="3.6pt,,3.6pt">
                  <w:txbxContent>
                    <w:p w14:paraId="3C6EBFE1" w14:textId="77777777" w:rsidR="00726212" w:rsidRDefault="00726212" w:rsidP="00E47BE0">
                      <w:pPr>
                        <w:pStyle w:val="Heading2"/>
                        <w:keepNext/>
                        <w:rPr>
                          <w:rFonts w:ascii="Calibri" w:hAnsi="Calibri"/>
                          <w:lang w:val="en"/>
                        </w:rPr>
                      </w:pPr>
                      <w:r>
                        <w:rPr>
                          <w:rFonts w:ascii="Calibri" w:hAnsi="Calibri"/>
                          <w:lang w:val="en"/>
                        </w:rPr>
                        <w:t>Screening</w:t>
                      </w:r>
                    </w:p>
                  </w:txbxContent>
                </v:textbox>
              </v:roundrect>
            </w:pict>
          </mc:Fallback>
        </mc:AlternateContent>
      </w:r>
      <w:r>
        <w:rPr>
          <w:noProof/>
        </w:rPr>
        <mc:AlternateContent>
          <mc:Choice Requires="wps">
            <w:drawing>
              <wp:anchor distT="0" distB="0" distL="114300" distR="114300" simplePos="0" relativeHeight="251737088" behindDoc="0" locked="0" layoutInCell="1" allowOverlap="1" wp14:anchorId="5BB0F29C" wp14:editId="2E582EA1">
                <wp:simplePos x="0" y="0"/>
                <wp:positionH relativeFrom="column">
                  <wp:posOffset>-994410</wp:posOffset>
                </wp:positionH>
                <wp:positionV relativeFrom="paragraph">
                  <wp:posOffset>739140</wp:posOffset>
                </wp:positionV>
                <wp:extent cx="1371600" cy="297180"/>
                <wp:effectExtent l="3810" t="0" r="16510" b="1651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CB67B11" w14:textId="77777777" w:rsidR="00F40FA9" w:rsidRDefault="00F40FA9" w:rsidP="00E47BE0">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EBBB5A" id="AutoShape 98" o:spid="_x0000_s1069" style="position:absolute;margin-left:-78.3pt;margin-top:58.2pt;width:108pt;height:23.4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" fillcolor="#ccecff">
                <v:path arrowok="t"/>
                <v:textbox style="layout-flow:vertical;mso-layout-flow-alt:bottom-to-top" inset="3.6pt,,3.6pt">
                  <w:txbxContent>
                    <w:p w14:paraId="1862E7C8" w14:textId="77777777" w:rsidR="00726212" w:rsidRDefault="00726212" w:rsidP="00E47BE0">
                      <w:pPr>
                        <w:pStyle w:val="Heading2"/>
                        <w:keepNext/>
                        <w:rPr>
                          <w:rFonts w:ascii="Calibri" w:hAnsi="Calibri"/>
                          <w:lang w:val="en"/>
                        </w:rPr>
                      </w:pPr>
                      <w:r>
                        <w:rPr>
                          <w:rFonts w:ascii="Calibri" w:hAnsi="Calibri"/>
                          <w:lang w:val="en"/>
                        </w:rPr>
                        <w:t>Identification</w:t>
                      </w:r>
                    </w:p>
                  </w:txbxContent>
                </v:textbox>
              </v:roundrect>
            </w:pict>
          </mc:Fallback>
        </mc:AlternateContent>
      </w:r>
    </w:p>
    <w:p w14:paraId="7B0B914D" w14:textId="77777777" w:rsidR="00E47BE0" w:rsidRDefault="00E47BE0" w:rsidP="00824C86">
      <w:pPr>
        <w:rPr>
          <w:i/>
        </w:rPr>
      </w:pPr>
    </w:p>
    <w:p w14:paraId="5773D52B" w14:textId="65A72C8C" w:rsidR="00EE0D1D" w:rsidRPr="00FC40A7" w:rsidRDefault="00F35B33" w:rsidP="00824C86">
      <w:pPr>
        <w:rPr>
          <w:i/>
        </w:rPr>
      </w:pPr>
      <w:r>
        <w:rPr>
          <w:noProof/>
        </w:rPr>
        <mc:AlternateContent>
          <mc:Choice Requires="wps">
            <w:drawing>
              <wp:anchor distT="36576" distB="36576" distL="36576" distR="36576" simplePos="0" relativeHeight="251735040" behindDoc="0" locked="0" layoutInCell="1" allowOverlap="1" wp14:anchorId="7613200A" wp14:editId="6516D07A">
                <wp:simplePos x="0" y="0"/>
                <wp:positionH relativeFrom="column">
                  <wp:posOffset>1537335</wp:posOffset>
                </wp:positionH>
                <wp:positionV relativeFrom="paragraph">
                  <wp:posOffset>957580</wp:posOffset>
                </wp:positionV>
                <wp:extent cx="0" cy="571500"/>
                <wp:effectExtent l="50800" t="0" r="76200" b="63500"/>
                <wp:wrapNone/>
                <wp:docPr id="6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6" o:spid="_x0000_s1026" type="#_x0000_t32" style="position:absolute;margin-left:121.05pt;margin-top:75.4pt;width:0;height:45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">
                <v:stroke endarrow="block"/>
                <v:shadow color="#ccc" opacity="1" mv:blur="0" offset="2pt,2pt"/>
                <o:lock v:ext="edit" shapetype="f"/>
              </v:shape>
            </w:pict>
          </mc:Fallback>
        </mc:AlternateContent>
      </w:r>
      <w:r>
        <w:rPr>
          <w:noProof/>
        </w:rPr>
        <mc:AlternateContent>
          <mc:Choice Requires="wps">
            <w:drawing>
              <wp:anchor distT="36576" distB="36576" distL="36576" distR="36576" simplePos="0" relativeHeight="251736064" behindDoc="0" locked="0" layoutInCell="1" allowOverlap="1" wp14:anchorId="464EB030" wp14:editId="614E7369">
                <wp:simplePos x="0" y="0"/>
                <wp:positionH relativeFrom="column">
                  <wp:posOffset>3823335</wp:posOffset>
                </wp:positionH>
                <wp:positionV relativeFrom="paragraph">
                  <wp:posOffset>1071880</wp:posOffset>
                </wp:positionV>
                <wp:extent cx="0" cy="571500"/>
                <wp:effectExtent l="50800" t="0" r="76200" b="63500"/>
                <wp:wrapNone/>
                <wp:docPr id="6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01.05pt;margin-top:84.4pt;width:0;height:4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">
                <v:stroke endarrow="block"/>
                <v:shadow color="#ccc" opacity="1" mv:blur="0" offset="2pt,2pt"/>
                <o:lock v:ext="edit" shapetype="f"/>
              </v:shape>
            </w:pict>
          </mc:Fallback>
        </mc:AlternateContent>
      </w:r>
      <w:r>
        <w:rPr>
          <w:noProof/>
        </w:rPr>
        <mc:AlternateContent>
          <mc:Choice Requires="wps">
            <w:drawing>
              <wp:anchor distT="36576" distB="36576" distL="36576" distR="36576" simplePos="0" relativeHeight="251743232" behindDoc="0" locked="0" layoutInCell="1" allowOverlap="1" wp14:anchorId="755B1406" wp14:editId="032DDAC2">
                <wp:simplePos x="0" y="0"/>
                <wp:positionH relativeFrom="column">
                  <wp:posOffset>2680335</wp:posOffset>
                </wp:positionH>
                <wp:positionV relativeFrom="paragraph">
                  <wp:posOffset>2329180</wp:posOffset>
                </wp:positionV>
                <wp:extent cx="22225" cy="800100"/>
                <wp:effectExtent l="50800" t="0" r="79375" b="63500"/>
                <wp:wrapNone/>
                <wp:docPr id="6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 cy="8001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11.05pt;margin-top:183.4pt;width:1.75pt;height:63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">
                <v:stroke endarrow="block"/>
                <v:shadow color="#ccc" opacity="1" mv:blur="0" offset="2pt,2pt"/>
                <o:lock v:ext="edit" shapetype="f"/>
              </v:shape>
            </w:pict>
          </mc:Fallback>
        </mc:AlternateContent>
      </w:r>
      <w:r>
        <w:rPr>
          <w:noProof/>
        </w:rPr>
        <mc:AlternateContent>
          <mc:Choice Requires="wps">
            <w:drawing>
              <wp:anchor distT="36576" distB="36576" distL="36576" distR="36576" simplePos="0" relativeHeight="251745280" behindDoc="0" locked="0" layoutInCell="1" allowOverlap="1" wp14:anchorId="4B485DBB" wp14:editId="5964E5E7">
                <wp:simplePos x="0" y="0"/>
                <wp:positionH relativeFrom="column">
                  <wp:posOffset>3594735</wp:posOffset>
                </wp:positionH>
                <wp:positionV relativeFrom="paragraph">
                  <wp:posOffset>3700780</wp:posOffset>
                </wp:positionV>
                <wp:extent cx="685800" cy="1"/>
                <wp:effectExtent l="0" t="76200" r="50800" b="101600"/>
                <wp:wrapNone/>
                <wp:docPr id="6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83.05pt;margin-top:291.4pt;width:54pt;height:0;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">
                <v:stroke endarrow="block"/>
                <v:shadow color="#ccc" opacity="1" mv:blur="0" offset="2pt,2pt"/>
                <o:lock v:ext="edit" shapetype="f"/>
              </v:shape>
            </w:pict>
          </mc:Fallback>
        </mc:AlternateContent>
      </w:r>
      <w:r w:rsidR="00073C13">
        <w:rPr>
          <w:noProof/>
        </w:rPr>
        <mc:AlternateContent>
          <mc:Choice Requires="wps">
            <w:drawing>
              <wp:anchor distT="0" distB="0" distL="114300" distR="114300" simplePos="0" relativeHeight="251740160" behindDoc="0" locked="0" layoutInCell="1" allowOverlap="1" wp14:anchorId="080195CE" wp14:editId="3FDCC5F8">
                <wp:simplePos x="0" y="0"/>
                <wp:positionH relativeFrom="column">
                  <wp:posOffset>1880235</wp:posOffset>
                </wp:positionH>
                <wp:positionV relativeFrom="paragraph">
                  <wp:posOffset>3138170</wp:posOffset>
                </wp:positionV>
                <wp:extent cx="1714500" cy="795020"/>
                <wp:effectExtent l="0" t="0" r="12700" b="17780"/>
                <wp:wrapNone/>
                <wp:docPr id="5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95020"/>
                        </a:xfrm>
                        <a:prstGeom prst="rect">
                          <a:avLst/>
                        </a:prstGeom>
                        <a:solidFill>
                          <a:srgbClr val="FFFFFF"/>
                        </a:solidFill>
                        <a:ln w="9525">
                          <a:solidFill>
                            <a:srgbClr val="000000"/>
                          </a:solidFill>
                          <a:miter lim="800000"/>
                          <a:headEnd/>
                          <a:tailEnd/>
                        </a:ln>
                      </wps:spPr>
                      <wps:txbx>
                        <w:txbxContent>
                          <w:p w14:paraId="2C056F81" w14:textId="77777777" w:rsidR="00F40FA9" w:rsidRDefault="00F40FA9" w:rsidP="00E47BE0">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149E5" id="Rectangle 101" o:spid="_x0000_s1070" style="position:absolute;margin-left:148.05pt;margin-top:247.1pt;width:135pt;height:6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">
                <v:path arrowok="t"/>
                <v:textbox inset=",7.2pt,,7.2pt">
                  <w:txbxContent>
                    <w:p w14:paraId="5B7A98F4" w14:textId="2B8D1247" w:rsidR="00726212" w:rsidRDefault="00726212" w:rsidP="00E47BE0">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=25)</w:t>
                      </w:r>
                    </w:p>
                  </w:txbxContent>
                </v:textbox>
              </v:rect>
            </w:pict>
          </mc:Fallback>
        </mc:AlternateContent>
      </w:r>
      <w:r w:rsidR="00073C13">
        <w:rPr>
          <w:noProof/>
        </w:rPr>
        <mc:AlternateContent>
          <mc:Choice Requires="wps">
            <w:drawing>
              <wp:anchor distT="0" distB="0" distL="114300" distR="114300" simplePos="0" relativeHeight="251741184" behindDoc="0" locked="0" layoutInCell="1" allowOverlap="1" wp14:anchorId="13A39589" wp14:editId="05AC6577">
                <wp:simplePos x="0" y="0"/>
                <wp:positionH relativeFrom="column">
                  <wp:posOffset>4280535</wp:posOffset>
                </wp:positionH>
                <wp:positionV relativeFrom="paragraph">
                  <wp:posOffset>3138170</wp:posOffset>
                </wp:positionV>
                <wp:extent cx="1819275" cy="895350"/>
                <wp:effectExtent l="0" t="0" r="9525" b="19050"/>
                <wp:wrapNone/>
                <wp:docPr id="5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895350"/>
                        </a:xfrm>
                        <a:prstGeom prst="rect">
                          <a:avLst/>
                        </a:prstGeom>
                        <a:solidFill>
                          <a:srgbClr val="FFFFFF"/>
                        </a:solidFill>
                        <a:ln w="9525">
                          <a:solidFill>
                            <a:srgbClr val="000000"/>
                          </a:solidFill>
                          <a:miter lim="800000"/>
                          <a:headEnd/>
                          <a:tailEnd/>
                        </a:ln>
                      </wps:spPr>
                      <wps:txbx>
                        <w:txbxContent>
                          <w:p w14:paraId="20A18B0A" w14:textId="77777777" w:rsidR="00F40FA9" w:rsidRDefault="00F40FA9" w:rsidP="00E47BE0">
                            <w:pPr>
                              <w:jc w:val="center"/>
                              <w:rPr>
                                <w:rFonts w:ascii="Calibri" w:hAnsi="Calibri"/>
                                <w:sz w:val="22"/>
                                <w:szCs w:val="22"/>
                              </w:rPr>
                            </w:pPr>
                            <w:r>
                              <w:rPr>
                                <w:rFonts w:ascii="Calibri" w:hAnsi="Calibri"/>
                                <w:sz w:val="22"/>
                                <w:szCs w:val="22"/>
                              </w:rPr>
                              <w:t xml:space="preserve">Full-text articles excluded no data on </w:t>
                            </w:r>
                            <w:proofErr w:type="spellStart"/>
                            <w:r>
                              <w:rPr>
                                <w:rFonts w:ascii="Calibri" w:hAnsi="Calibri"/>
                                <w:sz w:val="22"/>
                                <w:szCs w:val="22"/>
                              </w:rPr>
                              <w:t>sux</w:t>
                            </w:r>
                            <w:proofErr w:type="spellEnd"/>
                            <w:r>
                              <w:rPr>
                                <w:rFonts w:ascii="Calibri" w:hAnsi="Calibri"/>
                                <w:sz w:val="22"/>
                                <w:szCs w:val="22"/>
                              </w:rPr>
                              <w:t xml:space="preserve"> use frequency</w:t>
                            </w:r>
                          </w:p>
                          <w:p w14:paraId="705FC3B7" w14:textId="77777777" w:rsidR="00F40FA9" w:rsidRDefault="00F40FA9" w:rsidP="00E47BE0">
                            <w:pPr>
                              <w:jc w:val="center"/>
                              <w:rPr>
                                <w:rFonts w:ascii="Calibri" w:hAnsi="Calibri"/>
                                <w:sz w:val="22"/>
                                <w:szCs w:val="22"/>
                              </w:rPr>
                            </w:pPr>
                            <w:r>
                              <w:rPr>
                                <w:rFonts w:ascii="Calibri" w:hAnsi="Calibri"/>
                                <w:sz w:val="22"/>
                                <w:szCs w:val="22"/>
                              </w:rPr>
                              <w:t>(</w:t>
                            </w:r>
                            <w:proofErr w:type="gramStart"/>
                            <w:r>
                              <w:rPr>
                                <w:rFonts w:ascii="Calibri" w:hAnsi="Calibri"/>
                                <w:sz w:val="22"/>
                                <w:szCs w:val="22"/>
                              </w:rPr>
                              <w:t>n</w:t>
                            </w:r>
                            <w:proofErr w:type="gramEnd"/>
                            <w:r>
                              <w:rPr>
                                <w:rFonts w:ascii="Calibri" w:hAnsi="Calibri"/>
                                <w:sz w:val="22"/>
                                <w:szCs w:val="22"/>
                              </w:rPr>
                              <w:t>=24)</w:t>
                            </w:r>
                          </w:p>
                          <w:p w14:paraId="24E42F74" w14:textId="77777777" w:rsidR="00F40FA9" w:rsidRDefault="00F40FA9" w:rsidP="00E47BE0">
                            <w:pPr>
                              <w:jc w:val="center"/>
                              <w:rPr>
                                <w:rFonts w:ascii="Calibri" w:hAnsi="Calibri"/>
                                <w:sz w:val="22"/>
                                <w:szCs w:val="22"/>
                                <w:lang w:val="en"/>
                              </w:rPr>
                            </w:pPr>
                            <w:r>
                              <w:rPr>
                                <w:rFonts w:ascii="Calibri" w:hAnsi="Calibri"/>
                                <w:sz w:val="22"/>
                                <w:szCs w:val="22"/>
                              </w:rPr>
                              <w:br/>
                              <w:t>(</w:t>
                            </w:r>
                            <w:proofErr w:type="gramStart"/>
                            <w:r>
                              <w:rPr>
                                <w:rFonts w:ascii="Calibri" w:hAnsi="Calibri"/>
                                <w:sz w:val="22"/>
                                <w:szCs w:val="22"/>
                              </w:rPr>
                              <w:t>n</w:t>
                            </w:r>
                            <w:proofErr w:type="gramEnd"/>
                            <w:r>
                              <w:rPr>
                                <w:rFonts w:ascii="Calibri" w:hAnsi="Calibri"/>
                                <w:sz w:val="22"/>
                                <w:szCs w:val="22"/>
                              </w:rPr>
                              <w:t xml:space="preserve"> = 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F53D9" id="Rectangle 102" o:spid="_x0000_s1071" style="position:absolute;margin-left:337.05pt;margin-top:247.1pt;width:143.25pt;height:7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">
                <v:path arrowok="t"/>
                <v:textbox inset=",7.2pt,,7.2pt">
                  <w:txbxContent>
                    <w:p w14:paraId="1243B7F1" w14:textId="77777777" w:rsidR="00726212" w:rsidRDefault="00726212" w:rsidP="00E47BE0">
                      <w:pPr>
                        <w:jc w:val="center"/>
                        <w:rPr>
                          <w:rFonts w:ascii="Calibri" w:hAnsi="Calibri"/>
                          <w:sz w:val="22"/>
                          <w:szCs w:val="22"/>
                        </w:rPr>
                      </w:pPr>
                      <w:r>
                        <w:rPr>
                          <w:rFonts w:ascii="Calibri" w:hAnsi="Calibri"/>
                          <w:sz w:val="22"/>
                          <w:szCs w:val="22"/>
                        </w:rPr>
                        <w:t>Full-text articles excluded no data on sux use frequency</w:t>
                      </w:r>
                    </w:p>
                    <w:p w14:paraId="4AF4571E" w14:textId="336B78FE" w:rsidR="00726212" w:rsidRDefault="00726212" w:rsidP="00E47BE0">
                      <w:pPr>
                        <w:jc w:val="center"/>
                        <w:rPr>
                          <w:rFonts w:ascii="Calibri" w:hAnsi="Calibri"/>
                          <w:sz w:val="22"/>
                          <w:szCs w:val="22"/>
                        </w:rPr>
                      </w:pPr>
                      <w:r>
                        <w:rPr>
                          <w:rFonts w:ascii="Calibri" w:hAnsi="Calibri"/>
                          <w:sz w:val="22"/>
                          <w:szCs w:val="22"/>
                        </w:rPr>
                        <w:t>(n=24)</w:t>
                      </w:r>
                    </w:p>
                    <w:p w14:paraId="1ABEE714" w14:textId="77777777" w:rsidR="00726212" w:rsidRDefault="00726212" w:rsidP="00E47BE0">
                      <w:pPr>
                        <w:jc w:val="center"/>
                        <w:rPr>
                          <w:rFonts w:ascii="Calibri" w:hAnsi="Calibri"/>
                          <w:sz w:val="22"/>
                          <w:szCs w:val="22"/>
                          <w:lang w:val="en"/>
                        </w:rPr>
                      </w:pPr>
                      <w:r>
                        <w:rPr>
                          <w:rFonts w:ascii="Calibri" w:hAnsi="Calibri"/>
                          <w:sz w:val="22"/>
                          <w:szCs w:val="22"/>
                        </w:rPr>
                        <w:br/>
                        <w:t>(n = 28)</w:t>
                      </w:r>
                    </w:p>
                  </w:txbxContent>
                </v:textbox>
              </v:rect>
            </w:pict>
          </mc:Fallback>
        </mc:AlternateContent>
      </w:r>
      <w:r w:rsidR="00E47BE0">
        <w:rPr>
          <w:i/>
        </w:rPr>
        <w:br w:type="page"/>
      </w:r>
    </w:p>
    <w:p w14:paraId="11C5BF58" w14:textId="2BBA37FE" w:rsidR="002C5A0A" w:rsidRPr="003A2A49" w:rsidRDefault="002C5A0A" w:rsidP="00824C86">
      <w:r w:rsidRPr="005672EA">
        <w:rPr>
          <w:b/>
        </w:rPr>
        <w:lastRenderedPageBreak/>
        <w:t>Summary:</w:t>
      </w:r>
      <w:r w:rsidRPr="003A2A49">
        <w:t xml:space="preserve">  </w:t>
      </w:r>
      <w:r w:rsidR="005672EA">
        <w:rPr>
          <w:iCs/>
        </w:rPr>
        <w:t xml:space="preserve">There are regulatory mandates for succinylcholine </w:t>
      </w:r>
      <w:r w:rsidR="00E15C63">
        <w:rPr>
          <w:iCs/>
        </w:rPr>
        <w:t>(</w:t>
      </w:r>
      <w:proofErr w:type="spellStart"/>
      <w:r w:rsidR="00E15C63" w:rsidRPr="00E15C63">
        <w:rPr>
          <w:b/>
          <w:iCs/>
        </w:rPr>
        <w:t>sux</w:t>
      </w:r>
      <w:proofErr w:type="spellEnd"/>
      <w:r w:rsidR="00E15C63">
        <w:rPr>
          <w:iCs/>
        </w:rPr>
        <w:t xml:space="preserve">) </w:t>
      </w:r>
      <w:r w:rsidR="005672EA">
        <w:rPr>
          <w:iCs/>
        </w:rPr>
        <w:t xml:space="preserve">availability, and, in some cases, </w:t>
      </w:r>
      <w:proofErr w:type="spellStart"/>
      <w:r w:rsidR="005672EA">
        <w:rPr>
          <w:iCs/>
        </w:rPr>
        <w:t>dantrolene</w:t>
      </w:r>
      <w:proofErr w:type="spellEnd"/>
      <w:r w:rsidR="005672EA">
        <w:rPr>
          <w:iCs/>
        </w:rPr>
        <w:t xml:space="preserve"> is also mandated.  However, literature search revealed only one </w:t>
      </w:r>
      <w:proofErr w:type="spellStart"/>
      <w:r w:rsidR="005672EA">
        <w:rPr>
          <w:iCs/>
        </w:rPr>
        <w:t>unblinded</w:t>
      </w:r>
      <w:proofErr w:type="spellEnd"/>
      <w:r w:rsidR="005672EA">
        <w:rPr>
          <w:iCs/>
        </w:rPr>
        <w:t xml:space="preserve">, prospective study that </w:t>
      </w:r>
      <w:r w:rsidR="005672EA" w:rsidRPr="003A2A49">
        <w:t xml:space="preserve">provided succinylcholine use </w:t>
      </w:r>
      <w:r w:rsidR="005672EA">
        <w:t xml:space="preserve">rates </w:t>
      </w:r>
      <w:r w:rsidR="005672EA" w:rsidRPr="003A2A49">
        <w:t>in an office-b</w:t>
      </w:r>
      <w:r w:rsidR="005672EA">
        <w:t xml:space="preserve">ased environment.  This single site study of healthy pediatric patients anesthetized by a dedicated anesthetic team with a total </w:t>
      </w:r>
      <w:proofErr w:type="gramStart"/>
      <w:r w:rsidR="00E15C63">
        <w:t>iv</w:t>
      </w:r>
      <w:proofErr w:type="gramEnd"/>
      <w:r w:rsidR="00E15C63">
        <w:t xml:space="preserve"> </w:t>
      </w:r>
      <w:r w:rsidR="005672EA">
        <w:t xml:space="preserve">anesthetic and managed by laryngeal mask airway for </w:t>
      </w:r>
      <w:proofErr w:type="spellStart"/>
      <w:r w:rsidR="005672EA">
        <w:t>adenotonsillectomy</w:t>
      </w:r>
      <w:proofErr w:type="spellEnd"/>
      <w:r w:rsidR="005672EA">
        <w:t xml:space="preserve"> measured laryngospasm treatment with </w:t>
      </w:r>
      <w:r w:rsidR="005672EA" w:rsidRPr="003A2A49">
        <w:t>succinylcholine</w:t>
      </w:r>
      <w:r w:rsidR="005672EA">
        <w:t>.  Over a 5-year period, 10/</w:t>
      </w:r>
      <w:r w:rsidR="005672EA" w:rsidRPr="003A2A49">
        <w:t>1</w:t>
      </w:r>
      <w:r w:rsidR="005672EA">
        <w:t>,</w:t>
      </w:r>
      <w:r w:rsidR="005672EA" w:rsidRPr="003A2A49">
        <w:t xml:space="preserve">126 </w:t>
      </w:r>
      <w:r w:rsidR="005672EA">
        <w:t>patients experienced a decrease in SpO</w:t>
      </w:r>
      <w:r w:rsidR="005672EA" w:rsidRPr="00807D48">
        <w:rPr>
          <w:vertAlign w:val="subscript"/>
        </w:rPr>
        <w:t>2</w:t>
      </w:r>
      <w:r w:rsidR="005672EA">
        <w:rPr>
          <w:vertAlign w:val="subscript"/>
        </w:rPr>
        <w:t xml:space="preserve"> </w:t>
      </w:r>
      <w:r w:rsidR="005672EA" w:rsidRPr="00807D48">
        <w:t>to &lt;90%</w:t>
      </w:r>
      <w:r w:rsidR="005672EA">
        <w:rPr>
          <w:vertAlign w:val="subscript"/>
        </w:rPr>
        <w:t xml:space="preserve"> </w:t>
      </w:r>
      <w:r w:rsidR="005672EA">
        <w:t>due to laryngospasm and 9/1,126 (0.8</w:t>
      </w:r>
      <w:r w:rsidR="005672EA" w:rsidRPr="003A2A49">
        <w:t xml:space="preserve">%) required </w:t>
      </w:r>
      <w:proofErr w:type="spellStart"/>
      <w:r w:rsidR="005672EA" w:rsidRPr="003A2A49">
        <w:t>su</w:t>
      </w:r>
      <w:r w:rsidR="00E15C63">
        <w:t>x</w:t>
      </w:r>
      <w:proofErr w:type="spellEnd"/>
      <w:r w:rsidR="005672EA">
        <w:t xml:space="preserve">.  No </w:t>
      </w:r>
      <w:r w:rsidR="005672EA" w:rsidRPr="003A2A49">
        <w:t>pa</w:t>
      </w:r>
      <w:r w:rsidR="005672EA">
        <w:t>tient</w:t>
      </w:r>
      <w:r w:rsidR="005672EA" w:rsidRPr="003A2A49">
        <w:t xml:space="preserve"> developed</w:t>
      </w:r>
      <w:r w:rsidR="005672EA">
        <w:t xml:space="preserve"> </w:t>
      </w:r>
      <w:r w:rsidR="00E15C63">
        <w:t>malignant hyperthermia (</w:t>
      </w:r>
      <w:r w:rsidR="005672EA" w:rsidRPr="00E15C63">
        <w:rPr>
          <w:b/>
        </w:rPr>
        <w:t>MH</w:t>
      </w:r>
      <w:r w:rsidR="00E15C63">
        <w:t>)</w:t>
      </w:r>
      <w:r w:rsidR="00FB0B00">
        <w:t>.</w:t>
      </w:r>
      <w:r w:rsidR="005672EA">
        <w:t xml:space="preserve"> </w:t>
      </w:r>
      <w:r w:rsidR="00FB0B00" w:rsidRPr="00FB0B00">
        <w:rPr>
          <w:b/>
        </w:rPr>
        <w:t>16</w:t>
      </w:r>
    </w:p>
    <w:p w14:paraId="0E1D1D88" w14:textId="77777777" w:rsidR="005672EA" w:rsidRDefault="005672EA" w:rsidP="00824C86"/>
    <w:p w14:paraId="0B2D9606" w14:textId="620A9ACD" w:rsidR="00824C86" w:rsidRPr="005672EA" w:rsidRDefault="00824C86" w:rsidP="00824C86">
      <w:proofErr w:type="gramStart"/>
      <w:r w:rsidRPr="005672EA">
        <w:t>Databases that were searched included OVID, PubMed, EMBASE, Google, and West Law.</w:t>
      </w:r>
      <w:proofErr w:type="gramEnd"/>
      <w:r w:rsidR="00E15C63">
        <w:t xml:space="preserve">  West Law is a legal data</w:t>
      </w:r>
      <w:r w:rsidRPr="005672EA">
        <w:t>base.  Reference numbers one, three, five, six, thirteen, and 15 were obtained from Google.  Reference</w:t>
      </w:r>
      <w:r w:rsidR="00E15C63">
        <w:t>s</w:t>
      </w:r>
      <w:r w:rsidRPr="005672EA">
        <w:t xml:space="preserve"> number four and seven were found in Ovid.  The </w:t>
      </w:r>
      <w:proofErr w:type="gramStart"/>
      <w:r w:rsidRPr="005672EA">
        <w:t>remainder were</w:t>
      </w:r>
      <w:proofErr w:type="gramEnd"/>
      <w:r w:rsidRPr="005672EA">
        <w:t xml:space="preserve"> found on West Law.  Additional searches revealed the following: PubMed: 0 matches, EMBASE: 7 matches.  Cochrane Library of Databases: 0 matches.</w:t>
      </w:r>
    </w:p>
    <w:p w14:paraId="6EE122AB" w14:textId="77777777" w:rsidR="00622F15" w:rsidRDefault="00622F15" w:rsidP="00824C86">
      <w:pPr>
        <w:rPr>
          <w:i/>
        </w:rPr>
      </w:pPr>
    </w:p>
    <w:p w14:paraId="53CDF5C8" w14:textId="2FC11F0F" w:rsidR="00824C86" w:rsidRDefault="00824C86" w:rsidP="00824C86">
      <w:r>
        <w:t xml:space="preserve">One of the first reports of the routine use of </w:t>
      </w:r>
      <w:proofErr w:type="spellStart"/>
      <w:r>
        <w:t>su</w:t>
      </w:r>
      <w:r w:rsidR="00E15C63">
        <w:t>x</w:t>
      </w:r>
      <w:proofErr w:type="spellEnd"/>
      <w:r>
        <w:t xml:space="preserve"> in </w:t>
      </w:r>
      <w:r w:rsidR="00E15C63">
        <w:t>an office-based practice was a case r</w:t>
      </w:r>
      <w:r>
        <w:t xml:space="preserve">eport in the Journal of the American Dental Society of Anesthesiology in 1959. It described a technique of continuous “drip” of a 0.1% solution of </w:t>
      </w:r>
      <w:proofErr w:type="spellStart"/>
      <w:r>
        <w:t>su</w:t>
      </w:r>
      <w:r w:rsidR="00E15C63">
        <w:t>x</w:t>
      </w:r>
      <w:proofErr w:type="spellEnd"/>
      <w:r>
        <w:t xml:space="preserve"> for muscle relaxation in addition to inhalation of nitrous oxide 75% with oxygen 25%, </w:t>
      </w:r>
      <w:proofErr w:type="spellStart"/>
      <w:r>
        <w:t>meperidine</w:t>
      </w:r>
      <w:proofErr w:type="spellEnd"/>
      <w:r>
        <w:t xml:space="preserve">, and thiopental.  After intravenous access is obtained, either scopolamine or atropine 0.4mg is injected followed by </w:t>
      </w:r>
      <w:proofErr w:type="spellStart"/>
      <w:r>
        <w:t>meperidine</w:t>
      </w:r>
      <w:proofErr w:type="spellEnd"/>
      <w:r>
        <w:t xml:space="preserve"> and thiopental.  The succinylcholine infusion is started and the endotracheal tube is inserted.  The </w:t>
      </w:r>
      <w:proofErr w:type="spellStart"/>
      <w:r>
        <w:t>su</w:t>
      </w:r>
      <w:r w:rsidR="00E15C63">
        <w:t>x</w:t>
      </w:r>
      <w:proofErr w:type="spellEnd"/>
      <w:r>
        <w:t xml:space="preserve"> infusion is adjusted to obtain the optimal relaxation to proceed for the dental or oral surgery procedure.</w:t>
      </w:r>
      <w:r w:rsidRPr="00FB0B00">
        <w:t xml:space="preserve"> </w:t>
      </w:r>
      <w:r w:rsidRPr="00FB0B00">
        <w:rPr>
          <w:b/>
        </w:rPr>
        <w:t>1</w:t>
      </w:r>
      <w:r>
        <w:t xml:space="preserve"> This article appeared before the first publication describing </w:t>
      </w:r>
      <w:r w:rsidR="00E15C63">
        <w:t xml:space="preserve">MH </w:t>
      </w:r>
      <w:r>
        <w:t>and significantly before office-based surgery or anesthesia regulations were instituted.</w:t>
      </w:r>
    </w:p>
    <w:p w14:paraId="6A7062C7" w14:textId="77777777" w:rsidR="00DF7A46" w:rsidRDefault="00DF7A46" w:rsidP="00824C86"/>
    <w:p w14:paraId="1F5ADF90" w14:textId="743C38BE" w:rsidR="00824C86" w:rsidRDefault="00824C86" w:rsidP="00824C86">
      <w:r>
        <w:t xml:space="preserve">Since then and despite the significant office-based anesthesia and surgery regulations, the literature is silent on the adverse </w:t>
      </w:r>
      <w:r w:rsidR="00E15C63">
        <w:t xml:space="preserve">effects of the </w:t>
      </w:r>
      <w:r>
        <w:t xml:space="preserve">use of </w:t>
      </w:r>
      <w:proofErr w:type="spellStart"/>
      <w:r>
        <w:t>su</w:t>
      </w:r>
      <w:r w:rsidR="00E15C63">
        <w:t>x</w:t>
      </w:r>
      <w:proofErr w:type="spellEnd"/>
      <w:r>
        <w:t xml:space="preserve"> in the office-based environment.  Mandates to its availability are only sporadically mentioned including state regulatory issues and specialty organizations.  Numerous searches were made including OVID, Google Scholar, and West Law.  West Law is a database for regulatory issues and is used routinely by attorneys for current case law with the ability to refer to existing, new, or pending state action.  </w:t>
      </w:r>
    </w:p>
    <w:p w14:paraId="748A6A05" w14:textId="77777777" w:rsidR="00DF7A46" w:rsidRDefault="00DF7A46" w:rsidP="00824C86"/>
    <w:p w14:paraId="7C3F4BFC" w14:textId="56BEA297" w:rsidR="00824C86" w:rsidRDefault="00824C86" w:rsidP="00824C86">
      <w:r>
        <w:t xml:space="preserve">From the American Society of Anesthesiology publication on </w:t>
      </w:r>
      <w:r w:rsidR="00DF7A46">
        <w:t xml:space="preserve">office based anesthesia </w:t>
      </w:r>
      <w:r>
        <w:t>in 2008 (2</w:t>
      </w:r>
      <w:r w:rsidRPr="00BA0DC2">
        <w:rPr>
          <w:vertAlign w:val="superscript"/>
        </w:rPr>
        <w:t>nd</w:t>
      </w:r>
      <w:r>
        <w:t xml:space="preserve"> and latest edition), </w:t>
      </w:r>
      <w:proofErr w:type="spellStart"/>
      <w:r>
        <w:t>su</w:t>
      </w:r>
      <w:r w:rsidR="00E15C63">
        <w:t>x</w:t>
      </w:r>
      <w:proofErr w:type="spellEnd"/>
      <w:r>
        <w:t xml:space="preserve"> was only mentioned in reference to MH in a PDF of an MH Poster. </w:t>
      </w:r>
      <w:r w:rsidRPr="00D9744E">
        <w:rPr>
          <w:b/>
          <w:u w:val="single"/>
        </w:rPr>
        <w:t>2</w:t>
      </w:r>
      <w:r>
        <w:t xml:space="preserve"> The American Association of Oral and Maxillofacial Surgeons (</w:t>
      </w:r>
      <w:r w:rsidRPr="00E15C63">
        <w:rPr>
          <w:b/>
        </w:rPr>
        <w:t>AAOMS</w:t>
      </w:r>
      <w:r>
        <w:t xml:space="preserve">) in their latest (2012) Office Anesthesia Evaluation Manual mentions </w:t>
      </w:r>
      <w:proofErr w:type="spellStart"/>
      <w:r>
        <w:t>su</w:t>
      </w:r>
      <w:r w:rsidR="00E15C63">
        <w:t>x</w:t>
      </w:r>
      <w:proofErr w:type="spellEnd"/>
      <w:r w:rsidR="00E15C63">
        <w:t xml:space="preserve"> </w:t>
      </w:r>
      <w:r>
        <w:t xml:space="preserve">is an available medication. </w:t>
      </w:r>
      <w:r w:rsidRPr="00FB0B00">
        <w:rPr>
          <w:b/>
        </w:rPr>
        <w:t>3</w:t>
      </w:r>
      <w:r>
        <w:t xml:space="preserve"> It also requires the availability of </w:t>
      </w:r>
      <w:proofErr w:type="spellStart"/>
      <w:r>
        <w:t>dantrolene</w:t>
      </w:r>
      <w:proofErr w:type="spellEnd"/>
      <w:r>
        <w:t xml:space="preserve"> if triggering agents are maintained on site per MHAUS recommendations. </w:t>
      </w:r>
      <w:r w:rsidRPr="00761AFA">
        <w:rPr>
          <w:b/>
        </w:rPr>
        <w:t>3,4</w:t>
      </w:r>
      <w:r>
        <w:t xml:space="preserve">  </w:t>
      </w:r>
    </w:p>
    <w:p w14:paraId="2352F6FD" w14:textId="228FF4B2" w:rsidR="00824C86" w:rsidRDefault="00824C86" w:rsidP="00824C86">
      <w:r>
        <w:lastRenderedPageBreak/>
        <w:t>The American Association for Accreditation of Ambulatory Surgical Facilities (</w:t>
      </w:r>
      <w:r w:rsidRPr="005672EA">
        <w:rPr>
          <w:b/>
        </w:rPr>
        <w:t>AAAASF</w:t>
      </w:r>
      <w:r>
        <w:t xml:space="preserve">) frequently accredits office-based plastic surgery and similar practices. AAAASF fails to mention </w:t>
      </w:r>
      <w:proofErr w:type="spellStart"/>
      <w:r>
        <w:t>su</w:t>
      </w:r>
      <w:r w:rsidR="00E15C63">
        <w:t>x</w:t>
      </w:r>
      <w:proofErr w:type="spellEnd"/>
      <w:r>
        <w:t xml:space="preserve"> in one of their manuals. </w:t>
      </w:r>
      <w:r>
        <w:rPr>
          <w:b/>
          <w:u w:val="single"/>
        </w:rPr>
        <w:t>5</w:t>
      </w:r>
      <w:r>
        <w:t xml:space="preserve">   The AAAASF’s Surgical Standards and Checklist Version 14.5 specifically addresses the topic by stating the following:  “</w:t>
      </w:r>
      <w:r>
        <w:rPr>
          <w:b/>
        </w:rPr>
        <w:t>500.023.005</w:t>
      </w:r>
      <w:r>
        <w:t xml:space="preserve"> If the depolarizing muscle relaxant succinylcholine is present only for use in emergency airway rescue, the facility must document a protocol to manage the possibility of malignant hyperthermia (MH) following its use.”  The organization specifically mandates that the facility’s medical director send a written request for the use of </w:t>
      </w:r>
      <w:proofErr w:type="spellStart"/>
      <w:r>
        <w:t>su</w:t>
      </w:r>
      <w:r w:rsidR="00E15C63">
        <w:t>x</w:t>
      </w:r>
      <w:proofErr w:type="spellEnd"/>
      <w:r>
        <w:t xml:space="preserve"> without the availability of </w:t>
      </w:r>
      <w:proofErr w:type="spellStart"/>
      <w:r>
        <w:t>dantrolene</w:t>
      </w:r>
      <w:proofErr w:type="spellEnd"/>
      <w:r>
        <w:t xml:space="preserve"> along with their written protocol.  The implied intent is to obviate the need for </w:t>
      </w:r>
      <w:proofErr w:type="spellStart"/>
      <w:r>
        <w:t>dantrolene</w:t>
      </w:r>
      <w:proofErr w:type="spellEnd"/>
      <w:r>
        <w:t xml:space="preserve"> just because a triggering agent is present for emergencies only.  </w:t>
      </w:r>
      <w:r w:rsidRPr="009D7AB2">
        <w:rPr>
          <w:b/>
        </w:rPr>
        <w:t>6</w:t>
      </w:r>
    </w:p>
    <w:p w14:paraId="7D123A13" w14:textId="77777777" w:rsidR="00DF7A46" w:rsidRDefault="00DF7A46" w:rsidP="00824C86"/>
    <w:p w14:paraId="40DA05E0" w14:textId="411E90BF" w:rsidR="00824C86" w:rsidRPr="009D7AB2" w:rsidRDefault="00824C86" w:rsidP="00824C86">
      <w:r>
        <w:t xml:space="preserve">The Society for Ambulatory Anesthesia in conjunction with the Committee on Ambulatory Surgical Care of the American Society of Anesthesiologists recently published their concerns of the frequency of the a malignant hyperthermia episode vs an episode of laryngospasm.  Their analysis is that the use of </w:t>
      </w:r>
      <w:proofErr w:type="spellStart"/>
      <w:r>
        <w:t>su</w:t>
      </w:r>
      <w:r w:rsidR="00E15C63">
        <w:t>x</w:t>
      </w:r>
      <w:proofErr w:type="spellEnd"/>
      <w:r>
        <w:t xml:space="preserve"> to break laryngospasm is more likely to occur without the risk of MH after one of these events.  Consequently </w:t>
      </w:r>
      <w:proofErr w:type="spellStart"/>
      <w:r>
        <w:t>dantrolene</w:t>
      </w:r>
      <w:proofErr w:type="spellEnd"/>
      <w:r>
        <w:t xml:space="preserve"> is not required to be omnipresent.  On the other hand, the authors recommended that known MH susceptible patients have their procedures performed in facilities that only have </w:t>
      </w:r>
      <w:proofErr w:type="spellStart"/>
      <w:r>
        <w:t>dantrolene</w:t>
      </w:r>
      <w:proofErr w:type="spellEnd"/>
      <w:r>
        <w:t>. Additionally, they should have the capability to rapidly transfer patients to a facility that can rapidly assist the care of patient with a MH.</w:t>
      </w:r>
      <w:r w:rsidRPr="003243D0">
        <w:rPr>
          <w:b/>
        </w:rPr>
        <w:t xml:space="preserve"> </w:t>
      </w:r>
      <w:proofErr w:type="gramStart"/>
      <w:r w:rsidRPr="003243D0">
        <w:rPr>
          <w:b/>
        </w:rPr>
        <w:t>7</w:t>
      </w:r>
      <w:r w:rsidR="00E15C63">
        <w:t xml:space="preserve">  </w:t>
      </w:r>
      <w:r>
        <w:t>This</w:t>
      </w:r>
      <w:proofErr w:type="gramEnd"/>
      <w:r>
        <w:t xml:space="preserve"> policy matches the policy of the AAAASF.</w:t>
      </w:r>
    </w:p>
    <w:p w14:paraId="3F4AD946" w14:textId="77777777" w:rsidR="00DF7A46" w:rsidRDefault="00DF7A46" w:rsidP="00824C86"/>
    <w:p w14:paraId="07204489" w14:textId="421B0B5D" w:rsidR="00824C86" w:rsidRPr="00CB4E2B" w:rsidRDefault="00824C86" w:rsidP="00824C86">
      <w:pPr>
        <w:rPr>
          <w:b/>
        </w:rPr>
      </w:pPr>
      <w:r>
        <w:t xml:space="preserve">State regulations in a number of jurisdictions have specifically mentioned the availability of </w:t>
      </w:r>
      <w:proofErr w:type="spellStart"/>
      <w:r>
        <w:t>su</w:t>
      </w:r>
      <w:r w:rsidR="00E15C63">
        <w:t>x</w:t>
      </w:r>
      <w:proofErr w:type="spellEnd"/>
      <w:r>
        <w:t xml:space="preserve"> including Connecticut, Florida, Massachusetts, Minnesota, Missouri, New Jersey, South Dakota, and Tennessee in their regulatory procedures.  However, </w:t>
      </w:r>
      <w:proofErr w:type="spellStart"/>
      <w:r>
        <w:t>dantrolene</w:t>
      </w:r>
      <w:proofErr w:type="spellEnd"/>
      <w:r>
        <w:t xml:space="preserve"> is not necessarily mentioned except in Florida (detailed in </w:t>
      </w:r>
      <w:proofErr w:type="spellStart"/>
      <w:r>
        <w:t>dantrolene</w:t>
      </w:r>
      <w:proofErr w:type="spellEnd"/>
      <w:r>
        <w:t xml:space="preserve"> quantity,) Massachusetts (</w:t>
      </w:r>
      <w:proofErr w:type="spellStart"/>
      <w:r>
        <w:t>dantrolene</w:t>
      </w:r>
      <w:proofErr w:type="spellEnd"/>
      <w:r>
        <w:t xml:space="preserve"> availability but not quantity,) and Tennessee (</w:t>
      </w:r>
      <w:proofErr w:type="spellStart"/>
      <w:r>
        <w:t>dantrolene</w:t>
      </w:r>
      <w:proofErr w:type="spellEnd"/>
      <w:r>
        <w:t xml:space="preserve"> availability and quantity. As an example, the Florida Codes are quite detailed and are quoted here. </w:t>
      </w:r>
      <w:r>
        <w:rPr>
          <w:b/>
        </w:rPr>
        <w:t>8 9 10 11 12 13 14 15</w:t>
      </w:r>
    </w:p>
    <w:p w14:paraId="7BF1ED4B" w14:textId="77777777" w:rsidR="00824C86" w:rsidRDefault="00824C86" w:rsidP="00824C86">
      <w:r>
        <w:t>“</w:t>
      </w:r>
      <w:r w:rsidRPr="008F34E5">
        <w:rPr>
          <w:i/>
          <w:u w:val="single"/>
        </w:rPr>
        <w:t>Florida Administrative Code r. 64B5-14.008</w:t>
      </w:r>
      <w:r>
        <w:t xml:space="preserve"> Requirements for General Anesthesia or Deep Sedation: Operatory, Recovery Room, Equipment, Medicinal Drugs, Emergency Protocols, Records, and Continuous Monitoring: General Anesthesia Permit applicants and permit holders shall comply with the following requirements at each location where anesthesia procedures are performed.  The requirements shall be met and equipment permanently maintained and available at each location. (5) Medicinal Drugs:  The following drugs or type of drugs with a current shelf life must be maintained and easily accessible from the operatory and recovery room: (n) A muscle relaxant (e.g. Succinylcholine)</w:t>
      </w:r>
      <w:proofErr w:type="gramStart"/>
      <w:r>
        <w:t xml:space="preserve">;  </w:t>
      </w:r>
      <w:r w:rsidRPr="008F34E5">
        <w:rPr>
          <w:i/>
          <w:u w:val="single"/>
        </w:rPr>
        <w:t>Florida</w:t>
      </w:r>
      <w:proofErr w:type="gramEnd"/>
      <w:r w:rsidRPr="008F34E5">
        <w:rPr>
          <w:i/>
          <w:u w:val="single"/>
        </w:rPr>
        <w:t xml:space="preserve"> Administrative Code r. 64B5-14.009,</w:t>
      </w:r>
      <w:r>
        <w:t xml:space="preserve"> 64B5-14.009 Conscious Sedation Requirements: Operatory, Recovery Room, Equipment, Medicinal Drugs, Emergency Protocols, Records, and Continuous Monitoring. (5) Medicinal Drugs: The following drugs or type of drugs with a current shelf life must be maintained and easily accessible from the operatory and recovery room: (n) A muscle relaxant (e.g. Succinylcholine)</w:t>
      </w:r>
      <w:proofErr w:type="gramStart"/>
      <w:r>
        <w:t>;</w:t>
      </w:r>
      <w:proofErr w:type="gramEnd"/>
      <w:r>
        <w:t xml:space="preserve"> </w:t>
      </w:r>
      <w:r w:rsidRPr="008F34E5">
        <w:rPr>
          <w:i/>
          <w:u w:val="single"/>
        </w:rPr>
        <w:t>Florida Administrative Code r. 64B5-14.010: 64B5-14.010</w:t>
      </w:r>
      <w:r>
        <w:t>. Pediatric Conscious Sedation Requirements: Operatory</w:t>
      </w:r>
      <w:proofErr w:type="gramStart"/>
      <w:r>
        <w:t>;</w:t>
      </w:r>
      <w:proofErr w:type="gramEnd"/>
      <w:r>
        <w:t xml:space="preserve"> Recovery Room, Equipment, Medicinal Drugs, </w:t>
      </w:r>
      <w:r>
        <w:lastRenderedPageBreak/>
        <w:t>Emergency Protocols, Records, and Continuous Monitoring. (5) Medicinal Drugs: The following drugs or type of drugs with a current shelf life must be maintained and easily accessible from the operatory and recovery room: (n) A muscle relaxant (e.g., Succinylcholine)</w:t>
      </w:r>
      <w:proofErr w:type="gramStart"/>
      <w:r>
        <w:t>;</w:t>
      </w:r>
      <w:proofErr w:type="gramEnd"/>
      <w:r w:rsidRPr="00761AFA">
        <w:rPr>
          <w:i/>
          <w:u w:val="single"/>
        </w:rPr>
        <w:t xml:space="preserve"> Florida Administrative Code r. 64B8-9.009. </w:t>
      </w:r>
      <w:proofErr w:type="gramStart"/>
      <w:r w:rsidRPr="00761AFA">
        <w:rPr>
          <w:i/>
          <w:u w:val="single"/>
        </w:rPr>
        <w:t xml:space="preserve">64B8-9.009 </w:t>
      </w:r>
      <w:r>
        <w:t>Standard of Care for Office Surgery.</w:t>
      </w:r>
      <w:proofErr w:type="gramEnd"/>
      <w:r>
        <w:t xml:space="preserve"> (b) Standards for Level III Office Surgery. In addition to the standards for Level II Office Surgery, the surgeon must comply with the following: 3. Equipment and Supplies Required. a. Equipment and Medication, including at least 720 mg of </w:t>
      </w:r>
      <w:proofErr w:type="spellStart"/>
      <w:r>
        <w:t>dantrolene</w:t>
      </w:r>
      <w:proofErr w:type="spellEnd"/>
      <w:r>
        <w:t xml:space="preserve"> on site (if halogenated anesthetics or succinylcholine are utilized), and monitored post-anesthetic recovery must be available in the office. </w:t>
      </w:r>
      <w:proofErr w:type="gramStart"/>
      <w:r w:rsidRPr="007554D1">
        <w:rPr>
          <w:i/>
          <w:u w:val="single"/>
        </w:rPr>
        <w:t>Florida Administrative Code.</w:t>
      </w:r>
      <w:proofErr w:type="gramEnd"/>
      <w:r w:rsidRPr="007554D1">
        <w:rPr>
          <w:i/>
          <w:u w:val="single"/>
        </w:rPr>
        <w:t xml:space="preserve"> r. 64B15-14.007. </w:t>
      </w:r>
      <w:proofErr w:type="gramStart"/>
      <w:r w:rsidRPr="007554D1">
        <w:rPr>
          <w:i/>
          <w:u w:val="single"/>
        </w:rPr>
        <w:t>64B15-14.007</w:t>
      </w:r>
      <w:r>
        <w:t>. Standard of Care for Office Surgery.</w:t>
      </w:r>
      <w:proofErr w:type="gramEnd"/>
      <w:r>
        <w:t xml:space="preserve">  (b) Standards for Level III Office Surgery. In addition to the standards for Level II Office Surgery, the surgeon must comply with the following: 3. Equipment and Supplies Required. a. Equipment and medication, including at least 720 mg of </w:t>
      </w:r>
      <w:proofErr w:type="spellStart"/>
      <w:r>
        <w:t>dantrolene</w:t>
      </w:r>
      <w:proofErr w:type="spellEnd"/>
      <w:r>
        <w:t xml:space="preserve"> on site, (if halogenated anesthetics or succinylcholine are utilized) and monitored post-anesthesia recovery must be available in the office.</w:t>
      </w:r>
    </w:p>
    <w:p w14:paraId="0B2958ED" w14:textId="77777777" w:rsidR="005B512F" w:rsidRDefault="005B512F" w:rsidP="00824C86"/>
    <w:p w14:paraId="4C45272E" w14:textId="6F464060" w:rsidR="00824C86" w:rsidRPr="00B35640" w:rsidRDefault="00196D83" w:rsidP="00824C86">
      <w:pPr>
        <w:rPr>
          <w:b/>
        </w:rPr>
      </w:pPr>
      <w:r>
        <w:t xml:space="preserve">The use of </w:t>
      </w:r>
      <w:proofErr w:type="spellStart"/>
      <w:r>
        <w:t>sux</w:t>
      </w:r>
      <w:proofErr w:type="spellEnd"/>
      <w:r>
        <w:t xml:space="preserve"> </w:t>
      </w:r>
      <w:r w:rsidR="00824C86" w:rsidRPr="003B1A17">
        <w:t xml:space="preserve">in the office-based environment was restricted to emergency use only in the one publication that used it and without adverse outcome.  This particular publication was concerned with the use of a laryngeal mask airway for </w:t>
      </w:r>
      <w:proofErr w:type="spellStart"/>
      <w:r w:rsidR="00824C86" w:rsidRPr="003B1A17">
        <w:t>adenotonsillectomy</w:t>
      </w:r>
      <w:proofErr w:type="spellEnd"/>
      <w:r w:rsidR="00824C86" w:rsidRPr="003B1A17">
        <w:t xml:space="preserve"> in the office-based environment.  Of the 1126 patients below the age of 16, only 10 required the use of </w:t>
      </w:r>
      <w:proofErr w:type="spellStart"/>
      <w:r w:rsidR="00824C86" w:rsidRPr="003B1A17">
        <w:t>su</w:t>
      </w:r>
      <w:r>
        <w:t>x</w:t>
      </w:r>
      <w:proofErr w:type="spellEnd"/>
      <w:r w:rsidR="00824C86" w:rsidRPr="003B1A17">
        <w:t xml:space="preserve"> to break laryngospasm and without adverse events with respect to malignant hyperthermia. </w:t>
      </w:r>
      <w:proofErr w:type="gramStart"/>
      <w:r w:rsidR="00824C86" w:rsidRPr="00DF7A46">
        <w:rPr>
          <w:b/>
        </w:rPr>
        <w:t xml:space="preserve">16 </w:t>
      </w:r>
      <w:r w:rsidR="00824C86">
        <w:rPr>
          <w:b/>
        </w:rPr>
        <w:t xml:space="preserve"> </w:t>
      </w:r>
      <w:r w:rsidR="00824C86">
        <w:t>Another</w:t>
      </w:r>
      <w:proofErr w:type="gramEnd"/>
      <w:r w:rsidR="00824C86">
        <w:t xml:space="preserve"> publication describes a similar technique for oral and maxillofacial surgery without the need for </w:t>
      </w:r>
      <w:proofErr w:type="spellStart"/>
      <w:r w:rsidR="00824C86">
        <w:t>su</w:t>
      </w:r>
      <w:r>
        <w:t>x</w:t>
      </w:r>
      <w:proofErr w:type="spellEnd"/>
      <w:r>
        <w:t xml:space="preserve"> </w:t>
      </w:r>
      <w:r w:rsidR="00824C86">
        <w:t xml:space="preserve">and consequently no need for </w:t>
      </w:r>
      <w:proofErr w:type="spellStart"/>
      <w:r w:rsidR="00824C86">
        <w:t>dantrolene</w:t>
      </w:r>
      <w:proofErr w:type="spellEnd"/>
      <w:r w:rsidR="00824C86">
        <w:t xml:space="preserve"> availability. </w:t>
      </w:r>
      <w:r w:rsidR="00824C86">
        <w:rPr>
          <w:b/>
        </w:rPr>
        <w:t>17</w:t>
      </w:r>
    </w:p>
    <w:p w14:paraId="13FCFA90" w14:textId="77777777" w:rsidR="00824C86" w:rsidRDefault="00824C86" w:rsidP="00824C86"/>
    <w:p w14:paraId="6B251A89" w14:textId="357E1B56" w:rsidR="00824C86" w:rsidRDefault="00824C86" w:rsidP="00824C86">
      <w:r>
        <w:t xml:space="preserve">In summary, there are regulatory mandates for the availability of </w:t>
      </w:r>
      <w:proofErr w:type="spellStart"/>
      <w:r>
        <w:t>su</w:t>
      </w:r>
      <w:r w:rsidR="00DF7A46">
        <w:t>x</w:t>
      </w:r>
      <w:proofErr w:type="spellEnd"/>
      <w:r>
        <w:t xml:space="preserve">.  In some cases, </w:t>
      </w:r>
      <w:proofErr w:type="spellStart"/>
      <w:r>
        <w:t>dantrolene</w:t>
      </w:r>
      <w:proofErr w:type="spellEnd"/>
      <w:r>
        <w:t xml:space="preserve"> is also required.  However, based upon an extensive search, there is little available in the literature.  </w:t>
      </w:r>
      <w:proofErr w:type="gramStart"/>
      <w:r>
        <w:t>Databases that were searched included OVID, PubMed, EMBASE, Google, and West Law.</w:t>
      </w:r>
      <w:proofErr w:type="gramEnd"/>
      <w:r>
        <w:t xml:space="preserve">  West Law is a legal </w:t>
      </w:r>
      <w:proofErr w:type="gramStart"/>
      <w:r>
        <w:t>data base</w:t>
      </w:r>
      <w:proofErr w:type="gramEnd"/>
      <w:r>
        <w:t xml:space="preserve">.  Reference numbers one, three, five, six, thirteen, and </w:t>
      </w:r>
      <w:r w:rsidR="005B512F">
        <w:t xml:space="preserve">fifteen </w:t>
      </w:r>
      <w:r>
        <w:t xml:space="preserve">were obtained from Google.  </w:t>
      </w:r>
      <w:proofErr w:type="gramStart"/>
      <w:r>
        <w:t>Reference number</w:t>
      </w:r>
      <w:proofErr w:type="gramEnd"/>
      <w:r>
        <w:t xml:space="preserve"> four and seven were found in Ovid.  The </w:t>
      </w:r>
      <w:proofErr w:type="gramStart"/>
      <w:r>
        <w:t>remainder were</w:t>
      </w:r>
      <w:proofErr w:type="gramEnd"/>
      <w:r>
        <w:t xml:space="preserve"> found on West Law.  Additional searches revealed the following: PubMed: 0 matches, EMBASE: 7 matches.  Cochrane Library of Databases: 0 matches.</w:t>
      </w:r>
    </w:p>
    <w:p w14:paraId="0977EAC4" w14:textId="7287E614" w:rsidR="00824C86" w:rsidRPr="00B35640" w:rsidRDefault="00824C86" w:rsidP="00824C86">
      <w:r>
        <w:t xml:space="preserve">The search from EMBASE revealed similar mandates or highly suggested availability of </w:t>
      </w:r>
      <w:proofErr w:type="spellStart"/>
      <w:r>
        <w:t>su</w:t>
      </w:r>
      <w:r w:rsidR="00196D83">
        <w:t>x</w:t>
      </w:r>
      <w:proofErr w:type="spellEnd"/>
      <w:r>
        <w:t xml:space="preserve"> for rescue/laryngospasm.  They also inferred that its avoidance by using other means to break laryngospasm would reduce the likely need for MH is the patient triggered.  </w:t>
      </w:r>
      <w:r w:rsidRPr="00B35640">
        <w:rPr>
          <w:b/>
        </w:rPr>
        <w:t>18 19 20</w:t>
      </w:r>
      <w:r>
        <w:rPr>
          <w:b/>
        </w:rPr>
        <w:t xml:space="preserve"> 21 </w:t>
      </w:r>
      <w:r>
        <w:t xml:space="preserve">  In the last reference, the availability of </w:t>
      </w:r>
      <w:proofErr w:type="spellStart"/>
      <w:r>
        <w:t>su</w:t>
      </w:r>
      <w:r w:rsidR="00196D83">
        <w:t>x</w:t>
      </w:r>
      <w:proofErr w:type="spellEnd"/>
      <w:r>
        <w:t xml:space="preserve"> for</w:t>
      </w:r>
      <w:r w:rsidR="005672EA">
        <w:t xml:space="preserve"> treatment of laryngospasm and t</w:t>
      </w:r>
      <w:r>
        <w:t xml:space="preserve">he </w:t>
      </w:r>
      <w:r w:rsidR="005672EA">
        <w:t xml:space="preserve">American Association of Oral and Maxillofacial Surgeons’ </w:t>
      </w:r>
      <w:r>
        <w:t xml:space="preserve">requirement that </w:t>
      </w:r>
      <w:proofErr w:type="spellStart"/>
      <w:r>
        <w:t>dantrolene</w:t>
      </w:r>
      <w:proofErr w:type="spellEnd"/>
      <w:r>
        <w:t xml:space="preserve"> be available per MHAUS is strongly questioned. </w:t>
      </w:r>
      <w:r w:rsidRPr="00B35640">
        <w:rPr>
          <w:b/>
        </w:rPr>
        <w:t>2</w:t>
      </w:r>
      <w:r>
        <w:rPr>
          <w:b/>
        </w:rPr>
        <w:t>2</w:t>
      </w:r>
    </w:p>
    <w:p w14:paraId="58761161" w14:textId="77777777" w:rsidR="00824C86" w:rsidRDefault="00824C86" w:rsidP="00824C86"/>
    <w:p w14:paraId="4485AE93" w14:textId="77777777" w:rsidR="00111142" w:rsidRDefault="00111142" w:rsidP="00824C86">
      <w:pPr>
        <w:jc w:val="center"/>
        <w:rPr>
          <w:b/>
        </w:rPr>
      </w:pPr>
    </w:p>
    <w:p w14:paraId="57870C4D" w14:textId="77777777" w:rsidR="00111142" w:rsidRDefault="00111142" w:rsidP="00824C86">
      <w:pPr>
        <w:jc w:val="center"/>
        <w:rPr>
          <w:b/>
        </w:rPr>
      </w:pPr>
    </w:p>
    <w:p w14:paraId="02E5C4C4" w14:textId="77777777" w:rsidR="00DF7A46" w:rsidRDefault="00DF7A46">
      <w:pPr>
        <w:rPr>
          <w:b/>
        </w:rPr>
      </w:pPr>
      <w:r>
        <w:rPr>
          <w:b/>
        </w:rPr>
        <w:br w:type="page"/>
      </w:r>
    </w:p>
    <w:p w14:paraId="72EFCA13" w14:textId="41EB81F7" w:rsidR="00824C86" w:rsidRPr="00404A06" w:rsidRDefault="00824C86" w:rsidP="00824C86">
      <w:pPr>
        <w:jc w:val="center"/>
        <w:rPr>
          <w:b/>
        </w:rPr>
      </w:pPr>
      <w:r w:rsidRPr="00404A06">
        <w:rPr>
          <w:b/>
        </w:rPr>
        <w:lastRenderedPageBreak/>
        <w:t>REFERENCES</w:t>
      </w:r>
    </w:p>
    <w:p w14:paraId="74282E84" w14:textId="77777777" w:rsidR="00824C86" w:rsidRDefault="00824C86" w:rsidP="00824C86">
      <w:pPr>
        <w:pStyle w:val="ListParagraph"/>
        <w:numPr>
          <w:ilvl w:val="0"/>
          <w:numId w:val="2"/>
        </w:numPr>
        <w:spacing w:after="160" w:line="259" w:lineRule="auto"/>
      </w:pPr>
      <w:r>
        <w:t xml:space="preserve">Steiner RB. Succinylcholine chloride as a supplemental agent in ambulatory dental anesthesia. J Am Dent </w:t>
      </w:r>
      <w:proofErr w:type="spellStart"/>
      <w:r>
        <w:t>Soc</w:t>
      </w:r>
      <w:proofErr w:type="spellEnd"/>
      <w:r>
        <w:t xml:space="preserve"> </w:t>
      </w:r>
      <w:proofErr w:type="spellStart"/>
      <w:r>
        <w:t>Anesthesiol</w:t>
      </w:r>
      <w:proofErr w:type="spellEnd"/>
      <w:r>
        <w:t xml:space="preserve"> 1959; 6: 8-10</w:t>
      </w:r>
    </w:p>
    <w:p w14:paraId="448D6248" w14:textId="77777777" w:rsidR="00824C86" w:rsidRDefault="00824C86" w:rsidP="00824C86">
      <w:pPr>
        <w:pStyle w:val="ListParagraph"/>
        <w:numPr>
          <w:ilvl w:val="0"/>
          <w:numId w:val="2"/>
        </w:numPr>
        <w:spacing w:after="160" w:line="259" w:lineRule="auto"/>
      </w:pPr>
      <w:r>
        <w:t>OFFICE-BASED ANESTHESIA: considerations for anesthesiologists in setting up and maintaining a safe office anesthesia environment. 2</w:t>
      </w:r>
      <w:r w:rsidRPr="00BA0DC2">
        <w:rPr>
          <w:vertAlign w:val="superscript"/>
        </w:rPr>
        <w:t>nd</w:t>
      </w:r>
      <w:r>
        <w:t xml:space="preserve"> edition. 2008.</w:t>
      </w:r>
    </w:p>
    <w:p w14:paraId="7F004662" w14:textId="77777777" w:rsidR="00824C86" w:rsidRDefault="00824C86" w:rsidP="00824C86">
      <w:pPr>
        <w:pStyle w:val="ListParagraph"/>
        <w:numPr>
          <w:ilvl w:val="0"/>
          <w:numId w:val="2"/>
        </w:numPr>
        <w:spacing w:after="160" w:line="259" w:lineRule="auto"/>
      </w:pPr>
      <w:r>
        <w:t>American Association of Oral and Maxillofacial Surgeons: Office Anesthesia Evaluation Manual. 8</w:t>
      </w:r>
      <w:r w:rsidRPr="005D0695">
        <w:rPr>
          <w:vertAlign w:val="superscript"/>
        </w:rPr>
        <w:t>th</w:t>
      </w:r>
      <w:r>
        <w:t xml:space="preserve"> Ed. 2012.</w:t>
      </w:r>
    </w:p>
    <w:p w14:paraId="489922D3" w14:textId="3D96B2D5" w:rsidR="00824C86" w:rsidRDefault="00824C86" w:rsidP="00824C86">
      <w:pPr>
        <w:pStyle w:val="ListParagraph"/>
        <w:numPr>
          <w:ilvl w:val="0"/>
          <w:numId w:val="2"/>
        </w:numPr>
        <w:spacing w:after="160" w:line="259" w:lineRule="auto"/>
      </w:pPr>
      <w:proofErr w:type="spellStart"/>
      <w:r>
        <w:t>Herlich</w:t>
      </w:r>
      <w:proofErr w:type="spellEnd"/>
      <w:r>
        <w:t xml:space="preserve"> A. Anesthetic emergencies in oral su</w:t>
      </w:r>
      <w:r w:rsidR="00114050">
        <w:t xml:space="preserve">rgery: malignant hyperthermia, </w:t>
      </w:r>
      <w:proofErr w:type="spellStart"/>
      <w:r w:rsidR="00114050">
        <w:t>e</w:t>
      </w:r>
      <w:r>
        <w:t>ndocrinopathy</w:t>
      </w:r>
      <w:proofErr w:type="spellEnd"/>
      <w:r>
        <w:t>, and neurologic events. Oral and Maxillofacial Surgery Clinics of North America. 2013; Volume 25: 507-514.</w:t>
      </w:r>
    </w:p>
    <w:p w14:paraId="35D9D0FE" w14:textId="77777777" w:rsidR="00824C86" w:rsidRDefault="00824C86" w:rsidP="00824C86">
      <w:pPr>
        <w:pStyle w:val="ListParagraph"/>
        <w:numPr>
          <w:ilvl w:val="0"/>
          <w:numId w:val="2"/>
        </w:numPr>
        <w:spacing w:after="160" w:line="259" w:lineRule="auto"/>
      </w:pPr>
      <w:r>
        <w:t>American Association for Accreditation of Ambulatory Surgery Facilities. INC. Procedural Standards and Checklist for Accreditation of Ambulatory Surgical Facilities.  Version 3, August 2011.</w:t>
      </w:r>
    </w:p>
    <w:p w14:paraId="00338009" w14:textId="77777777" w:rsidR="00824C86" w:rsidRDefault="00824C86" w:rsidP="00824C86">
      <w:pPr>
        <w:pStyle w:val="ListParagraph"/>
        <w:numPr>
          <w:ilvl w:val="0"/>
          <w:numId w:val="2"/>
        </w:numPr>
        <w:spacing w:after="160" w:line="259" w:lineRule="auto"/>
      </w:pPr>
      <w:r>
        <w:t>American Association for Accreditation of Ambulatory Surgery Facilities, INC. Regulator Standards and Checklist for Accreditation of Ambulatory Surgery Facilities Version 14.5. March 2017</w:t>
      </w:r>
    </w:p>
    <w:p w14:paraId="52C391FD" w14:textId="0AD9A2F1" w:rsidR="00824C86" w:rsidRDefault="00824C86" w:rsidP="00824C86">
      <w:pPr>
        <w:pStyle w:val="ListParagraph"/>
        <w:numPr>
          <w:ilvl w:val="0"/>
          <w:numId w:val="2"/>
        </w:numPr>
        <w:spacing w:after="160" w:line="259" w:lineRule="auto"/>
      </w:pPr>
      <w:r>
        <w:t>J</w:t>
      </w:r>
      <w:r w:rsidR="00114050">
        <w:t>oshi GP, Desai MS, Gayer S et al</w:t>
      </w:r>
      <w:r>
        <w:t xml:space="preserve">. Succinylcholine for Emergency Airway Rescue in Class B Ambulatory Facilities: The Society for Ambulatory Anesthesia Position Statement. </w:t>
      </w:r>
      <w:proofErr w:type="spellStart"/>
      <w:r>
        <w:t>Anesth</w:t>
      </w:r>
      <w:proofErr w:type="spellEnd"/>
      <w:r>
        <w:t xml:space="preserve"> Analg 124: 1447-1449.</w:t>
      </w:r>
    </w:p>
    <w:p w14:paraId="33C48402" w14:textId="77777777" w:rsidR="00824C86" w:rsidRDefault="00824C86" w:rsidP="00824C86">
      <w:pPr>
        <w:pStyle w:val="ListParagraph"/>
        <w:numPr>
          <w:ilvl w:val="0"/>
          <w:numId w:val="2"/>
        </w:numPr>
        <w:spacing w:after="160" w:line="259" w:lineRule="auto"/>
      </w:pPr>
      <w:r w:rsidRPr="008F34E5">
        <w:t>Florida (64B5=Board of Dentistry, 64B8= Board of Medicine, 64B15=Board of Osteopathic Medicine.</w:t>
      </w:r>
    </w:p>
    <w:p w14:paraId="15091493" w14:textId="77777777" w:rsidR="00824C86" w:rsidRDefault="00824C86" w:rsidP="00824C86">
      <w:pPr>
        <w:pStyle w:val="ListParagraph"/>
        <w:numPr>
          <w:ilvl w:val="0"/>
          <w:numId w:val="2"/>
        </w:numPr>
        <w:spacing w:after="160" w:line="259" w:lineRule="auto"/>
      </w:pPr>
      <w:r>
        <w:t>Massachusetts 234 CMR 6.04. 6.04: Facility Permit D-A: Facility Requirements for the Administration of General Anesthesia and Deep Sedation.</w:t>
      </w:r>
    </w:p>
    <w:p w14:paraId="186708B2" w14:textId="77777777" w:rsidR="00824C86" w:rsidRDefault="00824C86" w:rsidP="00824C86">
      <w:pPr>
        <w:pStyle w:val="ListParagraph"/>
        <w:numPr>
          <w:ilvl w:val="0"/>
          <w:numId w:val="2"/>
        </w:numPr>
        <w:spacing w:after="160" w:line="259" w:lineRule="auto"/>
      </w:pPr>
      <w:proofErr w:type="gramStart"/>
      <w:r>
        <w:t>Missouri  20</w:t>
      </w:r>
      <w:proofErr w:type="gramEnd"/>
      <w:r>
        <w:t xml:space="preserve"> Missouri Code of State Regulations 2110-4.030  20 CSR 2110-4.030 Guidelines for Administration of Moderate Sedation.  (Succinylcholine suggested but not required)</w:t>
      </w:r>
    </w:p>
    <w:p w14:paraId="43C55E78" w14:textId="77777777" w:rsidR="00824C86" w:rsidRDefault="00824C86" w:rsidP="00824C86">
      <w:pPr>
        <w:pStyle w:val="ListParagraph"/>
        <w:numPr>
          <w:ilvl w:val="0"/>
          <w:numId w:val="2"/>
        </w:numPr>
        <w:spacing w:after="160" w:line="259" w:lineRule="auto"/>
      </w:pPr>
      <w:r>
        <w:t xml:space="preserve">Tennessee Comp. R. &amp; </w:t>
      </w:r>
      <w:proofErr w:type="spellStart"/>
      <w:r>
        <w:t>Regs</w:t>
      </w:r>
      <w:proofErr w:type="spellEnd"/>
      <w:r>
        <w:t xml:space="preserve">. 0880-02-.21, 1050-02-.21, (Office Based Surgery) 1200-08-10-.06 (Basic Services). Requires </w:t>
      </w:r>
      <w:proofErr w:type="spellStart"/>
      <w:r>
        <w:t>dantrolene</w:t>
      </w:r>
      <w:proofErr w:type="spellEnd"/>
      <w:r>
        <w:t xml:space="preserve"> in specific amounts to be available when agents known to trigger malignant hyperthermia are maintained in the facility or the surgical suite. </w:t>
      </w:r>
    </w:p>
    <w:p w14:paraId="05C5F837" w14:textId="77777777" w:rsidR="00824C86" w:rsidRDefault="00824C86" w:rsidP="00824C86">
      <w:pPr>
        <w:pStyle w:val="ListParagraph"/>
        <w:numPr>
          <w:ilvl w:val="0"/>
          <w:numId w:val="2"/>
        </w:numPr>
        <w:spacing w:after="160" w:line="259" w:lineRule="auto"/>
      </w:pPr>
      <w:r>
        <w:t xml:space="preserve">New Jersey State Board of Dentistry: New Jersey State Board of Dentistry Inventory of Equipment, Drugs, and Medications to be Available in all Offices Practicing General Anesthesia </w:t>
      </w:r>
      <w:hyperlink r:id="rId8" w:history="1">
        <w:r w:rsidRPr="00340B82">
          <w:rPr>
            <w:rStyle w:val="Hyperlink"/>
          </w:rPr>
          <w:t>http://njpublicsafety.com/ca/dentistry/inventory.htm</w:t>
        </w:r>
      </w:hyperlink>
      <w:r>
        <w:t xml:space="preserve">. </w:t>
      </w:r>
      <w:proofErr w:type="gramStart"/>
      <w:r>
        <w:t>accessed</w:t>
      </w:r>
      <w:proofErr w:type="gramEnd"/>
      <w:r>
        <w:t xml:space="preserve"> 04/09/2017</w:t>
      </w:r>
    </w:p>
    <w:p w14:paraId="16D0088F" w14:textId="77777777" w:rsidR="00824C86" w:rsidRDefault="00824C86" w:rsidP="00824C86">
      <w:pPr>
        <w:pStyle w:val="ListParagraph"/>
        <w:numPr>
          <w:ilvl w:val="0"/>
          <w:numId w:val="2"/>
        </w:numPr>
        <w:spacing w:after="160" w:line="259" w:lineRule="auto"/>
      </w:pPr>
      <w:r>
        <w:t>South Dakota State Board of Dentistry. Practitioner Manual for Dental Office Evaluation. Regulation 16.0602</w:t>
      </w:r>
    </w:p>
    <w:p w14:paraId="45E520BA" w14:textId="77777777" w:rsidR="00824C86" w:rsidRDefault="00824C86" w:rsidP="00824C86">
      <w:pPr>
        <w:pStyle w:val="ListParagraph"/>
        <w:numPr>
          <w:ilvl w:val="0"/>
          <w:numId w:val="2"/>
        </w:numPr>
        <w:spacing w:after="160" w:line="259" w:lineRule="auto"/>
      </w:pPr>
      <w:r>
        <w:t xml:space="preserve">Connecticut: </w:t>
      </w:r>
      <w:proofErr w:type="spellStart"/>
      <w:r>
        <w:t>Regs</w:t>
      </w:r>
      <w:proofErr w:type="spellEnd"/>
      <w:r>
        <w:t>. Conn. State Agencies ʂ 20-123b-9, Office equipment, emergency drugs, and anesthesia records.</w:t>
      </w:r>
    </w:p>
    <w:p w14:paraId="0225640E" w14:textId="77777777" w:rsidR="00824C86" w:rsidRDefault="00824C86" w:rsidP="00824C86">
      <w:pPr>
        <w:pStyle w:val="ListParagraph"/>
        <w:numPr>
          <w:ilvl w:val="0"/>
          <w:numId w:val="2"/>
        </w:numPr>
        <w:spacing w:after="160" w:line="259" w:lineRule="auto"/>
      </w:pPr>
      <w:r>
        <w:t>Minnesota Board of Dentistry: Inspection/Self Evaluation for Dentists &amp; Dental Offices Offering Moderate Sedation, Deep Sedation, General Anesthesia and/or Contract Sedation Provider. Page 6. Revised March 2016.</w:t>
      </w:r>
    </w:p>
    <w:p w14:paraId="6F7C1073" w14:textId="77777777" w:rsidR="00824C86" w:rsidRDefault="00824C86" w:rsidP="00824C86">
      <w:pPr>
        <w:pStyle w:val="ListParagraph"/>
        <w:numPr>
          <w:ilvl w:val="0"/>
          <w:numId w:val="2"/>
        </w:numPr>
        <w:spacing w:after="160" w:line="259" w:lineRule="auto"/>
      </w:pPr>
      <w:proofErr w:type="spellStart"/>
      <w:r>
        <w:t>Gravningsbráten</w:t>
      </w:r>
      <w:proofErr w:type="spellEnd"/>
      <w:r>
        <w:t xml:space="preserve"> R, </w:t>
      </w:r>
      <w:proofErr w:type="spellStart"/>
      <w:r>
        <w:t>Nicklasson</w:t>
      </w:r>
      <w:proofErr w:type="spellEnd"/>
      <w:r>
        <w:t xml:space="preserve"> B, Raeder J. Safety of laryngeal mask airway and short-stay practice in office-based </w:t>
      </w:r>
      <w:proofErr w:type="spellStart"/>
      <w:r>
        <w:t>andenotonsillectomy</w:t>
      </w:r>
      <w:proofErr w:type="spellEnd"/>
      <w:r>
        <w:t xml:space="preserve">. </w:t>
      </w:r>
      <w:proofErr w:type="spellStart"/>
      <w:r>
        <w:t>Acta</w:t>
      </w:r>
      <w:proofErr w:type="spellEnd"/>
      <w:r>
        <w:t xml:space="preserve"> </w:t>
      </w:r>
      <w:proofErr w:type="spellStart"/>
      <w:r>
        <w:t>Anaesthesiol</w:t>
      </w:r>
      <w:proofErr w:type="spellEnd"/>
      <w:r>
        <w:t xml:space="preserve"> Scan 2009; 53: 218-222.</w:t>
      </w:r>
    </w:p>
    <w:p w14:paraId="059001CC" w14:textId="02CF3370" w:rsidR="00824C86" w:rsidRDefault="00824C86" w:rsidP="00824C86">
      <w:pPr>
        <w:pStyle w:val="ListParagraph"/>
        <w:numPr>
          <w:ilvl w:val="0"/>
          <w:numId w:val="2"/>
        </w:numPr>
        <w:spacing w:after="160" w:line="259" w:lineRule="auto"/>
      </w:pPr>
      <w:r>
        <w:lastRenderedPageBreak/>
        <w:t>Lilly JS,</w:t>
      </w:r>
      <w:r w:rsidR="005B512F">
        <w:t xml:space="preserve"> </w:t>
      </w:r>
      <w:proofErr w:type="spellStart"/>
      <w:r w:rsidR="005B512F">
        <w:t>Bradrick</w:t>
      </w:r>
      <w:proofErr w:type="spellEnd"/>
      <w:r w:rsidR="005B512F">
        <w:t xml:space="preserve"> JP, Picard UM. Office-</w:t>
      </w:r>
      <w:r>
        <w:t>based total intravenous general anesth</w:t>
      </w:r>
      <w:r w:rsidR="00050C5C">
        <w:t>esia with laryngeal mask airway:</w:t>
      </w:r>
      <w:r>
        <w:t xml:space="preserve"> Pump vs. Bump technique. J Oral </w:t>
      </w:r>
      <w:proofErr w:type="spellStart"/>
      <w:r>
        <w:t>Maxillofac</w:t>
      </w:r>
      <w:proofErr w:type="spellEnd"/>
      <w:r>
        <w:t xml:space="preserve"> </w:t>
      </w:r>
      <w:proofErr w:type="spellStart"/>
      <w:r>
        <w:t>Surg</w:t>
      </w:r>
      <w:proofErr w:type="spellEnd"/>
      <w:r>
        <w:t xml:space="preserve"> 2012; </w:t>
      </w:r>
      <w:r w:rsidR="00050C5C">
        <w:t xml:space="preserve">70(Supplement 2, Issue 9): </w:t>
      </w:r>
      <w:r>
        <w:t>e 33</w:t>
      </w:r>
    </w:p>
    <w:p w14:paraId="00A19673" w14:textId="2560EBE3" w:rsidR="00824C86" w:rsidRDefault="00824C86" w:rsidP="00824C86">
      <w:pPr>
        <w:pStyle w:val="ListParagraph"/>
        <w:numPr>
          <w:ilvl w:val="0"/>
          <w:numId w:val="2"/>
        </w:numPr>
        <w:spacing w:after="160" w:line="259" w:lineRule="auto"/>
      </w:pPr>
      <w:proofErr w:type="spellStart"/>
      <w:r>
        <w:t>Cangemia</w:t>
      </w:r>
      <w:proofErr w:type="spellEnd"/>
      <w:r>
        <w:t xml:space="preserve"> </w:t>
      </w:r>
      <w:proofErr w:type="spellStart"/>
      <w:r>
        <w:t>Jr</w:t>
      </w:r>
      <w:proofErr w:type="spellEnd"/>
      <w:r>
        <w:t>, C</w:t>
      </w:r>
      <w:r w:rsidR="00F40FA9">
        <w:t>F</w:t>
      </w:r>
      <w:r>
        <w:t xml:space="preserve">. Administration of general anesthesia for outpatient </w:t>
      </w:r>
      <w:proofErr w:type="spellStart"/>
      <w:r>
        <w:t>orthognathic</w:t>
      </w:r>
      <w:proofErr w:type="spellEnd"/>
      <w:r>
        <w:t xml:space="preserve"> surgical procedu</w:t>
      </w:r>
      <w:r w:rsidR="00F40FA9">
        <w:t xml:space="preserve">res. J Oral </w:t>
      </w:r>
      <w:proofErr w:type="spellStart"/>
      <w:r w:rsidR="00F40FA9">
        <w:t>Maxillofac</w:t>
      </w:r>
      <w:proofErr w:type="spellEnd"/>
      <w:r w:rsidR="00F40FA9">
        <w:t xml:space="preserve"> </w:t>
      </w:r>
      <w:proofErr w:type="spellStart"/>
      <w:r w:rsidR="00F40FA9">
        <w:t>Surg</w:t>
      </w:r>
      <w:proofErr w:type="spellEnd"/>
      <w:r w:rsidR="00F40FA9">
        <w:t xml:space="preserve"> 2011</w:t>
      </w:r>
      <w:r>
        <w:t xml:space="preserve">; </w:t>
      </w:r>
      <w:r w:rsidR="00F40FA9">
        <w:t xml:space="preserve">69: </w:t>
      </w:r>
      <w:r>
        <w:t>798-807.</w:t>
      </w:r>
    </w:p>
    <w:p w14:paraId="52157B1D" w14:textId="0BF6F53A" w:rsidR="00824C86" w:rsidRDefault="00824C86" w:rsidP="00824C86">
      <w:pPr>
        <w:pStyle w:val="ListParagraph"/>
        <w:numPr>
          <w:ilvl w:val="0"/>
          <w:numId w:val="2"/>
        </w:numPr>
        <w:spacing w:after="160" w:line="259" w:lineRule="auto"/>
      </w:pPr>
      <w:r>
        <w:t xml:space="preserve">Smith I. Office-based </w:t>
      </w:r>
      <w:proofErr w:type="spellStart"/>
      <w:r>
        <w:t>an</w:t>
      </w:r>
      <w:r w:rsidR="00F40FA9">
        <w:t>a</w:t>
      </w:r>
      <w:r>
        <w:t>esthesia</w:t>
      </w:r>
      <w:proofErr w:type="spellEnd"/>
      <w:r>
        <w:t>: the UK persp</w:t>
      </w:r>
      <w:r w:rsidR="00F40FA9">
        <w:t>ective. Ambulatory Surgery. 1998</w:t>
      </w:r>
      <w:proofErr w:type="gramStart"/>
      <w:r w:rsidR="00F40FA9">
        <w:t>;</w:t>
      </w:r>
      <w:proofErr w:type="gramEnd"/>
      <w:r w:rsidR="00F40FA9">
        <w:t xml:space="preserve"> 6:</w:t>
      </w:r>
      <w:r>
        <w:t>69-74.</w:t>
      </w:r>
    </w:p>
    <w:p w14:paraId="1D20F05D" w14:textId="77777777" w:rsidR="00824C86" w:rsidRDefault="00824C86" w:rsidP="00824C86">
      <w:pPr>
        <w:pStyle w:val="ListParagraph"/>
        <w:numPr>
          <w:ilvl w:val="0"/>
          <w:numId w:val="2"/>
        </w:numPr>
        <w:spacing w:after="160" w:line="259" w:lineRule="auto"/>
      </w:pPr>
      <w:r>
        <w:t xml:space="preserve">Abeles G, </w:t>
      </w:r>
      <w:proofErr w:type="spellStart"/>
      <w:r>
        <w:t>Warmuth</w:t>
      </w:r>
      <w:proofErr w:type="spellEnd"/>
      <w:r>
        <w:t xml:space="preserve"> IP, </w:t>
      </w:r>
      <w:proofErr w:type="spellStart"/>
      <w:r>
        <w:t>Sequeira</w:t>
      </w:r>
      <w:proofErr w:type="spellEnd"/>
      <w:r>
        <w:t xml:space="preserve"> M, et al. The use of conscious sedation for outpatient dermatologic surgical procedures. </w:t>
      </w:r>
      <w:proofErr w:type="spellStart"/>
      <w:r>
        <w:t>Dermatol</w:t>
      </w:r>
      <w:proofErr w:type="spellEnd"/>
      <w:r>
        <w:t xml:space="preserve"> </w:t>
      </w:r>
      <w:proofErr w:type="spellStart"/>
      <w:r>
        <w:t>Surg</w:t>
      </w:r>
      <w:proofErr w:type="spellEnd"/>
      <w:r>
        <w:t xml:space="preserve"> 2000; 26: 121-126.</w:t>
      </w:r>
    </w:p>
    <w:p w14:paraId="13B1E326" w14:textId="77777777" w:rsidR="00824C86" w:rsidRDefault="00824C86" w:rsidP="00824C86">
      <w:pPr>
        <w:pStyle w:val="ListParagraph"/>
        <w:numPr>
          <w:ilvl w:val="0"/>
          <w:numId w:val="2"/>
        </w:numPr>
        <w:spacing w:after="160" w:line="259" w:lineRule="auto"/>
      </w:pPr>
      <w:r>
        <w:t xml:space="preserve">Koch ME, Dayan S, </w:t>
      </w:r>
      <w:proofErr w:type="spellStart"/>
      <w:r>
        <w:t>Barinholtz</w:t>
      </w:r>
      <w:proofErr w:type="spellEnd"/>
      <w:r>
        <w:t xml:space="preserve"> D. Office-based anesthesia: an overview. Anesthesiology </w:t>
      </w:r>
      <w:proofErr w:type="spellStart"/>
      <w:r>
        <w:t>Clin</w:t>
      </w:r>
      <w:proofErr w:type="spellEnd"/>
      <w:r>
        <w:t xml:space="preserve"> N Am 2003; 21: 417-443.</w:t>
      </w:r>
    </w:p>
    <w:p w14:paraId="2A63E799" w14:textId="77777777" w:rsidR="00824C86" w:rsidRDefault="00824C86" w:rsidP="00824C86">
      <w:pPr>
        <w:pStyle w:val="ListParagraph"/>
        <w:numPr>
          <w:ilvl w:val="0"/>
          <w:numId w:val="2"/>
        </w:numPr>
        <w:spacing w:after="160" w:line="259" w:lineRule="auto"/>
      </w:pPr>
      <w:r>
        <w:t xml:space="preserve">Treasure T, Bennett J. Office-based anesthesia. Oral </w:t>
      </w:r>
      <w:proofErr w:type="spellStart"/>
      <w:r>
        <w:t>Maxillofac</w:t>
      </w:r>
      <w:proofErr w:type="spellEnd"/>
      <w:r>
        <w:t xml:space="preserve"> </w:t>
      </w:r>
      <w:proofErr w:type="spellStart"/>
      <w:r>
        <w:t>Surg</w:t>
      </w:r>
      <w:proofErr w:type="spellEnd"/>
      <w:r>
        <w:t xml:space="preserve"> </w:t>
      </w:r>
      <w:proofErr w:type="spellStart"/>
      <w:r>
        <w:t>Clin</w:t>
      </w:r>
      <w:proofErr w:type="spellEnd"/>
      <w:r>
        <w:t xml:space="preserve"> N Am 2007; 19: 45-57.</w:t>
      </w:r>
    </w:p>
    <w:p w14:paraId="55B8944D" w14:textId="77777777" w:rsidR="00824C86" w:rsidRDefault="00824C86" w:rsidP="00824C86"/>
    <w:p w14:paraId="251E1EE6" w14:textId="77777777" w:rsidR="00521328" w:rsidRDefault="00521328" w:rsidP="009D037D"/>
    <w:p w14:paraId="0F9417A1" w14:textId="77777777" w:rsidR="00C938AB" w:rsidRDefault="00C938AB" w:rsidP="001B04CC"/>
    <w:p w14:paraId="3F5B2633" w14:textId="77777777" w:rsidR="00C938AB" w:rsidRDefault="00C938AB" w:rsidP="001B04CC"/>
    <w:p w14:paraId="26D53A89" w14:textId="77777777" w:rsidR="00C938AB" w:rsidRDefault="00C938AB" w:rsidP="001B04CC"/>
    <w:p w14:paraId="5D336299" w14:textId="77777777" w:rsidR="00C938AB" w:rsidRDefault="00C938AB" w:rsidP="001B04CC"/>
    <w:p w14:paraId="175A76B4" w14:textId="77777777" w:rsidR="00C938AB" w:rsidRDefault="00C938AB" w:rsidP="001B04CC"/>
    <w:p w14:paraId="0488992E" w14:textId="77777777" w:rsidR="00C938AB" w:rsidRDefault="00C938AB" w:rsidP="001B04CC"/>
    <w:p w14:paraId="07693F9F" w14:textId="77777777" w:rsidR="00C938AB" w:rsidRDefault="00C938AB" w:rsidP="001B04CC"/>
    <w:p w14:paraId="6BBA7C4B" w14:textId="77777777" w:rsidR="00C938AB" w:rsidRDefault="00C938AB" w:rsidP="001B04CC"/>
    <w:p w14:paraId="6C3F38A9" w14:textId="77777777" w:rsidR="00C938AB" w:rsidRDefault="00C938AB" w:rsidP="001B04CC"/>
    <w:p w14:paraId="506DAF7E" w14:textId="77777777" w:rsidR="00C938AB" w:rsidRDefault="00C938AB" w:rsidP="001B04CC"/>
    <w:p w14:paraId="1AF2579B" w14:textId="77777777" w:rsidR="00C938AB" w:rsidRDefault="00C938AB" w:rsidP="001B04CC"/>
    <w:p w14:paraId="5E179F30" w14:textId="77777777" w:rsidR="00C938AB" w:rsidRDefault="00C938AB" w:rsidP="001B04CC"/>
    <w:p w14:paraId="4B42D206" w14:textId="77777777" w:rsidR="00C938AB" w:rsidRDefault="00C938AB" w:rsidP="001B04CC"/>
    <w:p w14:paraId="5D8004FF" w14:textId="77777777" w:rsidR="00C938AB" w:rsidRDefault="00C938AB" w:rsidP="001B04CC"/>
    <w:p w14:paraId="134C9C28" w14:textId="77777777" w:rsidR="00C938AB" w:rsidRDefault="00C938AB" w:rsidP="001B04CC"/>
    <w:p w14:paraId="7D0F651F" w14:textId="77777777" w:rsidR="00C938AB" w:rsidRDefault="00C938AB" w:rsidP="001B04CC"/>
    <w:p w14:paraId="52A7581D" w14:textId="77777777" w:rsidR="00C938AB" w:rsidRDefault="00C938AB" w:rsidP="001B04CC"/>
    <w:p w14:paraId="78EC2221" w14:textId="77777777" w:rsidR="009B1023" w:rsidRDefault="009B1023">
      <w:pPr>
        <w:rPr>
          <w:b/>
        </w:rPr>
      </w:pPr>
    </w:p>
    <w:sectPr w:rsidR="009B1023" w:rsidSect="00111142">
      <w:headerReference w:type="even" r:id="rId9"/>
      <w:headerReference w:type="default" r:id="rId10"/>
      <w:footnotePr>
        <w:numFmt w:val="chicago"/>
      </w:footnotePr>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AC086" w14:textId="77777777" w:rsidR="00F40FA9" w:rsidRDefault="00F40FA9" w:rsidP="006D1536">
      <w:r>
        <w:separator/>
      </w:r>
    </w:p>
  </w:endnote>
  <w:endnote w:type="continuationSeparator" w:id="0">
    <w:p w14:paraId="328B7376" w14:textId="77777777" w:rsidR="00F40FA9" w:rsidRDefault="00F40FA9" w:rsidP="006D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F592D" w14:textId="77777777" w:rsidR="00F40FA9" w:rsidRDefault="00F40FA9" w:rsidP="006D1536">
      <w:r>
        <w:separator/>
      </w:r>
    </w:p>
  </w:footnote>
  <w:footnote w:type="continuationSeparator" w:id="0">
    <w:p w14:paraId="6FF8B16E" w14:textId="77777777" w:rsidR="00F40FA9" w:rsidRDefault="00F40FA9" w:rsidP="006D1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73256" w14:textId="77777777" w:rsidR="00F40FA9" w:rsidRDefault="00F40FA9" w:rsidP="006D15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2EBCC" w14:textId="77777777" w:rsidR="00F40FA9" w:rsidRDefault="00F40FA9" w:rsidP="006D15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58C8D" w14:textId="77777777" w:rsidR="00F40FA9" w:rsidRDefault="00F40FA9" w:rsidP="006D15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9E6">
      <w:rPr>
        <w:rStyle w:val="PageNumber"/>
        <w:noProof/>
      </w:rPr>
      <w:t>2</w:t>
    </w:r>
    <w:r>
      <w:rPr>
        <w:rStyle w:val="PageNumber"/>
      </w:rPr>
      <w:fldChar w:fldCharType="end"/>
    </w:r>
  </w:p>
  <w:p w14:paraId="5B4DC3A7" w14:textId="77777777" w:rsidR="00F40FA9" w:rsidRDefault="00F40FA9" w:rsidP="006D15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2A7"/>
    <w:multiLevelType w:val="hybridMultilevel"/>
    <w:tmpl w:val="BB74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61B64"/>
    <w:multiLevelType w:val="hybridMultilevel"/>
    <w:tmpl w:val="0282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82F1A"/>
    <w:multiLevelType w:val="hybridMultilevel"/>
    <w:tmpl w:val="79E6E77E"/>
    <w:lvl w:ilvl="0" w:tplc="70F83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2181E"/>
    <w:multiLevelType w:val="hybridMultilevel"/>
    <w:tmpl w:val="C3BA4E5A"/>
    <w:lvl w:ilvl="0" w:tplc="448CFF96">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E3F94"/>
    <w:multiLevelType w:val="hybridMultilevel"/>
    <w:tmpl w:val="3182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44"/>
    <w:rsid w:val="00001AC0"/>
    <w:rsid w:val="000027F6"/>
    <w:rsid w:val="00002BA4"/>
    <w:rsid w:val="00010D67"/>
    <w:rsid w:val="0001219C"/>
    <w:rsid w:val="00012A72"/>
    <w:rsid w:val="00014A56"/>
    <w:rsid w:val="00016DDD"/>
    <w:rsid w:val="0001734C"/>
    <w:rsid w:val="00022D98"/>
    <w:rsid w:val="00025C64"/>
    <w:rsid w:val="00031237"/>
    <w:rsid w:val="000351DB"/>
    <w:rsid w:val="00037AAF"/>
    <w:rsid w:val="000470F3"/>
    <w:rsid w:val="00050A0C"/>
    <w:rsid w:val="00050C5C"/>
    <w:rsid w:val="00052152"/>
    <w:rsid w:val="00060F19"/>
    <w:rsid w:val="000632F4"/>
    <w:rsid w:val="000672BA"/>
    <w:rsid w:val="00072E5D"/>
    <w:rsid w:val="00073C13"/>
    <w:rsid w:val="00076DC2"/>
    <w:rsid w:val="000772F4"/>
    <w:rsid w:val="00084773"/>
    <w:rsid w:val="000904F9"/>
    <w:rsid w:val="00094D18"/>
    <w:rsid w:val="000A0A35"/>
    <w:rsid w:val="000A0BEE"/>
    <w:rsid w:val="000A3252"/>
    <w:rsid w:val="000B2D92"/>
    <w:rsid w:val="000C2571"/>
    <w:rsid w:val="000C72F3"/>
    <w:rsid w:val="000D4D69"/>
    <w:rsid w:val="000E54F5"/>
    <w:rsid w:val="000E57D3"/>
    <w:rsid w:val="000F4F4C"/>
    <w:rsid w:val="001013BC"/>
    <w:rsid w:val="00107B29"/>
    <w:rsid w:val="00107BD6"/>
    <w:rsid w:val="00111142"/>
    <w:rsid w:val="00114050"/>
    <w:rsid w:val="00117C25"/>
    <w:rsid w:val="00120AF8"/>
    <w:rsid w:val="001227E1"/>
    <w:rsid w:val="00134E92"/>
    <w:rsid w:val="0013587E"/>
    <w:rsid w:val="00145100"/>
    <w:rsid w:val="00150AF2"/>
    <w:rsid w:val="0015472F"/>
    <w:rsid w:val="00163FE6"/>
    <w:rsid w:val="00164194"/>
    <w:rsid w:val="00170A27"/>
    <w:rsid w:val="00176208"/>
    <w:rsid w:val="00185E25"/>
    <w:rsid w:val="00190026"/>
    <w:rsid w:val="00190657"/>
    <w:rsid w:val="00193FB4"/>
    <w:rsid w:val="00196D83"/>
    <w:rsid w:val="001B04CC"/>
    <w:rsid w:val="001B102C"/>
    <w:rsid w:val="001C4655"/>
    <w:rsid w:val="001C5707"/>
    <w:rsid w:val="001C61BF"/>
    <w:rsid w:val="001D50B9"/>
    <w:rsid w:val="001D75B8"/>
    <w:rsid w:val="001F03C1"/>
    <w:rsid w:val="001F3866"/>
    <w:rsid w:val="001F4818"/>
    <w:rsid w:val="001F52B9"/>
    <w:rsid w:val="00202538"/>
    <w:rsid w:val="0020749B"/>
    <w:rsid w:val="002124F1"/>
    <w:rsid w:val="00214F14"/>
    <w:rsid w:val="0021565E"/>
    <w:rsid w:val="00222273"/>
    <w:rsid w:val="0022266B"/>
    <w:rsid w:val="00226EDF"/>
    <w:rsid w:val="00230872"/>
    <w:rsid w:val="00236825"/>
    <w:rsid w:val="00236D00"/>
    <w:rsid w:val="00241AEA"/>
    <w:rsid w:val="00243710"/>
    <w:rsid w:val="00251F2A"/>
    <w:rsid w:val="0027013D"/>
    <w:rsid w:val="0027474B"/>
    <w:rsid w:val="002774FD"/>
    <w:rsid w:val="00277DD7"/>
    <w:rsid w:val="00284AAB"/>
    <w:rsid w:val="00285F7C"/>
    <w:rsid w:val="0028694D"/>
    <w:rsid w:val="002A2474"/>
    <w:rsid w:val="002B365A"/>
    <w:rsid w:val="002B3EB8"/>
    <w:rsid w:val="002C4757"/>
    <w:rsid w:val="002C5A0A"/>
    <w:rsid w:val="002E7E5D"/>
    <w:rsid w:val="002F40F8"/>
    <w:rsid w:val="002F550B"/>
    <w:rsid w:val="002F6B85"/>
    <w:rsid w:val="003042EB"/>
    <w:rsid w:val="00304C5E"/>
    <w:rsid w:val="00304C95"/>
    <w:rsid w:val="00307639"/>
    <w:rsid w:val="0032675C"/>
    <w:rsid w:val="00337647"/>
    <w:rsid w:val="00337AE2"/>
    <w:rsid w:val="0034524F"/>
    <w:rsid w:val="00354589"/>
    <w:rsid w:val="003601CA"/>
    <w:rsid w:val="00361798"/>
    <w:rsid w:val="00372877"/>
    <w:rsid w:val="003800F4"/>
    <w:rsid w:val="00384DF5"/>
    <w:rsid w:val="0038633A"/>
    <w:rsid w:val="003923E2"/>
    <w:rsid w:val="003A2215"/>
    <w:rsid w:val="003A2A49"/>
    <w:rsid w:val="003A6BFC"/>
    <w:rsid w:val="003B1A17"/>
    <w:rsid w:val="003C6BDE"/>
    <w:rsid w:val="003E5EF4"/>
    <w:rsid w:val="003E7FF9"/>
    <w:rsid w:val="003F0152"/>
    <w:rsid w:val="003F1A40"/>
    <w:rsid w:val="00406037"/>
    <w:rsid w:val="0040651C"/>
    <w:rsid w:val="004107A8"/>
    <w:rsid w:val="00410B89"/>
    <w:rsid w:val="00411E48"/>
    <w:rsid w:val="0042053B"/>
    <w:rsid w:val="00426163"/>
    <w:rsid w:val="00427E2D"/>
    <w:rsid w:val="004304A4"/>
    <w:rsid w:val="004344B9"/>
    <w:rsid w:val="00435011"/>
    <w:rsid w:val="00441664"/>
    <w:rsid w:val="0046201E"/>
    <w:rsid w:val="0046751F"/>
    <w:rsid w:val="004700F8"/>
    <w:rsid w:val="00471C43"/>
    <w:rsid w:val="004828B6"/>
    <w:rsid w:val="0048428D"/>
    <w:rsid w:val="00485137"/>
    <w:rsid w:val="0049187D"/>
    <w:rsid w:val="0049462B"/>
    <w:rsid w:val="00497B46"/>
    <w:rsid w:val="004A224A"/>
    <w:rsid w:val="004A509C"/>
    <w:rsid w:val="004B1156"/>
    <w:rsid w:val="004B56D7"/>
    <w:rsid w:val="004B650A"/>
    <w:rsid w:val="004B76BB"/>
    <w:rsid w:val="004C0939"/>
    <w:rsid w:val="004C2058"/>
    <w:rsid w:val="004D45D2"/>
    <w:rsid w:val="004E09F3"/>
    <w:rsid w:val="004E1578"/>
    <w:rsid w:val="004E1C05"/>
    <w:rsid w:val="004E42D5"/>
    <w:rsid w:val="004F3D14"/>
    <w:rsid w:val="004F4131"/>
    <w:rsid w:val="005028B1"/>
    <w:rsid w:val="00507772"/>
    <w:rsid w:val="005170CC"/>
    <w:rsid w:val="00520EC1"/>
    <w:rsid w:val="0052116A"/>
    <w:rsid w:val="00521328"/>
    <w:rsid w:val="00530036"/>
    <w:rsid w:val="00546A6E"/>
    <w:rsid w:val="00550208"/>
    <w:rsid w:val="005562FE"/>
    <w:rsid w:val="00564A4D"/>
    <w:rsid w:val="00565247"/>
    <w:rsid w:val="005672EA"/>
    <w:rsid w:val="0057384E"/>
    <w:rsid w:val="00580373"/>
    <w:rsid w:val="0058149C"/>
    <w:rsid w:val="00583CA7"/>
    <w:rsid w:val="00585542"/>
    <w:rsid w:val="00585BF4"/>
    <w:rsid w:val="005860EA"/>
    <w:rsid w:val="00586C95"/>
    <w:rsid w:val="00587C99"/>
    <w:rsid w:val="00587F02"/>
    <w:rsid w:val="00593072"/>
    <w:rsid w:val="005A596F"/>
    <w:rsid w:val="005A6406"/>
    <w:rsid w:val="005A73F8"/>
    <w:rsid w:val="005B512F"/>
    <w:rsid w:val="005B577C"/>
    <w:rsid w:val="005C0CBF"/>
    <w:rsid w:val="005C16BD"/>
    <w:rsid w:val="005C2320"/>
    <w:rsid w:val="005D6C52"/>
    <w:rsid w:val="005D70F1"/>
    <w:rsid w:val="005D742A"/>
    <w:rsid w:val="005E2643"/>
    <w:rsid w:val="005F7842"/>
    <w:rsid w:val="00604DFF"/>
    <w:rsid w:val="00606AC7"/>
    <w:rsid w:val="0061230C"/>
    <w:rsid w:val="00615C20"/>
    <w:rsid w:val="00622F15"/>
    <w:rsid w:val="00632C71"/>
    <w:rsid w:val="00633973"/>
    <w:rsid w:val="006356D6"/>
    <w:rsid w:val="006419DC"/>
    <w:rsid w:val="00643EBD"/>
    <w:rsid w:val="00664EF4"/>
    <w:rsid w:val="006662A6"/>
    <w:rsid w:val="00675EBF"/>
    <w:rsid w:val="0068217E"/>
    <w:rsid w:val="00687BC7"/>
    <w:rsid w:val="006936C8"/>
    <w:rsid w:val="006939B3"/>
    <w:rsid w:val="0069405A"/>
    <w:rsid w:val="006A3E36"/>
    <w:rsid w:val="006A5D8D"/>
    <w:rsid w:val="006A5DC0"/>
    <w:rsid w:val="006A7A32"/>
    <w:rsid w:val="006B71D6"/>
    <w:rsid w:val="006C2861"/>
    <w:rsid w:val="006C6D41"/>
    <w:rsid w:val="006D1536"/>
    <w:rsid w:val="006D3439"/>
    <w:rsid w:val="006D6964"/>
    <w:rsid w:val="006E306E"/>
    <w:rsid w:val="006E555D"/>
    <w:rsid w:val="006E5BCA"/>
    <w:rsid w:val="006E7024"/>
    <w:rsid w:val="006F1760"/>
    <w:rsid w:val="006F26BA"/>
    <w:rsid w:val="007047FA"/>
    <w:rsid w:val="007051F1"/>
    <w:rsid w:val="0070574B"/>
    <w:rsid w:val="007107B4"/>
    <w:rsid w:val="00715077"/>
    <w:rsid w:val="007160CB"/>
    <w:rsid w:val="00716C08"/>
    <w:rsid w:val="00725354"/>
    <w:rsid w:val="00726212"/>
    <w:rsid w:val="00731505"/>
    <w:rsid w:val="00737061"/>
    <w:rsid w:val="007419D3"/>
    <w:rsid w:val="00750617"/>
    <w:rsid w:val="007526FF"/>
    <w:rsid w:val="00756EDA"/>
    <w:rsid w:val="00762E4F"/>
    <w:rsid w:val="00765CC3"/>
    <w:rsid w:val="00770133"/>
    <w:rsid w:val="0079308D"/>
    <w:rsid w:val="00797194"/>
    <w:rsid w:val="007A2D41"/>
    <w:rsid w:val="007A3556"/>
    <w:rsid w:val="007A4E85"/>
    <w:rsid w:val="007A7118"/>
    <w:rsid w:val="007B197E"/>
    <w:rsid w:val="007C0A2E"/>
    <w:rsid w:val="007C1ECC"/>
    <w:rsid w:val="007C7D64"/>
    <w:rsid w:val="00805DA9"/>
    <w:rsid w:val="0081617A"/>
    <w:rsid w:val="00821365"/>
    <w:rsid w:val="008220DA"/>
    <w:rsid w:val="00824C86"/>
    <w:rsid w:val="00835A9F"/>
    <w:rsid w:val="00836CC5"/>
    <w:rsid w:val="008434F9"/>
    <w:rsid w:val="00855D68"/>
    <w:rsid w:val="00860FBB"/>
    <w:rsid w:val="00862CF8"/>
    <w:rsid w:val="00863326"/>
    <w:rsid w:val="008707E4"/>
    <w:rsid w:val="008762CD"/>
    <w:rsid w:val="00891BCC"/>
    <w:rsid w:val="00892536"/>
    <w:rsid w:val="008940A6"/>
    <w:rsid w:val="00894118"/>
    <w:rsid w:val="00894E18"/>
    <w:rsid w:val="008A1471"/>
    <w:rsid w:val="008A23FF"/>
    <w:rsid w:val="008A760A"/>
    <w:rsid w:val="008A78B1"/>
    <w:rsid w:val="008B243B"/>
    <w:rsid w:val="008B474D"/>
    <w:rsid w:val="008C3E17"/>
    <w:rsid w:val="008C4395"/>
    <w:rsid w:val="008D0FDB"/>
    <w:rsid w:val="008D1B30"/>
    <w:rsid w:val="008D50B3"/>
    <w:rsid w:val="008E1C7E"/>
    <w:rsid w:val="008E6443"/>
    <w:rsid w:val="00900EF1"/>
    <w:rsid w:val="00901007"/>
    <w:rsid w:val="00907AC1"/>
    <w:rsid w:val="00914E32"/>
    <w:rsid w:val="0092027E"/>
    <w:rsid w:val="00920757"/>
    <w:rsid w:val="00927EB4"/>
    <w:rsid w:val="009322C6"/>
    <w:rsid w:val="00934288"/>
    <w:rsid w:val="00937E6B"/>
    <w:rsid w:val="00940AC6"/>
    <w:rsid w:val="00944E5C"/>
    <w:rsid w:val="00950408"/>
    <w:rsid w:val="00950868"/>
    <w:rsid w:val="009521A7"/>
    <w:rsid w:val="009545C1"/>
    <w:rsid w:val="009574C4"/>
    <w:rsid w:val="00971F9A"/>
    <w:rsid w:val="00977DDB"/>
    <w:rsid w:val="009839AA"/>
    <w:rsid w:val="00984967"/>
    <w:rsid w:val="009849F5"/>
    <w:rsid w:val="00991F25"/>
    <w:rsid w:val="009967D8"/>
    <w:rsid w:val="009A1D38"/>
    <w:rsid w:val="009A3774"/>
    <w:rsid w:val="009A3BED"/>
    <w:rsid w:val="009B1023"/>
    <w:rsid w:val="009B2E70"/>
    <w:rsid w:val="009B3C88"/>
    <w:rsid w:val="009B5ABE"/>
    <w:rsid w:val="009C6214"/>
    <w:rsid w:val="009D037D"/>
    <w:rsid w:val="009D3E03"/>
    <w:rsid w:val="009E1581"/>
    <w:rsid w:val="009E56F9"/>
    <w:rsid w:val="00A0459D"/>
    <w:rsid w:val="00A05D5F"/>
    <w:rsid w:val="00A11313"/>
    <w:rsid w:val="00A11652"/>
    <w:rsid w:val="00A12A79"/>
    <w:rsid w:val="00A13601"/>
    <w:rsid w:val="00A31D0D"/>
    <w:rsid w:val="00A40B67"/>
    <w:rsid w:val="00A443CE"/>
    <w:rsid w:val="00A52C0C"/>
    <w:rsid w:val="00A56934"/>
    <w:rsid w:val="00A61910"/>
    <w:rsid w:val="00A76076"/>
    <w:rsid w:val="00A806AA"/>
    <w:rsid w:val="00A80FE7"/>
    <w:rsid w:val="00A9303F"/>
    <w:rsid w:val="00A93BBC"/>
    <w:rsid w:val="00AA1620"/>
    <w:rsid w:val="00AA228C"/>
    <w:rsid w:val="00AB7845"/>
    <w:rsid w:val="00AD2266"/>
    <w:rsid w:val="00AD66B3"/>
    <w:rsid w:val="00AE06C8"/>
    <w:rsid w:val="00AE3497"/>
    <w:rsid w:val="00AE3A4B"/>
    <w:rsid w:val="00AF2771"/>
    <w:rsid w:val="00AF72E3"/>
    <w:rsid w:val="00AF7A7F"/>
    <w:rsid w:val="00B00201"/>
    <w:rsid w:val="00B01EE9"/>
    <w:rsid w:val="00B11EF9"/>
    <w:rsid w:val="00B13941"/>
    <w:rsid w:val="00B15F8F"/>
    <w:rsid w:val="00B17D8C"/>
    <w:rsid w:val="00B2180C"/>
    <w:rsid w:val="00B312BC"/>
    <w:rsid w:val="00B31AF6"/>
    <w:rsid w:val="00B321CD"/>
    <w:rsid w:val="00B359E6"/>
    <w:rsid w:val="00B411D5"/>
    <w:rsid w:val="00B4170D"/>
    <w:rsid w:val="00B4302C"/>
    <w:rsid w:val="00B4422A"/>
    <w:rsid w:val="00B44786"/>
    <w:rsid w:val="00B45220"/>
    <w:rsid w:val="00B4777D"/>
    <w:rsid w:val="00B5186B"/>
    <w:rsid w:val="00B74727"/>
    <w:rsid w:val="00B74A9D"/>
    <w:rsid w:val="00B848B4"/>
    <w:rsid w:val="00B858D6"/>
    <w:rsid w:val="00B8724E"/>
    <w:rsid w:val="00B90185"/>
    <w:rsid w:val="00B92AE8"/>
    <w:rsid w:val="00BA0C9D"/>
    <w:rsid w:val="00BA3278"/>
    <w:rsid w:val="00BB253F"/>
    <w:rsid w:val="00BC0A55"/>
    <w:rsid w:val="00BC7B42"/>
    <w:rsid w:val="00BE03EB"/>
    <w:rsid w:val="00BE3AC6"/>
    <w:rsid w:val="00BF0D34"/>
    <w:rsid w:val="00C00AA8"/>
    <w:rsid w:val="00C0582B"/>
    <w:rsid w:val="00C10E47"/>
    <w:rsid w:val="00C14444"/>
    <w:rsid w:val="00C21CCF"/>
    <w:rsid w:val="00C31FCF"/>
    <w:rsid w:val="00C32845"/>
    <w:rsid w:val="00C35327"/>
    <w:rsid w:val="00C369F2"/>
    <w:rsid w:val="00C437D0"/>
    <w:rsid w:val="00C44300"/>
    <w:rsid w:val="00C46487"/>
    <w:rsid w:val="00C52B75"/>
    <w:rsid w:val="00C530F3"/>
    <w:rsid w:val="00C717C3"/>
    <w:rsid w:val="00C732B7"/>
    <w:rsid w:val="00C74276"/>
    <w:rsid w:val="00C9113A"/>
    <w:rsid w:val="00C92084"/>
    <w:rsid w:val="00C92725"/>
    <w:rsid w:val="00C938AB"/>
    <w:rsid w:val="00C94BB8"/>
    <w:rsid w:val="00CA0667"/>
    <w:rsid w:val="00CA5D96"/>
    <w:rsid w:val="00CB2833"/>
    <w:rsid w:val="00CC0485"/>
    <w:rsid w:val="00CC0F31"/>
    <w:rsid w:val="00CC47BD"/>
    <w:rsid w:val="00CD1478"/>
    <w:rsid w:val="00CE1A54"/>
    <w:rsid w:val="00CE5871"/>
    <w:rsid w:val="00CF7440"/>
    <w:rsid w:val="00D00B9A"/>
    <w:rsid w:val="00D01DDD"/>
    <w:rsid w:val="00D0347B"/>
    <w:rsid w:val="00D10FDD"/>
    <w:rsid w:val="00D126A0"/>
    <w:rsid w:val="00D1624B"/>
    <w:rsid w:val="00D20410"/>
    <w:rsid w:val="00D32B50"/>
    <w:rsid w:val="00D4115B"/>
    <w:rsid w:val="00D43664"/>
    <w:rsid w:val="00D500A2"/>
    <w:rsid w:val="00D62606"/>
    <w:rsid w:val="00D62771"/>
    <w:rsid w:val="00D6394D"/>
    <w:rsid w:val="00D65765"/>
    <w:rsid w:val="00D7764C"/>
    <w:rsid w:val="00D844D7"/>
    <w:rsid w:val="00D874D9"/>
    <w:rsid w:val="00D93A73"/>
    <w:rsid w:val="00DA18F2"/>
    <w:rsid w:val="00DA67E9"/>
    <w:rsid w:val="00DC0616"/>
    <w:rsid w:val="00DC19D0"/>
    <w:rsid w:val="00DD3F3C"/>
    <w:rsid w:val="00DE2CE0"/>
    <w:rsid w:val="00DF1190"/>
    <w:rsid w:val="00DF4C30"/>
    <w:rsid w:val="00DF731D"/>
    <w:rsid w:val="00DF7A46"/>
    <w:rsid w:val="00E0528B"/>
    <w:rsid w:val="00E14F0A"/>
    <w:rsid w:val="00E15C63"/>
    <w:rsid w:val="00E171C5"/>
    <w:rsid w:val="00E21249"/>
    <w:rsid w:val="00E21647"/>
    <w:rsid w:val="00E21680"/>
    <w:rsid w:val="00E33A94"/>
    <w:rsid w:val="00E33F39"/>
    <w:rsid w:val="00E47BE0"/>
    <w:rsid w:val="00E67529"/>
    <w:rsid w:val="00E802C5"/>
    <w:rsid w:val="00E80710"/>
    <w:rsid w:val="00E83512"/>
    <w:rsid w:val="00E84F3F"/>
    <w:rsid w:val="00E87BA9"/>
    <w:rsid w:val="00E9481C"/>
    <w:rsid w:val="00EA12B9"/>
    <w:rsid w:val="00EA6A3A"/>
    <w:rsid w:val="00EB4FA7"/>
    <w:rsid w:val="00EB68D9"/>
    <w:rsid w:val="00EB6DA8"/>
    <w:rsid w:val="00EC0576"/>
    <w:rsid w:val="00EC0693"/>
    <w:rsid w:val="00EC6C86"/>
    <w:rsid w:val="00ED63B6"/>
    <w:rsid w:val="00EE0D1D"/>
    <w:rsid w:val="00EE4C5E"/>
    <w:rsid w:val="00EF0384"/>
    <w:rsid w:val="00EF264C"/>
    <w:rsid w:val="00EF4593"/>
    <w:rsid w:val="00EF641D"/>
    <w:rsid w:val="00EF7471"/>
    <w:rsid w:val="00F045B3"/>
    <w:rsid w:val="00F13F21"/>
    <w:rsid w:val="00F14E57"/>
    <w:rsid w:val="00F16D88"/>
    <w:rsid w:val="00F23EA9"/>
    <w:rsid w:val="00F35AE7"/>
    <w:rsid w:val="00F35B33"/>
    <w:rsid w:val="00F35D40"/>
    <w:rsid w:val="00F35F40"/>
    <w:rsid w:val="00F40FA9"/>
    <w:rsid w:val="00F425DF"/>
    <w:rsid w:val="00F427E5"/>
    <w:rsid w:val="00F45946"/>
    <w:rsid w:val="00F56AC8"/>
    <w:rsid w:val="00F7043F"/>
    <w:rsid w:val="00F72A71"/>
    <w:rsid w:val="00F949EF"/>
    <w:rsid w:val="00F967CA"/>
    <w:rsid w:val="00FA2ECB"/>
    <w:rsid w:val="00FB0B00"/>
    <w:rsid w:val="00FB0F58"/>
    <w:rsid w:val="00FB2176"/>
    <w:rsid w:val="00FC2486"/>
    <w:rsid w:val="00FC40A7"/>
    <w:rsid w:val="00FC5455"/>
    <w:rsid w:val="00FC6F57"/>
    <w:rsid w:val="00FD33BF"/>
    <w:rsid w:val="00FF1C84"/>
    <w:rsid w:val="00FF2B5B"/>
    <w:rsid w:val="00FF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0F42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link w:val="Heading2Char"/>
    <w:qFormat/>
    <w:rsid w:val="007419D3"/>
    <w:pPr>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6F"/>
    <w:rPr>
      <w:color w:val="0000FF" w:themeColor="hyperlink"/>
      <w:u w:val="single"/>
    </w:rPr>
  </w:style>
  <w:style w:type="character" w:customStyle="1" w:styleId="Heading2Char">
    <w:name w:val="Heading 2 Char"/>
    <w:basedOn w:val="DefaultParagraphFont"/>
    <w:link w:val="Heading2"/>
    <w:rsid w:val="007419D3"/>
    <w:rPr>
      <w:rFonts w:eastAsia="Times New Roman"/>
      <w:b/>
      <w:bCs/>
      <w:color w:val="000000"/>
      <w:kern w:val="28"/>
      <w:sz w:val="24"/>
      <w:szCs w:val="24"/>
      <w:lang w:val="en-CA" w:eastAsia="en-CA"/>
    </w:rPr>
  </w:style>
  <w:style w:type="paragraph" w:styleId="Header">
    <w:name w:val="header"/>
    <w:basedOn w:val="Normal"/>
    <w:link w:val="HeaderChar"/>
    <w:rsid w:val="007419D3"/>
    <w:pPr>
      <w:tabs>
        <w:tab w:val="center" w:pos="4320"/>
        <w:tab w:val="right" w:pos="8640"/>
      </w:tabs>
    </w:pPr>
    <w:rPr>
      <w:rFonts w:ascii="Garamond" w:eastAsia="Times New Roman" w:hAnsi="Garamond"/>
      <w:color w:val="008000"/>
      <w:w w:val="120"/>
      <w:lang w:val="en-CA"/>
    </w:rPr>
  </w:style>
  <w:style w:type="character" w:customStyle="1" w:styleId="HeaderChar">
    <w:name w:val="Header Char"/>
    <w:basedOn w:val="DefaultParagraphFont"/>
    <w:link w:val="Header"/>
    <w:rsid w:val="007419D3"/>
    <w:rPr>
      <w:rFonts w:ascii="Garamond" w:eastAsia="Times New Roman" w:hAnsi="Garamond"/>
      <w:color w:val="008000"/>
      <w:w w:val="120"/>
      <w:sz w:val="24"/>
      <w:szCs w:val="24"/>
      <w:lang w:val="en-CA" w:eastAsia="en-US"/>
    </w:rPr>
  </w:style>
  <w:style w:type="table" w:styleId="TableGrid">
    <w:name w:val="Table Grid"/>
    <w:basedOn w:val="TableNormal"/>
    <w:uiPriority w:val="59"/>
    <w:rsid w:val="000672BA"/>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72BA"/>
    <w:rPr>
      <w:color w:val="800080" w:themeColor="followedHyperlink"/>
      <w:u w:val="single"/>
    </w:rPr>
  </w:style>
  <w:style w:type="paragraph" w:styleId="ListParagraph">
    <w:name w:val="List Paragraph"/>
    <w:basedOn w:val="Normal"/>
    <w:uiPriority w:val="34"/>
    <w:qFormat/>
    <w:rsid w:val="0086332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B0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CC"/>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6D1536"/>
  </w:style>
  <w:style w:type="paragraph" w:styleId="Footer">
    <w:name w:val="footer"/>
    <w:basedOn w:val="Normal"/>
    <w:link w:val="FooterChar"/>
    <w:uiPriority w:val="99"/>
    <w:unhideWhenUsed/>
    <w:rsid w:val="00622F15"/>
    <w:pPr>
      <w:tabs>
        <w:tab w:val="center" w:pos="4320"/>
        <w:tab w:val="right" w:pos="8640"/>
      </w:tabs>
    </w:pPr>
  </w:style>
  <w:style w:type="character" w:customStyle="1" w:styleId="FooterChar">
    <w:name w:val="Footer Char"/>
    <w:basedOn w:val="DefaultParagraphFont"/>
    <w:link w:val="Footer"/>
    <w:uiPriority w:val="99"/>
    <w:rsid w:val="00622F15"/>
    <w:rPr>
      <w:sz w:val="24"/>
      <w:szCs w:val="24"/>
      <w:lang w:eastAsia="en-US"/>
    </w:rPr>
  </w:style>
  <w:style w:type="paragraph" w:styleId="FootnoteText">
    <w:name w:val="footnote text"/>
    <w:basedOn w:val="Normal"/>
    <w:link w:val="FootnoteTextChar"/>
    <w:uiPriority w:val="99"/>
    <w:unhideWhenUsed/>
    <w:rsid w:val="00D20410"/>
  </w:style>
  <w:style w:type="character" w:customStyle="1" w:styleId="FootnoteTextChar">
    <w:name w:val="Footnote Text Char"/>
    <w:basedOn w:val="DefaultParagraphFont"/>
    <w:link w:val="FootnoteText"/>
    <w:uiPriority w:val="99"/>
    <w:rsid w:val="00D20410"/>
    <w:rPr>
      <w:lang w:eastAsia="en-US"/>
    </w:rPr>
  </w:style>
  <w:style w:type="character" w:styleId="FootnoteReference">
    <w:name w:val="footnote reference"/>
    <w:basedOn w:val="DefaultParagraphFont"/>
    <w:uiPriority w:val="99"/>
    <w:unhideWhenUsed/>
    <w:rsid w:val="00D20410"/>
    <w:rPr>
      <w:vertAlign w:val="superscript"/>
    </w:rPr>
  </w:style>
  <w:style w:type="paragraph" w:styleId="NormalWeb">
    <w:name w:val="Normal (Web)"/>
    <w:basedOn w:val="Normal"/>
    <w:uiPriority w:val="99"/>
    <w:semiHidden/>
    <w:unhideWhenUsed/>
    <w:rsid w:val="00B90185"/>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5B512F"/>
    <w:rPr>
      <w:sz w:val="18"/>
      <w:szCs w:val="18"/>
    </w:rPr>
  </w:style>
  <w:style w:type="paragraph" w:styleId="CommentText">
    <w:name w:val="annotation text"/>
    <w:basedOn w:val="Normal"/>
    <w:link w:val="CommentTextChar"/>
    <w:uiPriority w:val="99"/>
    <w:semiHidden/>
    <w:unhideWhenUsed/>
    <w:rsid w:val="005B512F"/>
  </w:style>
  <w:style w:type="character" w:customStyle="1" w:styleId="CommentTextChar">
    <w:name w:val="Comment Text Char"/>
    <w:basedOn w:val="DefaultParagraphFont"/>
    <w:link w:val="CommentText"/>
    <w:uiPriority w:val="99"/>
    <w:semiHidden/>
    <w:rsid w:val="005B512F"/>
    <w:rPr>
      <w:lang w:eastAsia="en-US"/>
    </w:rPr>
  </w:style>
  <w:style w:type="paragraph" w:styleId="CommentSubject">
    <w:name w:val="annotation subject"/>
    <w:basedOn w:val="CommentText"/>
    <w:next w:val="CommentText"/>
    <w:link w:val="CommentSubjectChar"/>
    <w:uiPriority w:val="99"/>
    <w:semiHidden/>
    <w:unhideWhenUsed/>
    <w:rsid w:val="005B512F"/>
    <w:rPr>
      <w:b/>
      <w:bCs/>
      <w:sz w:val="20"/>
      <w:szCs w:val="20"/>
    </w:rPr>
  </w:style>
  <w:style w:type="character" w:customStyle="1" w:styleId="CommentSubjectChar">
    <w:name w:val="Comment Subject Char"/>
    <w:basedOn w:val="CommentTextChar"/>
    <w:link w:val="CommentSubject"/>
    <w:uiPriority w:val="99"/>
    <w:semiHidden/>
    <w:rsid w:val="005B512F"/>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link w:val="Heading2Char"/>
    <w:qFormat/>
    <w:rsid w:val="007419D3"/>
    <w:pPr>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6F"/>
    <w:rPr>
      <w:color w:val="0000FF" w:themeColor="hyperlink"/>
      <w:u w:val="single"/>
    </w:rPr>
  </w:style>
  <w:style w:type="character" w:customStyle="1" w:styleId="Heading2Char">
    <w:name w:val="Heading 2 Char"/>
    <w:basedOn w:val="DefaultParagraphFont"/>
    <w:link w:val="Heading2"/>
    <w:rsid w:val="007419D3"/>
    <w:rPr>
      <w:rFonts w:eastAsia="Times New Roman"/>
      <w:b/>
      <w:bCs/>
      <w:color w:val="000000"/>
      <w:kern w:val="28"/>
      <w:sz w:val="24"/>
      <w:szCs w:val="24"/>
      <w:lang w:val="en-CA" w:eastAsia="en-CA"/>
    </w:rPr>
  </w:style>
  <w:style w:type="paragraph" w:styleId="Header">
    <w:name w:val="header"/>
    <w:basedOn w:val="Normal"/>
    <w:link w:val="HeaderChar"/>
    <w:rsid w:val="007419D3"/>
    <w:pPr>
      <w:tabs>
        <w:tab w:val="center" w:pos="4320"/>
        <w:tab w:val="right" w:pos="8640"/>
      </w:tabs>
    </w:pPr>
    <w:rPr>
      <w:rFonts w:ascii="Garamond" w:eastAsia="Times New Roman" w:hAnsi="Garamond"/>
      <w:color w:val="008000"/>
      <w:w w:val="120"/>
      <w:lang w:val="en-CA"/>
    </w:rPr>
  </w:style>
  <w:style w:type="character" w:customStyle="1" w:styleId="HeaderChar">
    <w:name w:val="Header Char"/>
    <w:basedOn w:val="DefaultParagraphFont"/>
    <w:link w:val="Header"/>
    <w:rsid w:val="007419D3"/>
    <w:rPr>
      <w:rFonts w:ascii="Garamond" w:eastAsia="Times New Roman" w:hAnsi="Garamond"/>
      <w:color w:val="008000"/>
      <w:w w:val="120"/>
      <w:sz w:val="24"/>
      <w:szCs w:val="24"/>
      <w:lang w:val="en-CA" w:eastAsia="en-US"/>
    </w:rPr>
  </w:style>
  <w:style w:type="table" w:styleId="TableGrid">
    <w:name w:val="Table Grid"/>
    <w:basedOn w:val="TableNormal"/>
    <w:uiPriority w:val="59"/>
    <w:rsid w:val="000672BA"/>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72BA"/>
    <w:rPr>
      <w:color w:val="800080" w:themeColor="followedHyperlink"/>
      <w:u w:val="single"/>
    </w:rPr>
  </w:style>
  <w:style w:type="paragraph" w:styleId="ListParagraph">
    <w:name w:val="List Paragraph"/>
    <w:basedOn w:val="Normal"/>
    <w:uiPriority w:val="34"/>
    <w:qFormat/>
    <w:rsid w:val="0086332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B0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CC"/>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6D1536"/>
  </w:style>
  <w:style w:type="paragraph" w:styleId="Footer">
    <w:name w:val="footer"/>
    <w:basedOn w:val="Normal"/>
    <w:link w:val="FooterChar"/>
    <w:uiPriority w:val="99"/>
    <w:unhideWhenUsed/>
    <w:rsid w:val="00622F15"/>
    <w:pPr>
      <w:tabs>
        <w:tab w:val="center" w:pos="4320"/>
        <w:tab w:val="right" w:pos="8640"/>
      </w:tabs>
    </w:pPr>
  </w:style>
  <w:style w:type="character" w:customStyle="1" w:styleId="FooterChar">
    <w:name w:val="Footer Char"/>
    <w:basedOn w:val="DefaultParagraphFont"/>
    <w:link w:val="Footer"/>
    <w:uiPriority w:val="99"/>
    <w:rsid w:val="00622F15"/>
    <w:rPr>
      <w:sz w:val="24"/>
      <w:szCs w:val="24"/>
      <w:lang w:eastAsia="en-US"/>
    </w:rPr>
  </w:style>
  <w:style w:type="paragraph" w:styleId="FootnoteText">
    <w:name w:val="footnote text"/>
    <w:basedOn w:val="Normal"/>
    <w:link w:val="FootnoteTextChar"/>
    <w:uiPriority w:val="99"/>
    <w:unhideWhenUsed/>
    <w:rsid w:val="00D20410"/>
  </w:style>
  <w:style w:type="character" w:customStyle="1" w:styleId="FootnoteTextChar">
    <w:name w:val="Footnote Text Char"/>
    <w:basedOn w:val="DefaultParagraphFont"/>
    <w:link w:val="FootnoteText"/>
    <w:uiPriority w:val="99"/>
    <w:rsid w:val="00D20410"/>
    <w:rPr>
      <w:lang w:eastAsia="en-US"/>
    </w:rPr>
  </w:style>
  <w:style w:type="character" w:styleId="FootnoteReference">
    <w:name w:val="footnote reference"/>
    <w:basedOn w:val="DefaultParagraphFont"/>
    <w:uiPriority w:val="99"/>
    <w:unhideWhenUsed/>
    <w:rsid w:val="00D20410"/>
    <w:rPr>
      <w:vertAlign w:val="superscript"/>
    </w:rPr>
  </w:style>
  <w:style w:type="paragraph" w:styleId="NormalWeb">
    <w:name w:val="Normal (Web)"/>
    <w:basedOn w:val="Normal"/>
    <w:uiPriority w:val="99"/>
    <w:semiHidden/>
    <w:unhideWhenUsed/>
    <w:rsid w:val="00B90185"/>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5B512F"/>
    <w:rPr>
      <w:sz w:val="18"/>
      <w:szCs w:val="18"/>
    </w:rPr>
  </w:style>
  <w:style w:type="paragraph" w:styleId="CommentText">
    <w:name w:val="annotation text"/>
    <w:basedOn w:val="Normal"/>
    <w:link w:val="CommentTextChar"/>
    <w:uiPriority w:val="99"/>
    <w:semiHidden/>
    <w:unhideWhenUsed/>
    <w:rsid w:val="005B512F"/>
  </w:style>
  <w:style w:type="character" w:customStyle="1" w:styleId="CommentTextChar">
    <w:name w:val="Comment Text Char"/>
    <w:basedOn w:val="DefaultParagraphFont"/>
    <w:link w:val="CommentText"/>
    <w:uiPriority w:val="99"/>
    <w:semiHidden/>
    <w:rsid w:val="005B512F"/>
    <w:rPr>
      <w:lang w:eastAsia="en-US"/>
    </w:rPr>
  </w:style>
  <w:style w:type="paragraph" w:styleId="CommentSubject">
    <w:name w:val="annotation subject"/>
    <w:basedOn w:val="CommentText"/>
    <w:next w:val="CommentText"/>
    <w:link w:val="CommentSubjectChar"/>
    <w:uiPriority w:val="99"/>
    <w:semiHidden/>
    <w:unhideWhenUsed/>
    <w:rsid w:val="005B512F"/>
    <w:rPr>
      <w:b/>
      <w:bCs/>
      <w:sz w:val="20"/>
      <w:szCs w:val="20"/>
    </w:rPr>
  </w:style>
  <w:style w:type="character" w:customStyle="1" w:styleId="CommentSubjectChar">
    <w:name w:val="Comment Subject Char"/>
    <w:basedOn w:val="CommentTextChar"/>
    <w:link w:val="CommentSubject"/>
    <w:uiPriority w:val="99"/>
    <w:semiHidden/>
    <w:rsid w:val="005B512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jpublicsafety.com/ca/dentistry/inventory.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11312</Characters>
  <Application>Microsoft Macintosh Word</Application>
  <DocSecurity>0</DocSecurity>
  <Lines>94</Lines>
  <Paragraphs>26</Paragraphs>
  <ScaleCrop>false</ScaleCrop>
  <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Larach</dc:creator>
  <cp:keywords/>
  <dc:description/>
  <cp:lastModifiedBy>Marilyn Larach</cp:lastModifiedBy>
  <cp:revision>2</cp:revision>
  <cp:lastPrinted>2018-03-04T16:39:00Z</cp:lastPrinted>
  <dcterms:created xsi:type="dcterms:W3CDTF">2018-09-24T14:10:00Z</dcterms:created>
  <dcterms:modified xsi:type="dcterms:W3CDTF">2018-09-24T14:10:00Z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id="C9Eug6Bx"/&gt;&lt;style id="http://www.zotero.org/styles/anesthesiology" hasBibliography="1" bibliographyStyleHasBeenSet="0"/&gt;&lt;prefs&gt;&lt;pref name="fieldType" value="Field"/&gt;&lt;pref name="automaticJournalAb</vt:lpwstr>
  </property>
  <property fmtid="{D5CDD505-2E9C-101B-9397-08002B2CF9AE}" pid="3" name="ZOTERO_PREF_2">
    <vt:lpwstr>breviations" value="true"/&gt;&lt;/prefs&gt;&lt;/data&gt;</vt:lpwstr>
  </property>
</Properties>
</file>