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4B" w:rsidRDefault="00501A4B" w:rsidP="00501A4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Supplemental Table </w:t>
      </w:r>
      <w:r w:rsidR="00060CB3">
        <w:rPr>
          <w:rFonts w:ascii="Arial" w:hAnsi="Arial" w:cs="Arial"/>
          <w:bCs/>
          <w:iCs/>
        </w:rPr>
        <w:t>10</w:t>
      </w:r>
      <w:r>
        <w:rPr>
          <w:rFonts w:ascii="Arial" w:hAnsi="Arial" w:cs="Arial"/>
          <w:bCs/>
          <w:iCs/>
        </w:rPr>
        <w:t xml:space="preserve">: </w:t>
      </w:r>
      <w:r w:rsidR="00CD02FF">
        <w:rPr>
          <w:rFonts w:ascii="Arial" w:hAnsi="Arial" w:cs="Arial"/>
          <w:bCs/>
          <w:iCs/>
        </w:rPr>
        <w:t>Point-wise m</w:t>
      </w:r>
      <w:r w:rsidR="00B125A3">
        <w:rPr>
          <w:rFonts w:ascii="Arial" w:hAnsi="Arial"/>
        </w:rPr>
        <w:t>ultivariable</w:t>
      </w:r>
      <w:r w:rsidRPr="00404749">
        <w:rPr>
          <w:rFonts w:ascii="Arial" w:hAnsi="Arial"/>
        </w:rPr>
        <w:t xml:space="preserve"> logistic regression for </w:t>
      </w:r>
      <w:r w:rsidR="00B65CD3">
        <w:rPr>
          <w:rFonts w:ascii="Arial" w:hAnsi="Arial"/>
        </w:rPr>
        <w:t xml:space="preserve">time to </w:t>
      </w:r>
      <w:r w:rsidR="00060CB3">
        <w:rPr>
          <w:rFonts w:ascii="Arial" w:hAnsi="Arial"/>
        </w:rPr>
        <w:t xml:space="preserve">initiation of </w:t>
      </w:r>
      <w:r w:rsidR="00B65CD3">
        <w:rPr>
          <w:rFonts w:ascii="Arial" w:hAnsi="Arial"/>
        </w:rPr>
        <w:t xml:space="preserve">CPR </w:t>
      </w:r>
      <w:r>
        <w:rPr>
          <w:rFonts w:ascii="Arial" w:hAnsi="Arial"/>
        </w:rPr>
        <w:t>in the DEF group</w:t>
      </w:r>
      <w:r w:rsidRPr="00EC798C">
        <w:rPr>
          <w:rFonts w:ascii="Arial" w:hAnsi="Arial"/>
        </w:rPr>
        <w:t xml:space="preserve"> </w:t>
      </w:r>
      <w:r>
        <w:rPr>
          <w:rFonts w:ascii="Arial" w:hAnsi="Arial"/>
        </w:rPr>
        <w:t>excluding values of zero.</w:t>
      </w:r>
    </w:p>
    <w:p w:rsidR="00501A4B" w:rsidRDefault="00501A4B" w:rsidP="00501A4B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:rsidR="00D8266C" w:rsidRPr="00496B3B" w:rsidRDefault="00D8266C" w:rsidP="00D8266C">
      <w:pPr>
        <w:rPr>
          <w:rFonts w:ascii="Arial" w:hAnsi="Arial"/>
          <w:color w:val="000000" w:themeColor="text1"/>
        </w:rPr>
      </w:pPr>
    </w:p>
    <w:p w:rsidR="00D8266C" w:rsidRPr="00496B3B" w:rsidRDefault="00D8266C" w:rsidP="00D8266C">
      <w:pPr>
        <w:rPr>
          <w:rFonts w:ascii="Arial" w:hAnsi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855"/>
        <w:gridCol w:w="1291"/>
        <w:gridCol w:w="1337"/>
        <w:gridCol w:w="1530"/>
        <w:gridCol w:w="1620"/>
        <w:gridCol w:w="1800"/>
        <w:gridCol w:w="1638"/>
      </w:tblGrid>
      <w:tr w:rsidR="00D8266C" w:rsidRPr="00496B3B" w:rsidTr="004102D8">
        <w:tc>
          <w:tcPr>
            <w:tcW w:w="603" w:type="dxa"/>
          </w:tcPr>
          <w:p w:rsidR="00D8266C" w:rsidRPr="00496B3B" w:rsidRDefault="008D7163" w:rsidP="00182860">
            <w:p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TTC</w:t>
            </w:r>
          </w:p>
        </w:tc>
        <w:tc>
          <w:tcPr>
            <w:tcW w:w="3483" w:type="dxa"/>
            <w:gridSpan w:val="3"/>
          </w:tcPr>
          <w:p w:rsidR="00D8266C" w:rsidRPr="00496B3B" w:rsidRDefault="00D8266C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Actual</w:t>
            </w:r>
          </w:p>
        </w:tc>
        <w:tc>
          <w:tcPr>
            <w:tcW w:w="6588" w:type="dxa"/>
            <w:gridSpan w:val="4"/>
          </w:tcPr>
          <w:p w:rsidR="00D8266C" w:rsidRPr="00496B3B" w:rsidRDefault="00D8266C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Analysis</w:t>
            </w:r>
          </w:p>
        </w:tc>
      </w:tr>
      <w:tr w:rsidR="00D8266C" w:rsidRPr="00496B3B" w:rsidTr="004102D8">
        <w:tc>
          <w:tcPr>
            <w:tcW w:w="603" w:type="dxa"/>
          </w:tcPr>
          <w:p w:rsidR="00D8266C" w:rsidRPr="00496B3B" w:rsidRDefault="00D8266C" w:rsidP="00182860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Min</w:t>
            </w:r>
          </w:p>
        </w:tc>
        <w:tc>
          <w:tcPr>
            <w:tcW w:w="855" w:type="dxa"/>
          </w:tcPr>
          <w:p w:rsidR="00D8266C" w:rsidRPr="00496B3B" w:rsidRDefault="00D8266C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N</w:t>
            </w:r>
          </w:p>
        </w:tc>
        <w:tc>
          <w:tcPr>
            <w:tcW w:w="1291" w:type="dxa"/>
          </w:tcPr>
          <w:p w:rsidR="00D8266C" w:rsidRPr="00496B3B" w:rsidRDefault="00D8266C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Survivors</w:t>
            </w:r>
          </w:p>
        </w:tc>
        <w:tc>
          <w:tcPr>
            <w:tcW w:w="1337" w:type="dxa"/>
          </w:tcPr>
          <w:p w:rsidR="00D8266C" w:rsidRPr="00496B3B" w:rsidRDefault="00D8266C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Survival Probability</w:t>
            </w:r>
          </w:p>
        </w:tc>
        <w:tc>
          <w:tcPr>
            <w:tcW w:w="3150" w:type="dxa"/>
            <w:gridSpan w:val="2"/>
          </w:tcPr>
          <w:p w:rsidR="00D8266C" w:rsidRPr="00496B3B" w:rsidRDefault="00D8266C" w:rsidP="00182860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3438" w:type="dxa"/>
            <w:gridSpan w:val="2"/>
          </w:tcPr>
          <w:p w:rsidR="002578A0" w:rsidRDefault="002578A0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Odds Ratio</w:t>
            </w:r>
          </w:p>
          <w:p w:rsidR="00D8266C" w:rsidRPr="00496B3B" w:rsidRDefault="00D8266C" w:rsidP="002578A0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95% Confidence</w:t>
            </w:r>
            <w:r w:rsidR="002578A0">
              <w:rPr>
                <w:rFonts w:ascii="Arial" w:hAnsi="Arial"/>
                <w:color w:val="000000" w:themeColor="text1"/>
              </w:rPr>
              <w:t xml:space="preserve"> </w:t>
            </w:r>
            <w:r w:rsidRPr="00496B3B">
              <w:rPr>
                <w:rFonts w:ascii="Arial" w:hAnsi="Arial"/>
                <w:color w:val="000000" w:themeColor="text1"/>
              </w:rPr>
              <w:t xml:space="preserve">Interval </w:t>
            </w:r>
          </w:p>
        </w:tc>
      </w:tr>
      <w:tr w:rsidR="004102D8" w:rsidRPr="00496B3B" w:rsidTr="00182860">
        <w:tc>
          <w:tcPr>
            <w:tcW w:w="603" w:type="dxa"/>
          </w:tcPr>
          <w:p w:rsidR="004102D8" w:rsidRPr="00496B3B" w:rsidRDefault="004102D8" w:rsidP="00182860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5" w:type="dxa"/>
          </w:tcPr>
          <w:p w:rsidR="004102D8" w:rsidRPr="00496B3B" w:rsidRDefault="004102D8" w:rsidP="00182860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91" w:type="dxa"/>
          </w:tcPr>
          <w:p w:rsidR="004102D8" w:rsidRPr="00496B3B" w:rsidRDefault="004102D8" w:rsidP="00182860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37" w:type="dxa"/>
          </w:tcPr>
          <w:p w:rsidR="004102D8" w:rsidRPr="00496B3B" w:rsidRDefault="004102D8" w:rsidP="00182860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530" w:type="dxa"/>
          </w:tcPr>
          <w:p w:rsidR="004102D8" w:rsidRPr="00496B3B" w:rsidRDefault="004102D8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p-value</w:t>
            </w:r>
          </w:p>
        </w:tc>
        <w:tc>
          <w:tcPr>
            <w:tcW w:w="1620" w:type="dxa"/>
          </w:tcPr>
          <w:p w:rsidR="004102D8" w:rsidRPr="00496B3B" w:rsidRDefault="004102D8" w:rsidP="004755C9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 xml:space="preserve">Odds </w:t>
            </w:r>
            <w:r w:rsidR="004755C9">
              <w:rPr>
                <w:rFonts w:ascii="Arial" w:hAnsi="Arial"/>
                <w:color w:val="000000" w:themeColor="text1"/>
              </w:rPr>
              <w:t>R</w:t>
            </w:r>
            <w:r w:rsidRPr="00496B3B">
              <w:rPr>
                <w:rFonts w:ascii="Arial" w:hAnsi="Arial"/>
                <w:color w:val="000000" w:themeColor="text1"/>
              </w:rPr>
              <w:t>atio</w:t>
            </w:r>
          </w:p>
        </w:tc>
        <w:tc>
          <w:tcPr>
            <w:tcW w:w="1800" w:type="dxa"/>
          </w:tcPr>
          <w:p w:rsidR="004102D8" w:rsidRPr="00496B3B" w:rsidRDefault="004102D8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Lower Limit</w:t>
            </w:r>
          </w:p>
        </w:tc>
        <w:tc>
          <w:tcPr>
            <w:tcW w:w="1638" w:type="dxa"/>
          </w:tcPr>
          <w:p w:rsidR="004102D8" w:rsidRPr="00496B3B" w:rsidRDefault="004102D8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Upper Limit</w:t>
            </w:r>
          </w:p>
        </w:tc>
      </w:tr>
      <w:tr w:rsidR="004102D8" w:rsidRPr="00496B3B" w:rsidTr="00182860">
        <w:tc>
          <w:tcPr>
            <w:tcW w:w="603" w:type="dxa"/>
          </w:tcPr>
          <w:p w:rsidR="004102D8" w:rsidRPr="00496B3B" w:rsidRDefault="004102D8" w:rsidP="00182860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1</w:t>
            </w:r>
          </w:p>
        </w:tc>
        <w:tc>
          <w:tcPr>
            <w:tcW w:w="855" w:type="dxa"/>
          </w:tcPr>
          <w:p w:rsidR="004102D8" w:rsidRPr="00152A8D" w:rsidRDefault="00FA12ED" w:rsidP="00FA12ED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249</w:t>
            </w:r>
          </w:p>
        </w:tc>
        <w:tc>
          <w:tcPr>
            <w:tcW w:w="1291" w:type="dxa"/>
          </w:tcPr>
          <w:p w:rsidR="004102D8" w:rsidRPr="00152A8D" w:rsidRDefault="00FA12ED" w:rsidP="00FA12ED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</w:t>
            </w:r>
          </w:p>
        </w:tc>
        <w:tc>
          <w:tcPr>
            <w:tcW w:w="1337" w:type="dxa"/>
          </w:tcPr>
          <w:p w:rsidR="004102D8" w:rsidRPr="00152A8D" w:rsidRDefault="00FA12ED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0.430</w:t>
            </w:r>
          </w:p>
        </w:tc>
        <w:tc>
          <w:tcPr>
            <w:tcW w:w="1530" w:type="dxa"/>
          </w:tcPr>
          <w:p w:rsidR="004102D8" w:rsidRPr="00E40A3C" w:rsidRDefault="004102D8" w:rsidP="00182860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620" w:type="dxa"/>
          </w:tcPr>
          <w:p w:rsidR="004102D8" w:rsidRPr="00E40A3C" w:rsidRDefault="004102D8" w:rsidP="00182860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800" w:type="dxa"/>
          </w:tcPr>
          <w:p w:rsidR="004102D8" w:rsidRPr="00E40A3C" w:rsidRDefault="004102D8" w:rsidP="00182860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638" w:type="dxa"/>
          </w:tcPr>
          <w:p w:rsidR="004102D8" w:rsidRPr="00E40A3C" w:rsidRDefault="004102D8" w:rsidP="00182860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4102D8" w:rsidRPr="00496B3B" w:rsidTr="00182860">
        <w:tc>
          <w:tcPr>
            <w:tcW w:w="603" w:type="dxa"/>
          </w:tcPr>
          <w:p w:rsidR="004102D8" w:rsidRPr="00496B3B" w:rsidRDefault="004102D8" w:rsidP="00182860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2</w:t>
            </w:r>
          </w:p>
        </w:tc>
        <w:tc>
          <w:tcPr>
            <w:tcW w:w="855" w:type="dxa"/>
          </w:tcPr>
          <w:p w:rsidR="004102D8" w:rsidRPr="00152A8D" w:rsidRDefault="005B1AA2" w:rsidP="00FA12ED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74</w:t>
            </w:r>
          </w:p>
        </w:tc>
        <w:tc>
          <w:tcPr>
            <w:tcW w:w="1291" w:type="dxa"/>
          </w:tcPr>
          <w:p w:rsidR="004102D8" w:rsidRPr="00152A8D" w:rsidRDefault="005B1AA2" w:rsidP="00FA12ED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337" w:type="dxa"/>
          </w:tcPr>
          <w:p w:rsidR="004102D8" w:rsidRPr="00152A8D" w:rsidRDefault="005B1AA2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0.284</w:t>
            </w:r>
          </w:p>
        </w:tc>
        <w:tc>
          <w:tcPr>
            <w:tcW w:w="1530" w:type="dxa"/>
          </w:tcPr>
          <w:p w:rsidR="004102D8" w:rsidRPr="00E40A3C" w:rsidRDefault="00CE4331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0.105</w:t>
            </w:r>
          </w:p>
        </w:tc>
        <w:tc>
          <w:tcPr>
            <w:tcW w:w="1620" w:type="dxa"/>
          </w:tcPr>
          <w:p w:rsidR="004102D8" w:rsidRPr="00E40A3C" w:rsidRDefault="0056715F" w:rsidP="00872E69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0.46</w:t>
            </w:r>
          </w:p>
        </w:tc>
        <w:tc>
          <w:tcPr>
            <w:tcW w:w="1800" w:type="dxa"/>
          </w:tcPr>
          <w:p w:rsidR="004102D8" w:rsidRPr="00E40A3C" w:rsidRDefault="0056715F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0.18</w:t>
            </w:r>
          </w:p>
        </w:tc>
        <w:tc>
          <w:tcPr>
            <w:tcW w:w="1638" w:type="dxa"/>
          </w:tcPr>
          <w:p w:rsidR="004102D8" w:rsidRPr="00E40A3C" w:rsidRDefault="002C5564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1.18</w:t>
            </w:r>
          </w:p>
        </w:tc>
      </w:tr>
      <w:tr w:rsidR="004102D8" w:rsidRPr="00496B3B" w:rsidTr="00182860">
        <w:tc>
          <w:tcPr>
            <w:tcW w:w="603" w:type="dxa"/>
          </w:tcPr>
          <w:p w:rsidR="004102D8" w:rsidRPr="00496B3B" w:rsidRDefault="004102D8" w:rsidP="00182860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3</w:t>
            </w:r>
          </w:p>
        </w:tc>
        <w:tc>
          <w:tcPr>
            <w:tcW w:w="855" w:type="dxa"/>
          </w:tcPr>
          <w:p w:rsidR="004102D8" w:rsidRPr="00152A8D" w:rsidRDefault="005B1AA2" w:rsidP="00FA12ED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1291" w:type="dxa"/>
          </w:tcPr>
          <w:p w:rsidR="004102D8" w:rsidRPr="00152A8D" w:rsidRDefault="005B1AA2" w:rsidP="00FA12ED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337" w:type="dxa"/>
          </w:tcPr>
          <w:p w:rsidR="004102D8" w:rsidRPr="00152A8D" w:rsidRDefault="005B1AA2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0.212</w:t>
            </w:r>
          </w:p>
        </w:tc>
        <w:tc>
          <w:tcPr>
            <w:tcW w:w="1530" w:type="dxa"/>
          </w:tcPr>
          <w:p w:rsidR="004102D8" w:rsidRPr="00E40A3C" w:rsidRDefault="00CE4331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0.006</w:t>
            </w:r>
          </w:p>
        </w:tc>
        <w:tc>
          <w:tcPr>
            <w:tcW w:w="1620" w:type="dxa"/>
          </w:tcPr>
          <w:p w:rsidR="004102D8" w:rsidRPr="00E40A3C" w:rsidRDefault="0056715F" w:rsidP="001622B9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0.17</w:t>
            </w:r>
          </w:p>
        </w:tc>
        <w:tc>
          <w:tcPr>
            <w:tcW w:w="1800" w:type="dxa"/>
          </w:tcPr>
          <w:p w:rsidR="004102D8" w:rsidRPr="00E40A3C" w:rsidRDefault="0056715F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0.05</w:t>
            </w:r>
          </w:p>
        </w:tc>
        <w:tc>
          <w:tcPr>
            <w:tcW w:w="1638" w:type="dxa"/>
          </w:tcPr>
          <w:p w:rsidR="004102D8" w:rsidRPr="00E40A3C" w:rsidRDefault="0056715F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0.60</w:t>
            </w:r>
          </w:p>
        </w:tc>
      </w:tr>
      <w:tr w:rsidR="004102D8" w:rsidRPr="00496B3B" w:rsidTr="00182860">
        <w:tc>
          <w:tcPr>
            <w:tcW w:w="603" w:type="dxa"/>
          </w:tcPr>
          <w:p w:rsidR="004102D8" w:rsidRPr="00496B3B" w:rsidRDefault="004102D8" w:rsidP="00182860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4</w:t>
            </w:r>
          </w:p>
        </w:tc>
        <w:tc>
          <w:tcPr>
            <w:tcW w:w="855" w:type="dxa"/>
          </w:tcPr>
          <w:p w:rsidR="004102D8" w:rsidRPr="00152A8D" w:rsidRDefault="005B1AA2" w:rsidP="00FA12ED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88</w:t>
            </w:r>
          </w:p>
        </w:tc>
        <w:tc>
          <w:tcPr>
            <w:tcW w:w="1291" w:type="dxa"/>
          </w:tcPr>
          <w:p w:rsidR="004102D8" w:rsidRPr="00152A8D" w:rsidRDefault="005B1AA2" w:rsidP="00FA12ED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337" w:type="dxa"/>
          </w:tcPr>
          <w:p w:rsidR="004102D8" w:rsidRPr="00152A8D" w:rsidRDefault="005B1AA2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0.375</w:t>
            </w:r>
          </w:p>
        </w:tc>
        <w:tc>
          <w:tcPr>
            <w:tcW w:w="1530" w:type="dxa"/>
          </w:tcPr>
          <w:p w:rsidR="004102D8" w:rsidRPr="00E40A3C" w:rsidRDefault="00CE4331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0.243</w:t>
            </w:r>
          </w:p>
        </w:tc>
        <w:tc>
          <w:tcPr>
            <w:tcW w:w="1620" w:type="dxa"/>
          </w:tcPr>
          <w:p w:rsidR="004102D8" w:rsidRPr="00E40A3C" w:rsidRDefault="0056715F" w:rsidP="00A65C25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0.30</w:t>
            </w:r>
          </w:p>
        </w:tc>
        <w:tc>
          <w:tcPr>
            <w:tcW w:w="1800" w:type="dxa"/>
          </w:tcPr>
          <w:p w:rsidR="004102D8" w:rsidRPr="00E40A3C" w:rsidRDefault="0056715F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0.04</w:t>
            </w:r>
          </w:p>
        </w:tc>
        <w:tc>
          <w:tcPr>
            <w:tcW w:w="1638" w:type="dxa"/>
          </w:tcPr>
          <w:p w:rsidR="004102D8" w:rsidRPr="00E40A3C" w:rsidRDefault="002C5564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2.27</w:t>
            </w:r>
          </w:p>
        </w:tc>
      </w:tr>
      <w:tr w:rsidR="004102D8" w:rsidRPr="00496B3B" w:rsidTr="00182860">
        <w:tc>
          <w:tcPr>
            <w:tcW w:w="603" w:type="dxa"/>
          </w:tcPr>
          <w:p w:rsidR="004102D8" w:rsidRPr="00496B3B" w:rsidRDefault="004102D8" w:rsidP="00182860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5</w:t>
            </w:r>
          </w:p>
        </w:tc>
        <w:tc>
          <w:tcPr>
            <w:tcW w:w="855" w:type="dxa"/>
          </w:tcPr>
          <w:p w:rsidR="004102D8" w:rsidRPr="00152A8D" w:rsidRDefault="005B1AA2" w:rsidP="00FA12ED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291" w:type="dxa"/>
          </w:tcPr>
          <w:p w:rsidR="004102D8" w:rsidRPr="00152A8D" w:rsidRDefault="005B1AA2" w:rsidP="00FA12ED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337" w:type="dxa"/>
          </w:tcPr>
          <w:p w:rsidR="004102D8" w:rsidRPr="00152A8D" w:rsidRDefault="005B1AA2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0.250</w:t>
            </w:r>
          </w:p>
        </w:tc>
        <w:tc>
          <w:tcPr>
            <w:tcW w:w="1530" w:type="dxa"/>
          </w:tcPr>
          <w:p w:rsidR="004102D8" w:rsidRPr="00E40A3C" w:rsidRDefault="00CE4331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0.079</w:t>
            </w:r>
          </w:p>
        </w:tc>
        <w:tc>
          <w:tcPr>
            <w:tcW w:w="1620" w:type="dxa"/>
          </w:tcPr>
          <w:p w:rsidR="004102D8" w:rsidRPr="00E40A3C" w:rsidRDefault="00CE4331" w:rsidP="0056715F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0.19</w:t>
            </w:r>
          </w:p>
        </w:tc>
        <w:tc>
          <w:tcPr>
            <w:tcW w:w="1800" w:type="dxa"/>
          </w:tcPr>
          <w:p w:rsidR="004102D8" w:rsidRPr="00E40A3C" w:rsidRDefault="00C50ADC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0.03</w:t>
            </w:r>
          </w:p>
        </w:tc>
        <w:tc>
          <w:tcPr>
            <w:tcW w:w="1638" w:type="dxa"/>
          </w:tcPr>
          <w:p w:rsidR="004102D8" w:rsidRPr="00E40A3C" w:rsidRDefault="00C50ADC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1.21</w:t>
            </w:r>
          </w:p>
        </w:tc>
      </w:tr>
      <w:tr w:rsidR="004102D8" w:rsidRPr="00496B3B" w:rsidTr="00182860">
        <w:tc>
          <w:tcPr>
            <w:tcW w:w="603" w:type="dxa"/>
          </w:tcPr>
          <w:p w:rsidR="004102D8" w:rsidRPr="00496B3B" w:rsidRDefault="004102D8" w:rsidP="00182860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6</w:t>
            </w:r>
          </w:p>
        </w:tc>
        <w:tc>
          <w:tcPr>
            <w:tcW w:w="855" w:type="dxa"/>
          </w:tcPr>
          <w:p w:rsidR="004102D8" w:rsidRPr="00152A8D" w:rsidRDefault="005B1AA2" w:rsidP="00FA12ED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291" w:type="dxa"/>
          </w:tcPr>
          <w:p w:rsidR="004102D8" w:rsidRPr="00152A8D" w:rsidRDefault="005B1AA2" w:rsidP="00FA12ED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337" w:type="dxa"/>
          </w:tcPr>
          <w:p w:rsidR="004102D8" w:rsidRPr="00152A8D" w:rsidRDefault="005B1AA2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0.400</w:t>
            </w:r>
          </w:p>
        </w:tc>
        <w:tc>
          <w:tcPr>
            <w:tcW w:w="1530" w:type="dxa"/>
          </w:tcPr>
          <w:p w:rsidR="004102D8" w:rsidRPr="00E40A3C" w:rsidRDefault="00CE4331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0.661</w:t>
            </w:r>
          </w:p>
        </w:tc>
        <w:tc>
          <w:tcPr>
            <w:tcW w:w="1620" w:type="dxa"/>
          </w:tcPr>
          <w:p w:rsidR="004102D8" w:rsidRPr="00E40A3C" w:rsidRDefault="0056715F" w:rsidP="00E40A3C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0.49</w:t>
            </w:r>
          </w:p>
        </w:tc>
        <w:tc>
          <w:tcPr>
            <w:tcW w:w="1800" w:type="dxa"/>
          </w:tcPr>
          <w:p w:rsidR="004102D8" w:rsidRPr="00E40A3C" w:rsidRDefault="00C50ADC" w:rsidP="0056715F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0.02</w:t>
            </w:r>
          </w:p>
        </w:tc>
        <w:tc>
          <w:tcPr>
            <w:tcW w:w="1638" w:type="dxa"/>
          </w:tcPr>
          <w:p w:rsidR="004102D8" w:rsidRPr="00E40A3C" w:rsidRDefault="00C50ADC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</w:t>
            </w:r>
            <w:r w:rsidR="0056715F">
              <w:rPr>
                <w:rFonts w:ascii="Arial" w:hAnsi="Arial"/>
                <w:color w:val="000000" w:themeColor="text1"/>
              </w:rPr>
              <w:t>2.08</w:t>
            </w:r>
          </w:p>
        </w:tc>
      </w:tr>
    </w:tbl>
    <w:p w:rsidR="00D8266C" w:rsidRPr="00496B3B" w:rsidRDefault="00D8266C" w:rsidP="00D8266C">
      <w:pPr>
        <w:rPr>
          <w:rFonts w:ascii="Arial" w:hAnsi="Arial"/>
          <w:color w:val="000000" w:themeColor="text1"/>
        </w:rPr>
      </w:pPr>
    </w:p>
    <w:p w:rsidR="00AA6F1E" w:rsidRDefault="009C3FB5" w:rsidP="009C3FB5">
      <w:pPr>
        <w:rPr>
          <w:rFonts w:ascii="Arial" w:hAnsi="Arial"/>
          <w:color w:val="000000"/>
        </w:rPr>
      </w:pPr>
      <w:r>
        <w:rPr>
          <w:rFonts w:ascii="Arial" w:hAnsi="Arial" w:cs="Arial"/>
          <w:bCs/>
          <w:iCs/>
        </w:rPr>
        <w:t xml:space="preserve">Abbreviations: </w:t>
      </w:r>
      <w:r>
        <w:rPr>
          <w:rFonts w:ascii="Arial" w:hAnsi="Arial"/>
        </w:rPr>
        <w:t xml:space="preserve">DEF group = </w:t>
      </w:r>
      <w:r>
        <w:rPr>
          <w:rFonts w:ascii="Arial" w:hAnsi="Arial" w:cs="Arial"/>
          <w:bCs/>
          <w:iCs/>
        </w:rPr>
        <w:t>p</w:t>
      </w:r>
      <w:r>
        <w:rPr>
          <w:rFonts w:ascii="Arial" w:hAnsi="Arial"/>
        </w:rPr>
        <w:t xml:space="preserve">atient group treated with defibrillation, </w:t>
      </w:r>
      <w:r w:rsidR="008D7163">
        <w:rPr>
          <w:rFonts w:ascii="Arial" w:hAnsi="Arial"/>
          <w:color w:val="000000" w:themeColor="text1"/>
        </w:rPr>
        <w:t>TTC</w:t>
      </w:r>
      <w:r w:rsidR="00B65CD3">
        <w:rPr>
          <w:rFonts w:ascii="Arial" w:hAnsi="Arial"/>
          <w:color w:val="000000" w:themeColor="text1"/>
        </w:rPr>
        <w:t xml:space="preserve"> </w:t>
      </w:r>
      <w:r w:rsidR="00D8266C">
        <w:rPr>
          <w:rFonts w:ascii="Arial" w:hAnsi="Arial"/>
          <w:color w:val="000000" w:themeColor="text1"/>
        </w:rPr>
        <w:t xml:space="preserve">= </w:t>
      </w:r>
      <w:r w:rsidR="00940A56">
        <w:rPr>
          <w:rFonts w:ascii="Arial" w:hAnsi="Arial"/>
          <w:color w:val="000000" w:themeColor="text1"/>
        </w:rPr>
        <w:t>T</w:t>
      </w:r>
      <w:r w:rsidR="00B65CD3">
        <w:rPr>
          <w:rFonts w:ascii="Arial" w:hAnsi="Arial"/>
          <w:color w:val="000000" w:themeColor="text1"/>
        </w:rPr>
        <w:t xml:space="preserve">ime to </w:t>
      </w:r>
      <w:r w:rsidR="00AA7070">
        <w:rPr>
          <w:rFonts w:ascii="Arial" w:hAnsi="Arial"/>
          <w:color w:val="000000" w:themeColor="text1"/>
        </w:rPr>
        <w:t>initiation of</w:t>
      </w:r>
      <w:r w:rsidR="00414A2F">
        <w:rPr>
          <w:rFonts w:ascii="Arial" w:hAnsi="Arial"/>
          <w:color w:val="000000" w:themeColor="text1"/>
        </w:rPr>
        <w:t xml:space="preserve"> </w:t>
      </w:r>
      <w:r w:rsidR="00B65CD3">
        <w:rPr>
          <w:rFonts w:ascii="Arial" w:hAnsi="Arial"/>
          <w:color w:val="000000" w:themeColor="text1"/>
        </w:rPr>
        <w:t>CPR</w:t>
      </w:r>
      <w:r w:rsidR="0001498B">
        <w:rPr>
          <w:rFonts w:ascii="Arial" w:hAnsi="Arial"/>
          <w:color w:val="000000" w:themeColor="text1"/>
        </w:rPr>
        <w:t xml:space="preserve">, TFC = Time from CPR to treatment. </w:t>
      </w:r>
      <w:r w:rsidR="00131735">
        <w:rPr>
          <w:rFonts w:ascii="Arial" w:hAnsi="Arial"/>
          <w:color w:val="000000" w:themeColor="text1"/>
        </w:rPr>
        <w:t xml:space="preserve">CPR = cardiopulmonary resuscitation. </w:t>
      </w:r>
      <w:r w:rsidR="00B65CD3">
        <w:rPr>
          <w:rFonts w:ascii="Arial" w:hAnsi="Arial"/>
        </w:rPr>
        <w:t>In point-wise sensitivity analysis</w:t>
      </w:r>
      <w:r w:rsidR="00B62246">
        <w:rPr>
          <w:rFonts w:ascii="Arial" w:hAnsi="Arial"/>
        </w:rPr>
        <w:t xml:space="preserve"> (when values of zero for TTC</w:t>
      </w:r>
      <w:r w:rsidR="00B65CD3">
        <w:rPr>
          <w:rFonts w:ascii="Arial" w:hAnsi="Arial"/>
        </w:rPr>
        <w:t xml:space="preserve"> were excluded), in the DEF subg</w:t>
      </w:r>
      <w:r w:rsidR="00E826C2">
        <w:rPr>
          <w:rFonts w:ascii="Arial" w:hAnsi="Arial"/>
        </w:rPr>
        <w:t xml:space="preserve">roup (n=385), there was no significant effect </w:t>
      </w:r>
      <w:r w:rsidR="00B65CD3">
        <w:rPr>
          <w:rFonts w:ascii="Arial" w:hAnsi="Arial"/>
        </w:rPr>
        <w:t>(overall e</w:t>
      </w:r>
      <w:r w:rsidR="00E826C2">
        <w:rPr>
          <w:rFonts w:ascii="Arial" w:hAnsi="Arial"/>
        </w:rPr>
        <w:t xml:space="preserve">ffect p=0.055) on </w:t>
      </w:r>
      <w:r w:rsidR="00B65CD3">
        <w:rPr>
          <w:rFonts w:ascii="Arial" w:hAnsi="Arial"/>
        </w:rPr>
        <w:t xml:space="preserve">survival with increasing </w:t>
      </w:r>
      <w:r w:rsidR="00B62246">
        <w:rPr>
          <w:rFonts w:ascii="Arial" w:hAnsi="Arial"/>
        </w:rPr>
        <w:t>TTC</w:t>
      </w:r>
      <w:r w:rsidR="00B65CD3">
        <w:rPr>
          <w:rFonts w:ascii="Arial" w:hAnsi="Arial"/>
        </w:rPr>
        <w:t xml:space="preserve">. </w:t>
      </w:r>
      <w:r w:rsidR="00B65CD3" w:rsidRPr="00802BAA">
        <w:rPr>
          <w:rFonts w:ascii="Arial" w:hAnsi="Arial"/>
        </w:rPr>
        <w:t xml:space="preserve"> </w:t>
      </w:r>
      <w:r w:rsidR="00B65CD3">
        <w:rPr>
          <w:rFonts w:ascii="Arial" w:hAnsi="Arial"/>
        </w:rPr>
        <w:t xml:space="preserve">There was a significant decrease </w:t>
      </w:r>
      <w:r w:rsidR="006150F0">
        <w:rPr>
          <w:rFonts w:ascii="Arial" w:hAnsi="Arial"/>
        </w:rPr>
        <w:t xml:space="preserve">in survival </w:t>
      </w:r>
      <w:r w:rsidR="00B65CD3">
        <w:rPr>
          <w:rFonts w:ascii="Arial" w:hAnsi="Arial"/>
        </w:rPr>
        <w:t xml:space="preserve">at </w:t>
      </w:r>
      <w:r w:rsidR="00B62246">
        <w:rPr>
          <w:rFonts w:ascii="Arial" w:hAnsi="Arial"/>
        </w:rPr>
        <w:t>TTC</w:t>
      </w:r>
      <w:r w:rsidR="00B65CD3">
        <w:rPr>
          <w:rFonts w:ascii="Arial" w:hAnsi="Arial"/>
        </w:rPr>
        <w:t xml:space="preserve"> of 3 min</w:t>
      </w:r>
      <w:r w:rsidR="006150F0">
        <w:rPr>
          <w:rFonts w:ascii="Arial" w:hAnsi="Arial"/>
        </w:rPr>
        <w:t>utes</w:t>
      </w:r>
      <w:r w:rsidR="00B65CD3">
        <w:rPr>
          <w:rFonts w:ascii="Arial" w:hAnsi="Arial"/>
        </w:rPr>
        <w:t xml:space="preserve"> (p=0.006)</w:t>
      </w:r>
      <w:r w:rsidR="006150F0">
        <w:rPr>
          <w:rFonts w:ascii="Arial" w:hAnsi="Arial"/>
        </w:rPr>
        <w:t xml:space="preserve"> as compared to 1 minute</w:t>
      </w:r>
      <w:r w:rsidR="00B65CD3">
        <w:rPr>
          <w:rFonts w:ascii="Arial" w:hAnsi="Arial"/>
        </w:rPr>
        <w:t>.</w:t>
      </w:r>
      <w:r w:rsidR="007727DA">
        <w:rPr>
          <w:rFonts w:ascii="Arial" w:hAnsi="Arial"/>
        </w:rPr>
        <w:t xml:space="preserve"> </w:t>
      </w:r>
      <w:r w:rsidR="007727DA">
        <w:rPr>
          <w:rFonts w:ascii="Arial" w:hAnsi="Arial" w:cs="Arial"/>
        </w:rPr>
        <w:t xml:space="preserve">Our analyses were done both with and without </w:t>
      </w:r>
      <w:r w:rsidR="00B62246">
        <w:rPr>
          <w:rFonts w:ascii="Arial" w:hAnsi="Arial" w:cs="Arial"/>
        </w:rPr>
        <w:t>TTC or TFC</w:t>
      </w:r>
      <w:r w:rsidR="007727DA" w:rsidRPr="00687AB9">
        <w:rPr>
          <w:rFonts w:ascii="Arial" w:hAnsi="Arial" w:cs="Arial"/>
        </w:rPr>
        <w:t xml:space="preserve"> </w:t>
      </w:r>
      <w:r w:rsidR="00B00DBD">
        <w:rPr>
          <w:rFonts w:ascii="Arial" w:hAnsi="Arial" w:cs="Arial"/>
        </w:rPr>
        <w:t xml:space="preserve">values </w:t>
      </w:r>
      <w:r w:rsidR="007727DA" w:rsidRPr="00687AB9">
        <w:rPr>
          <w:rFonts w:ascii="Arial" w:hAnsi="Arial" w:cs="Arial"/>
        </w:rPr>
        <w:t xml:space="preserve">equal to zero for </w:t>
      </w:r>
      <w:r w:rsidR="007727DA">
        <w:rPr>
          <w:rFonts w:ascii="Arial" w:hAnsi="Arial" w:cs="Arial"/>
        </w:rPr>
        <w:t xml:space="preserve">two </w:t>
      </w:r>
      <w:r w:rsidR="007727DA" w:rsidRPr="00687AB9">
        <w:rPr>
          <w:rFonts w:ascii="Arial" w:hAnsi="Arial" w:cs="Arial"/>
        </w:rPr>
        <w:t>reasons. First, the potential exists for</w:t>
      </w:r>
      <w:r w:rsidR="007727DA">
        <w:rPr>
          <w:rFonts w:ascii="Arial" w:hAnsi="Arial" w:cs="Arial"/>
        </w:rPr>
        <w:t xml:space="preserve"> </w:t>
      </w:r>
      <w:r w:rsidR="007727DA" w:rsidRPr="0085797B">
        <w:rPr>
          <w:rFonts w:ascii="Arial" w:hAnsi="Arial" w:cs="Arial"/>
        </w:rPr>
        <w:t xml:space="preserve">inadvertent recording of exactly the same times for pulselessness and for </w:t>
      </w:r>
      <w:r w:rsidR="007727DA">
        <w:rPr>
          <w:rFonts w:ascii="Arial" w:hAnsi="Arial" w:cs="Arial"/>
        </w:rPr>
        <w:t xml:space="preserve">the beginning of </w:t>
      </w:r>
      <w:r w:rsidR="007727DA" w:rsidRPr="0085797B">
        <w:rPr>
          <w:rFonts w:ascii="Arial" w:hAnsi="Arial" w:cs="Arial"/>
        </w:rPr>
        <w:t>chest compressions</w:t>
      </w:r>
      <w:r w:rsidR="007727DA">
        <w:rPr>
          <w:rFonts w:ascii="Arial" w:hAnsi="Arial" w:cs="Arial"/>
        </w:rPr>
        <w:t xml:space="preserve"> (</w:t>
      </w:r>
      <w:r w:rsidR="00B62246">
        <w:rPr>
          <w:rFonts w:ascii="Arial" w:hAnsi="Arial" w:cs="Arial"/>
        </w:rPr>
        <w:t>TTC</w:t>
      </w:r>
      <w:r w:rsidR="007727DA">
        <w:rPr>
          <w:rFonts w:ascii="Arial" w:hAnsi="Arial" w:cs="Arial"/>
        </w:rPr>
        <w:t xml:space="preserve"> of 0) or </w:t>
      </w:r>
      <w:r w:rsidR="007727DA" w:rsidRPr="0085797B">
        <w:rPr>
          <w:rFonts w:ascii="Arial" w:hAnsi="Arial" w:cs="Arial"/>
        </w:rPr>
        <w:t xml:space="preserve">the same times for </w:t>
      </w:r>
      <w:r w:rsidR="007727DA">
        <w:rPr>
          <w:rFonts w:ascii="Arial" w:hAnsi="Arial" w:cs="Arial"/>
        </w:rPr>
        <w:t xml:space="preserve">the beginning of </w:t>
      </w:r>
      <w:r w:rsidR="007727DA" w:rsidRPr="0085797B">
        <w:rPr>
          <w:rFonts w:ascii="Arial" w:hAnsi="Arial" w:cs="Arial"/>
        </w:rPr>
        <w:t>chest compressions</w:t>
      </w:r>
      <w:r w:rsidR="007727DA">
        <w:rPr>
          <w:rFonts w:ascii="Arial" w:hAnsi="Arial" w:cs="Arial"/>
        </w:rPr>
        <w:t xml:space="preserve"> and either defibrillation or epinephrine administration (</w:t>
      </w:r>
      <w:r w:rsidR="00B62246">
        <w:rPr>
          <w:rFonts w:ascii="Arial" w:hAnsi="Arial" w:cs="Arial"/>
        </w:rPr>
        <w:t>TFC</w:t>
      </w:r>
      <w:r w:rsidR="007727DA">
        <w:rPr>
          <w:rFonts w:ascii="Arial" w:hAnsi="Arial" w:cs="Arial"/>
        </w:rPr>
        <w:t xml:space="preserve"> of 0)</w:t>
      </w:r>
      <w:r w:rsidR="007727DA" w:rsidRPr="0085797B">
        <w:rPr>
          <w:rFonts w:ascii="Arial" w:hAnsi="Arial" w:cs="Arial"/>
        </w:rPr>
        <w:t>.</w:t>
      </w:r>
      <w:r w:rsidR="007727DA">
        <w:rPr>
          <w:rFonts w:ascii="Arial" w:hAnsi="Arial" w:cs="Arial"/>
        </w:rPr>
        <w:t xml:space="preserve"> Second</w:t>
      </w:r>
      <w:r w:rsidR="0001498B">
        <w:rPr>
          <w:rFonts w:ascii="Arial" w:hAnsi="Arial" w:cs="Arial"/>
        </w:rPr>
        <w:t xml:space="preserve">, </w:t>
      </w:r>
      <w:r w:rsidR="007727DA" w:rsidRPr="00965B8B">
        <w:rPr>
          <w:rFonts w:ascii="Arial" w:hAnsi="Arial" w:cs="Arial"/>
        </w:rPr>
        <w:t xml:space="preserve">the </w:t>
      </w:r>
      <w:r w:rsidR="0001498B">
        <w:rPr>
          <w:rFonts w:ascii="Arial" w:hAnsi="Arial" w:cs="Arial"/>
        </w:rPr>
        <w:t xml:space="preserve">trend toward </w:t>
      </w:r>
      <w:r w:rsidR="007727DA" w:rsidRPr="00F1544D">
        <w:rPr>
          <w:rFonts w:ascii="Arial" w:hAnsi="Arial" w:cs="Arial"/>
        </w:rPr>
        <w:t>reduction in survival</w:t>
      </w:r>
      <w:r w:rsidR="007727DA">
        <w:rPr>
          <w:rFonts w:ascii="Arial" w:hAnsi="Arial" w:cs="Arial"/>
        </w:rPr>
        <w:t xml:space="preserve"> in the DEF group</w:t>
      </w:r>
      <w:r w:rsidR="007727DA" w:rsidRPr="00F1544D">
        <w:rPr>
          <w:rFonts w:ascii="Arial" w:hAnsi="Arial" w:cs="Arial"/>
        </w:rPr>
        <w:t xml:space="preserve"> at zero as compared to one min</w:t>
      </w:r>
      <w:r w:rsidR="0001498B">
        <w:rPr>
          <w:rFonts w:ascii="Arial" w:hAnsi="Arial" w:cs="Arial"/>
        </w:rPr>
        <w:t xml:space="preserve"> (</w:t>
      </w:r>
      <w:r w:rsidR="00662E56">
        <w:rPr>
          <w:rFonts w:ascii="Arial" w:hAnsi="Arial" w:cs="Arial"/>
        </w:rPr>
        <w:t xml:space="preserve">Supplemental </w:t>
      </w:r>
      <w:r w:rsidR="0001498B">
        <w:rPr>
          <w:rFonts w:ascii="Arial" w:hAnsi="Arial" w:cs="Arial"/>
        </w:rPr>
        <w:t xml:space="preserve">Table </w:t>
      </w:r>
      <w:r w:rsidR="00662E56">
        <w:rPr>
          <w:rFonts w:ascii="Arial" w:hAnsi="Arial" w:cs="Arial"/>
        </w:rPr>
        <w:t>6, Supplemental Digital Content 6</w:t>
      </w:r>
      <w:r w:rsidR="0001498B">
        <w:rPr>
          <w:rFonts w:ascii="Arial" w:hAnsi="Arial" w:cs="Arial"/>
        </w:rPr>
        <w:t>)</w:t>
      </w:r>
      <w:r w:rsidR="007727DA">
        <w:rPr>
          <w:rFonts w:ascii="Arial" w:hAnsi="Arial" w:cs="Arial"/>
        </w:rPr>
        <w:t xml:space="preserve"> </w:t>
      </w:r>
      <w:r w:rsidR="0001498B">
        <w:rPr>
          <w:rFonts w:ascii="Arial" w:hAnsi="Arial" w:cs="Arial"/>
        </w:rPr>
        <w:t xml:space="preserve">also </w:t>
      </w:r>
      <w:r w:rsidR="007727DA" w:rsidRPr="00F1544D">
        <w:rPr>
          <w:rFonts w:ascii="Arial" w:hAnsi="Arial" w:cs="Arial"/>
        </w:rPr>
        <w:t xml:space="preserve">suggests </w:t>
      </w:r>
      <w:r w:rsidR="0001498B">
        <w:rPr>
          <w:rFonts w:ascii="Arial" w:hAnsi="Arial" w:cs="Arial"/>
        </w:rPr>
        <w:t xml:space="preserve">the possibility </w:t>
      </w:r>
      <w:r w:rsidR="007727DA" w:rsidRPr="00F1544D">
        <w:rPr>
          <w:rFonts w:ascii="Arial" w:hAnsi="Arial" w:cs="Arial"/>
        </w:rPr>
        <w:t>that some of the times recorded as zero are inaccurate.</w:t>
      </w:r>
      <w:r w:rsidR="007727DA">
        <w:rPr>
          <w:rFonts w:ascii="Arial" w:hAnsi="Arial" w:cs="Arial"/>
        </w:rPr>
        <w:t xml:space="preserve"> Delays were shorter in ICUs, and mortality was greater in ICU patients, which co</w:t>
      </w:r>
      <w:r w:rsidR="007727DA" w:rsidRPr="00FB37E0">
        <w:rPr>
          <w:rFonts w:ascii="Arial" w:hAnsi="Arial" w:cs="Arial"/>
          <w:color w:val="000000"/>
        </w:rPr>
        <w:t>uld result in decreased survival at zero as compared to one min. However, stratification into ICU and non-ICU patients did not remove this effect.</w:t>
      </w:r>
      <w:r w:rsidR="00E826C2">
        <w:rPr>
          <w:rFonts w:ascii="Arial" w:hAnsi="Arial" w:cs="Arial"/>
          <w:color w:val="000000"/>
        </w:rPr>
        <w:t xml:space="preserve"> The Hosmer-Lemeshow test results for exclusion of zero</w:t>
      </w:r>
      <w:r w:rsidR="003A3A63">
        <w:rPr>
          <w:rFonts w:ascii="Arial" w:hAnsi="Arial" w:cs="Arial"/>
          <w:color w:val="000000"/>
        </w:rPr>
        <w:t xml:space="preserve"> in point-wise analysis</w:t>
      </w:r>
      <w:bookmarkStart w:id="0" w:name="_GoBack"/>
      <w:bookmarkEnd w:id="0"/>
      <w:r w:rsidR="00E826C2">
        <w:rPr>
          <w:rFonts w:ascii="Arial" w:hAnsi="Arial" w:cs="Arial"/>
          <w:color w:val="000000"/>
        </w:rPr>
        <w:t>: Overall cohort: p = 0.033</w:t>
      </w:r>
      <w:r w:rsidR="00662E56">
        <w:rPr>
          <w:rFonts w:ascii="Arial" w:hAnsi="Arial" w:cs="Arial"/>
          <w:color w:val="000000"/>
        </w:rPr>
        <w:t>, DEF group: p = 0.367.</w:t>
      </w:r>
    </w:p>
    <w:sectPr w:rsidR="00AA6F1E" w:rsidSect="00C61175">
      <w:headerReference w:type="even" r:id="rId7"/>
      <w:head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269" w:rsidRDefault="00995269">
      <w:r>
        <w:separator/>
      </w:r>
    </w:p>
  </w:endnote>
  <w:endnote w:type="continuationSeparator" w:id="0">
    <w:p w:rsidR="00995269" w:rsidRDefault="0099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269" w:rsidRDefault="00995269">
      <w:r>
        <w:separator/>
      </w:r>
    </w:p>
  </w:footnote>
  <w:footnote w:type="continuationSeparator" w:id="0">
    <w:p w:rsidR="00995269" w:rsidRDefault="00995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69" w:rsidRDefault="00995269" w:rsidP="00C721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5269" w:rsidRDefault="00995269" w:rsidP="00C7215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69" w:rsidRDefault="00995269" w:rsidP="00C721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02FF">
      <w:rPr>
        <w:rStyle w:val="PageNumber"/>
        <w:noProof/>
      </w:rPr>
      <w:t>2</w:t>
    </w:r>
    <w:r>
      <w:rPr>
        <w:rStyle w:val="PageNumber"/>
      </w:rPr>
      <w:fldChar w:fldCharType="end"/>
    </w:r>
  </w:p>
  <w:p w:rsidR="00995269" w:rsidRPr="006F686B" w:rsidRDefault="00995269" w:rsidP="00800604">
    <w:pPr>
      <w:spacing w:before="100" w:beforeAutospacing="1" w:after="100" w:afterAutospacing="1" w:line="480" w:lineRule="auto"/>
      <w:rPr>
        <w:rFonts w:ascii="Arial" w:hAnsi="Arial" w:cs="Arial"/>
        <w:bCs/>
        <w:color w:val="000000"/>
        <w:szCs w:val="20"/>
      </w:rPr>
    </w:pPr>
    <w:r>
      <w:rPr>
        <w:rFonts w:ascii="Arial" w:hAnsi="Arial" w:cs="Arial"/>
        <w:bCs/>
        <w:color w:val="000000"/>
        <w:szCs w:val="20"/>
      </w:rPr>
      <w:t xml:space="preserve">Supplemental Materials for </w:t>
    </w:r>
    <w:r>
      <w:rPr>
        <w:rFonts w:ascii="Arial" w:hAnsi="Arial" w:cs="Arial"/>
      </w:rPr>
      <w:t xml:space="preserve">Bircher &amp; </w:t>
    </w:r>
    <w:r w:rsidRPr="00687AB9">
      <w:rPr>
        <w:rFonts w:ascii="Arial" w:hAnsi="Arial" w:cs="Arial"/>
      </w:rPr>
      <w:t xml:space="preserve">Xu, </w:t>
    </w:r>
    <w:r w:rsidRPr="00E77BA4">
      <w:rPr>
        <w:rFonts w:ascii="Arial" w:hAnsi="Arial"/>
        <w:color w:val="000000"/>
      </w:rPr>
      <w:t>Delays decrease survival in cardiac arrest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FF" w:rsidRPr="003A3A6A" w:rsidRDefault="003A3A6A" w:rsidP="003A3A6A">
    <w:pPr>
      <w:spacing w:before="100" w:beforeAutospacing="1" w:after="100" w:afterAutospacing="1" w:line="480" w:lineRule="auto"/>
    </w:pPr>
    <w:r>
      <w:rPr>
        <w:rFonts w:ascii="Arial" w:hAnsi="Arial" w:cs="Arial"/>
        <w:bCs/>
        <w:color w:val="000000"/>
        <w:szCs w:val="20"/>
      </w:rPr>
      <w:t xml:space="preserve">Supplemental Digital Content </w:t>
    </w:r>
    <w:r w:rsidR="00060CB3">
      <w:rPr>
        <w:rFonts w:ascii="Arial" w:hAnsi="Arial" w:cs="Arial"/>
        <w:bCs/>
        <w:color w:val="000000"/>
        <w:szCs w:val="20"/>
      </w:rPr>
      <w:t>10</w:t>
    </w:r>
    <w:r w:rsidR="005F2DC1">
      <w:rPr>
        <w:rFonts w:ascii="Arial" w:hAnsi="Arial" w:cs="Arial"/>
        <w:bCs/>
        <w:color w:val="000000"/>
        <w:szCs w:val="20"/>
      </w:rPr>
      <w:t xml:space="preserve"> </w:t>
    </w:r>
    <w:r>
      <w:rPr>
        <w:rFonts w:ascii="Arial" w:hAnsi="Arial" w:cs="Arial"/>
        <w:bCs/>
        <w:color w:val="000000"/>
        <w:szCs w:val="20"/>
      </w:rPr>
      <w:t xml:space="preserve">for </w:t>
    </w:r>
    <w:r>
      <w:rPr>
        <w:rFonts w:ascii="Arial" w:hAnsi="Arial" w:cs="Arial"/>
      </w:rPr>
      <w:t>Bircher:</w:t>
    </w:r>
    <w:r w:rsidRPr="00687AB9">
      <w:rPr>
        <w:rFonts w:ascii="Arial" w:hAnsi="Arial" w:cs="Arial"/>
      </w:rPr>
      <w:t xml:space="preserve"> </w:t>
    </w:r>
    <w:r w:rsidRPr="00E77BA4">
      <w:rPr>
        <w:rFonts w:ascii="Arial" w:hAnsi="Arial"/>
        <w:color w:val="000000"/>
      </w:rPr>
      <w:t>Delays decrease survival in cardiac arrest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057D"/>
    <w:multiLevelType w:val="multilevel"/>
    <w:tmpl w:val="C71A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C487A"/>
    <w:multiLevelType w:val="multilevel"/>
    <w:tmpl w:val="67D8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6E7956"/>
    <w:multiLevelType w:val="multilevel"/>
    <w:tmpl w:val="5B66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Circula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CPR.enl&lt;/item&gt;&lt;/Libraries&gt;&lt;/ENLibraries&gt;"/>
  </w:docVars>
  <w:rsids>
    <w:rsidRoot w:val="00D575C8"/>
    <w:rsid w:val="00003200"/>
    <w:rsid w:val="00003499"/>
    <w:rsid w:val="00006E44"/>
    <w:rsid w:val="0000740B"/>
    <w:rsid w:val="00007DBE"/>
    <w:rsid w:val="0001498B"/>
    <w:rsid w:val="000160ED"/>
    <w:rsid w:val="00017582"/>
    <w:rsid w:val="00017ABE"/>
    <w:rsid w:val="00022DA9"/>
    <w:rsid w:val="0002386E"/>
    <w:rsid w:val="00023D8D"/>
    <w:rsid w:val="00026A90"/>
    <w:rsid w:val="00030198"/>
    <w:rsid w:val="00030FE8"/>
    <w:rsid w:val="000326B0"/>
    <w:rsid w:val="0003335F"/>
    <w:rsid w:val="0003603F"/>
    <w:rsid w:val="0003798D"/>
    <w:rsid w:val="00040234"/>
    <w:rsid w:val="00040C52"/>
    <w:rsid w:val="000443D2"/>
    <w:rsid w:val="00044C1A"/>
    <w:rsid w:val="00045DE9"/>
    <w:rsid w:val="00045F21"/>
    <w:rsid w:val="00046F87"/>
    <w:rsid w:val="0004778B"/>
    <w:rsid w:val="00047F75"/>
    <w:rsid w:val="0005115B"/>
    <w:rsid w:val="00051696"/>
    <w:rsid w:val="0005358F"/>
    <w:rsid w:val="000559D7"/>
    <w:rsid w:val="00055EE1"/>
    <w:rsid w:val="00055FE1"/>
    <w:rsid w:val="00056F1E"/>
    <w:rsid w:val="00060CB3"/>
    <w:rsid w:val="00060CC0"/>
    <w:rsid w:val="00062414"/>
    <w:rsid w:val="00063DC7"/>
    <w:rsid w:val="00064E45"/>
    <w:rsid w:val="0006561A"/>
    <w:rsid w:val="000672DC"/>
    <w:rsid w:val="00073B7C"/>
    <w:rsid w:val="000747F3"/>
    <w:rsid w:val="000750D4"/>
    <w:rsid w:val="0008792A"/>
    <w:rsid w:val="00090582"/>
    <w:rsid w:val="00091331"/>
    <w:rsid w:val="0009447C"/>
    <w:rsid w:val="000961E2"/>
    <w:rsid w:val="000A09B1"/>
    <w:rsid w:val="000A14AE"/>
    <w:rsid w:val="000A1889"/>
    <w:rsid w:val="000A22E2"/>
    <w:rsid w:val="000A3C04"/>
    <w:rsid w:val="000A4356"/>
    <w:rsid w:val="000A5617"/>
    <w:rsid w:val="000B2088"/>
    <w:rsid w:val="000B2D26"/>
    <w:rsid w:val="000B4140"/>
    <w:rsid w:val="000B4621"/>
    <w:rsid w:val="000B52EC"/>
    <w:rsid w:val="000C3A4F"/>
    <w:rsid w:val="000C54A1"/>
    <w:rsid w:val="000C58FC"/>
    <w:rsid w:val="000D0808"/>
    <w:rsid w:val="000D210F"/>
    <w:rsid w:val="000D31CA"/>
    <w:rsid w:val="000D3C48"/>
    <w:rsid w:val="000E05E9"/>
    <w:rsid w:val="000E3781"/>
    <w:rsid w:val="000E51BB"/>
    <w:rsid w:val="000E5A37"/>
    <w:rsid w:val="000F1AF5"/>
    <w:rsid w:val="000F385B"/>
    <w:rsid w:val="000F3D9F"/>
    <w:rsid w:val="000F5F21"/>
    <w:rsid w:val="000F6A8E"/>
    <w:rsid w:val="00101716"/>
    <w:rsid w:val="00101F24"/>
    <w:rsid w:val="00101F4A"/>
    <w:rsid w:val="00105D1E"/>
    <w:rsid w:val="0011090D"/>
    <w:rsid w:val="00112EAC"/>
    <w:rsid w:val="00113F59"/>
    <w:rsid w:val="00116138"/>
    <w:rsid w:val="00116604"/>
    <w:rsid w:val="001174A4"/>
    <w:rsid w:val="00117AC0"/>
    <w:rsid w:val="00120529"/>
    <w:rsid w:val="00121A40"/>
    <w:rsid w:val="00122C92"/>
    <w:rsid w:val="00124E69"/>
    <w:rsid w:val="00125A77"/>
    <w:rsid w:val="001266AC"/>
    <w:rsid w:val="00126BD2"/>
    <w:rsid w:val="0012737C"/>
    <w:rsid w:val="00130C75"/>
    <w:rsid w:val="00131735"/>
    <w:rsid w:val="00132643"/>
    <w:rsid w:val="00140073"/>
    <w:rsid w:val="00140245"/>
    <w:rsid w:val="001404E6"/>
    <w:rsid w:val="0014057D"/>
    <w:rsid w:val="00140EFB"/>
    <w:rsid w:val="001410ED"/>
    <w:rsid w:val="001419C8"/>
    <w:rsid w:val="00145FDD"/>
    <w:rsid w:val="001473C6"/>
    <w:rsid w:val="00150AE3"/>
    <w:rsid w:val="00151D99"/>
    <w:rsid w:val="001575A8"/>
    <w:rsid w:val="001622B9"/>
    <w:rsid w:val="001622DC"/>
    <w:rsid w:val="00163002"/>
    <w:rsid w:val="0016509F"/>
    <w:rsid w:val="00173693"/>
    <w:rsid w:val="0017790B"/>
    <w:rsid w:val="001779BC"/>
    <w:rsid w:val="00182860"/>
    <w:rsid w:val="001842D1"/>
    <w:rsid w:val="00185576"/>
    <w:rsid w:val="00186B4F"/>
    <w:rsid w:val="00190BCA"/>
    <w:rsid w:val="00190F06"/>
    <w:rsid w:val="00195045"/>
    <w:rsid w:val="00195857"/>
    <w:rsid w:val="00195907"/>
    <w:rsid w:val="001967F2"/>
    <w:rsid w:val="00197491"/>
    <w:rsid w:val="00197CF4"/>
    <w:rsid w:val="001A0937"/>
    <w:rsid w:val="001A16D5"/>
    <w:rsid w:val="001A2566"/>
    <w:rsid w:val="001A2F3D"/>
    <w:rsid w:val="001A32DF"/>
    <w:rsid w:val="001A58DE"/>
    <w:rsid w:val="001B008B"/>
    <w:rsid w:val="001B20F9"/>
    <w:rsid w:val="001B2F84"/>
    <w:rsid w:val="001B4749"/>
    <w:rsid w:val="001B4E0E"/>
    <w:rsid w:val="001B7D56"/>
    <w:rsid w:val="001C07EC"/>
    <w:rsid w:val="001C162F"/>
    <w:rsid w:val="001C3F0C"/>
    <w:rsid w:val="001D0330"/>
    <w:rsid w:val="001D0371"/>
    <w:rsid w:val="001D0978"/>
    <w:rsid w:val="001D1777"/>
    <w:rsid w:val="001D1ECB"/>
    <w:rsid w:val="001D290F"/>
    <w:rsid w:val="001D5703"/>
    <w:rsid w:val="001E108B"/>
    <w:rsid w:val="001F3DDA"/>
    <w:rsid w:val="001F57D9"/>
    <w:rsid w:val="001F6EAF"/>
    <w:rsid w:val="002059A0"/>
    <w:rsid w:val="002059A7"/>
    <w:rsid w:val="002065BA"/>
    <w:rsid w:val="00211759"/>
    <w:rsid w:val="00215E04"/>
    <w:rsid w:val="00216EF3"/>
    <w:rsid w:val="0021776C"/>
    <w:rsid w:val="00220DFD"/>
    <w:rsid w:val="002316D5"/>
    <w:rsid w:val="00234F9E"/>
    <w:rsid w:val="00236C19"/>
    <w:rsid w:val="00240505"/>
    <w:rsid w:val="002416AD"/>
    <w:rsid w:val="002437AE"/>
    <w:rsid w:val="00243F17"/>
    <w:rsid w:val="00247C8A"/>
    <w:rsid w:val="0025240C"/>
    <w:rsid w:val="0025366F"/>
    <w:rsid w:val="0025397C"/>
    <w:rsid w:val="002567C8"/>
    <w:rsid w:val="00256AB7"/>
    <w:rsid w:val="00256D1C"/>
    <w:rsid w:val="00257707"/>
    <w:rsid w:val="002578A0"/>
    <w:rsid w:val="002609A3"/>
    <w:rsid w:val="00260B0A"/>
    <w:rsid w:val="00263C8E"/>
    <w:rsid w:val="00273BB6"/>
    <w:rsid w:val="002758F0"/>
    <w:rsid w:val="00275E84"/>
    <w:rsid w:val="00276352"/>
    <w:rsid w:val="0028315F"/>
    <w:rsid w:val="00283869"/>
    <w:rsid w:val="002848D3"/>
    <w:rsid w:val="00286070"/>
    <w:rsid w:val="0028679D"/>
    <w:rsid w:val="00291D59"/>
    <w:rsid w:val="002925A1"/>
    <w:rsid w:val="00293EB3"/>
    <w:rsid w:val="00295D68"/>
    <w:rsid w:val="002A0EA0"/>
    <w:rsid w:val="002A279C"/>
    <w:rsid w:val="002A3843"/>
    <w:rsid w:val="002A4D71"/>
    <w:rsid w:val="002B0EF3"/>
    <w:rsid w:val="002B0F44"/>
    <w:rsid w:val="002B1E7D"/>
    <w:rsid w:val="002B1EE9"/>
    <w:rsid w:val="002B2050"/>
    <w:rsid w:val="002B262D"/>
    <w:rsid w:val="002B634C"/>
    <w:rsid w:val="002C0851"/>
    <w:rsid w:val="002C5564"/>
    <w:rsid w:val="002C72CE"/>
    <w:rsid w:val="002D0A6B"/>
    <w:rsid w:val="002D4180"/>
    <w:rsid w:val="002D5009"/>
    <w:rsid w:val="002D5B22"/>
    <w:rsid w:val="002D6272"/>
    <w:rsid w:val="002D76BF"/>
    <w:rsid w:val="002E0EE0"/>
    <w:rsid w:val="002E230C"/>
    <w:rsid w:val="002E4EA9"/>
    <w:rsid w:val="002E53AF"/>
    <w:rsid w:val="002F0D65"/>
    <w:rsid w:val="002F1040"/>
    <w:rsid w:val="002F167C"/>
    <w:rsid w:val="002F2B91"/>
    <w:rsid w:val="002F2CC0"/>
    <w:rsid w:val="002F3E96"/>
    <w:rsid w:val="002F4CA9"/>
    <w:rsid w:val="00302893"/>
    <w:rsid w:val="00304091"/>
    <w:rsid w:val="00304ABD"/>
    <w:rsid w:val="00304BD5"/>
    <w:rsid w:val="00304C8A"/>
    <w:rsid w:val="003073A7"/>
    <w:rsid w:val="003123BF"/>
    <w:rsid w:val="003139DB"/>
    <w:rsid w:val="00317B6F"/>
    <w:rsid w:val="00320BAE"/>
    <w:rsid w:val="00320CB4"/>
    <w:rsid w:val="0032170B"/>
    <w:rsid w:val="00321FF5"/>
    <w:rsid w:val="00322BE6"/>
    <w:rsid w:val="00324C18"/>
    <w:rsid w:val="0032651A"/>
    <w:rsid w:val="003327F4"/>
    <w:rsid w:val="00334FB8"/>
    <w:rsid w:val="00340C6F"/>
    <w:rsid w:val="00341405"/>
    <w:rsid w:val="003417FD"/>
    <w:rsid w:val="0034303B"/>
    <w:rsid w:val="00345576"/>
    <w:rsid w:val="003511E7"/>
    <w:rsid w:val="00351A5E"/>
    <w:rsid w:val="00351B86"/>
    <w:rsid w:val="00351E19"/>
    <w:rsid w:val="00354DFC"/>
    <w:rsid w:val="00356DD2"/>
    <w:rsid w:val="003603FE"/>
    <w:rsid w:val="00360B3F"/>
    <w:rsid w:val="003638BF"/>
    <w:rsid w:val="003647BB"/>
    <w:rsid w:val="00366501"/>
    <w:rsid w:val="00374990"/>
    <w:rsid w:val="00375EE5"/>
    <w:rsid w:val="00380C73"/>
    <w:rsid w:val="003815C5"/>
    <w:rsid w:val="003818DE"/>
    <w:rsid w:val="0038470C"/>
    <w:rsid w:val="003852F6"/>
    <w:rsid w:val="00385C87"/>
    <w:rsid w:val="00386F13"/>
    <w:rsid w:val="00397E57"/>
    <w:rsid w:val="003A1D80"/>
    <w:rsid w:val="003A1F16"/>
    <w:rsid w:val="003A219E"/>
    <w:rsid w:val="003A2900"/>
    <w:rsid w:val="003A3A63"/>
    <w:rsid w:val="003A3A6A"/>
    <w:rsid w:val="003A4B82"/>
    <w:rsid w:val="003B0E2C"/>
    <w:rsid w:val="003B21FD"/>
    <w:rsid w:val="003B39D7"/>
    <w:rsid w:val="003C071B"/>
    <w:rsid w:val="003C183D"/>
    <w:rsid w:val="003C7B39"/>
    <w:rsid w:val="003D283F"/>
    <w:rsid w:val="003D4605"/>
    <w:rsid w:val="003D6524"/>
    <w:rsid w:val="003D7321"/>
    <w:rsid w:val="003E06A8"/>
    <w:rsid w:val="003E127C"/>
    <w:rsid w:val="003E1E7C"/>
    <w:rsid w:val="003E2FBA"/>
    <w:rsid w:val="003E36F3"/>
    <w:rsid w:val="003E5F9E"/>
    <w:rsid w:val="003F2ABD"/>
    <w:rsid w:val="003F3947"/>
    <w:rsid w:val="003F741F"/>
    <w:rsid w:val="004035F0"/>
    <w:rsid w:val="00404484"/>
    <w:rsid w:val="00404749"/>
    <w:rsid w:val="00404BBF"/>
    <w:rsid w:val="0040711A"/>
    <w:rsid w:val="00407AC7"/>
    <w:rsid w:val="00407C80"/>
    <w:rsid w:val="004102D8"/>
    <w:rsid w:val="00412DC5"/>
    <w:rsid w:val="00413408"/>
    <w:rsid w:val="00414A2F"/>
    <w:rsid w:val="004173CB"/>
    <w:rsid w:val="00423851"/>
    <w:rsid w:val="00423D0F"/>
    <w:rsid w:val="00425ECD"/>
    <w:rsid w:val="00430FB8"/>
    <w:rsid w:val="00431054"/>
    <w:rsid w:val="00432112"/>
    <w:rsid w:val="00432802"/>
    <w:rsid w:val="00435E1A"/>
    <w:rsid w:val="0043635E"/>
    <w:rsid w:val="004373EB"/>
    <w:rsid w:val="00437BA6"/>
    <w:rsid w:val="0044527A"/>
    <w:rsid w:val="004461F3"/>
    <w:rsid w:val="00447189"/>
    <w:rsid w:val="00447576"/>
    <w:rsid w:val="00450BEB"/>
    <w:rsid w:val="004515F1"/>
    <w:rsid w:val="004522EA"/>
    <w:rsid w:val="00453FE4"/>
    <w:rsid w:val="004555DF"/>
    <w:rsid w:val="00455E49"/>
    <w:rsid w:val="00457505"/>
    <w:rsid w:val="004615AF"/>
    <w:rsid w:val="00474225"/>
    <w:rsid w:val="0047533D"/>
    <w:rsid w:val="004755C9"/>
    <w:rsid w:val="0047745A"/>
    <w:rsid w:val="00480B31"/>
    <w:rsid w:val="00480C2B"/>
    <w:rsid w:val="004840B5"/>
    <w:rsid w:val="0048492B"/>
    <w:rsid w:val="00484AC7"/>
    <w:rsid w:val="00486431"/>
    <w:rsid w:val="004868AB"/>
    <w:rsid w:val="00487626"/>
    <w:rsid w:val="00487A2A"/>
    <w:rsid w:val="00487C0A"/>
    <w:rsid w:val="00490308"/>
    <w:rsid w:val="00494FE7"/>
    <w:rsid w:val="0049559B"/>
    <w:rsid w:val="00497FFE"/>
    <w:rsid w:val="004A08E2"/>
    <w:rsid w:val="004A2CA3"/>
    <w:rsid w:val="004A309C"/>
    <w:rsid w:val="004B0C45"/>
    <w:rsid w:val="004B4907"/>
    <w:rsid w:val="004B5224"/>
    <w:rsid w:val="004C1528"/>
    <w:rsid w:val="004C5D6A"/>
    <w:rsid w:val="004C6403"/>
    <w:rsid w:val="004D0472"/>
    <w:rsid w:val="004D0CD2"/>
    <w:rsid w:val="004D406E"/>
    <w:rsid w:val="004D453D"/>
    <w:rsid w:val="004D4580"/>
    <w:rsid w:val="004E0306"/>
    <w:rsid w:val="004E1E0D"/>
    <w:rsid w:val="004E1FE1"/>
    <w:rsid w:val="004E2334"/>
    <w:rsid w:val="004E3F3B"/>
    <w:rsid w:val="004E4103"/>
    <w:rsid w:val="004E532C"/>
    <w:rsid w:val="004E5681"/>
    <w:rsid w:val="004F020B"/>
    <w:rsid w:val="004F39BB"/>
    <w:rsid w:val="004F468B"/>
    <w:rsid w:val="004F5A4E"/>
    <w:rsid w:val="004F5E9A"/>
    <w:rsid w:val="0050150F"/>
    <w:rsid w:val="00501A4B"/>
    <w:rsid w:val="00502A13"/>
    <w:rsid w:val="00503236"/>
    <w:rsid w:val="0050359B"/>
    <w:rsid w:val="005047EF"/>
    <w:rsid w:val="00505B5C"/>
    <w:rsid w:val="00505CFC"/>
    <w:rsid w:val="0051077C"/>
    <w:rsid w:val="0051318D"/>
    <w:rsid w:val="005161AD"/>
    <w:rsid w:val="00520BE6"/>
    <w:rsid w:val="0052163F"/>
    <w:rsid w:val="00522A86"/>
    <w:rsid w:val="00522CD9"/>
    <w:rsid w:val="00522D1B"/>
    <w:rsid w:val="00523506"/>
    <w:rsid w:val="00524AAD"/>
    <w:rsid w:val="005259FE"/>
    <w:rsid w:val="00526E22"/>
    <w:rsid w:val="00527B33"/>
    <w:rsid w:val="0053438F"/>
    <w:rsid w:val="0053483B"/>
    <w:rsid w:val="00534FF1"/>
    <w:rsid w:val="00541522"/>
    <w:rsid w:val="005419DB"/>
    <w:rsid w:val="00542582"/>
    <w:rsid w:val="005439CB"/>
    <w:rsid w:val="005476C3"/>
    <w:rsid w:val="0055248D"/>
    <w:rsid w:val="00554F3E"/>
    <w:rsid w:val="00555E07"/>
    <w:rsid w:val="00555FB0"/>
    <w:rsid w:val="00556988"/>
    <w:rsid w:val="00557F0B"/>
    <w:rsid w:val="00561EAD"/>
    <w:rsid w:val="00562DE8"/>
    <w:rsid w:val="0056715F"/>
    <w:rsid w:val="00567A3A"/>
    <w:rsid w:val="005718BD"/>
    <w:rsid w:val="005719A4"/>
    <w:rsid w:val="00572C4B"/>
    <w:rsid w:val="00573BD0"/>
    <w:rsid w:val="00576DDF"/>
    <w:rsid w:val="00577DB4"/>
    <w:rsid w:val="00581015"/>
    <w:rsid w:val="005814DE"/>
    <w:rsid w:val="0058361E"/>
    <w:rsid w:val="0058403F"/>
    <w:rsid w:val="00587257"/>
    <w:rsid w:val="00590416"/>
    <w:rsid w:val="00591560"/>
    <w:rsid w:val="00591F5B"/>
    <w:rsid w:val="005949DD"/>
    <w:rsid w:val="00595F8B"/>
    <w:rsid w:val="00596A6A"/>
    <w:rsid w:val="00597834"/>
    <w:rsid w:val="005A0220"/>
    <w:rsid w:val="005A0303"/>
    <w:rsid w:val="005A1C2F"/>
    <w:rsid w:val="005A3870"/>
    <w:rsid w:val="005A6DA5"/>
    <w:rsid w:val="005B1AA2"/>
    <w:rsid w:val="005B1B25"/>
    <w:rsid w:val="005B1CDD"/>
    <w:rsid w:val="005B1D03"/>
    <w:rsid w:val="005B229C"/>
    <w:rsid w:val="005B2805"/>
    <w:rsid w:val="005B625B"/>
    <w:rsid w:val="005B787D"/>
    <w:rsid w:val="005C0652"/>
    <w:rsid w:val="005C0F87"/>
    <w:rsid w:val="005C4580"/>
    <w:rsid w:val="005C5D22"/>
    <w:rsid w:val="005C7D51"/>
    <w:rsid w:val="005C7E0A"/>
    <w:rsid w:val="005D188C"/>
    <w:rsid w:val="005D2211"/>
    <w:rsid w:val="005D26A2"/>
    <w:rsid w:val="005D4A96"/>
    <w:rsid w:val="005D4DC2"/>
    <w:rsid w:val="005E1D5B"/>
    <w:rsid w:val="005E2DD9"/>
    <w:rsid w:val="005E4818"/>
    <w:rsid w:val="005E526F"/>
    <w:rsid w:val="005E56F3"/>
    <w:rsid w:val="005E58E9"/>
    <w:rsid w:val="005E5C55"/>
    <w:rsid w:val="005E5E03"/>
    <w:rsid w:val="005F033F"/>
    <w:rsid w:val="005F0570"/>
    <w:rsid w:val="005F2C8C"/>
    <w:rsid w:val="005F2DC1"/>
    <w:rsid w:val="005F3833"/>
    <w:rsid w:val="005F3839"/>
    <w:rsid w:val="005F4050"/>
    <w:rsid w:val="005F4869"/>
    <w:rsid w:val="00602774"/>
    <w:rsid w:val="006038A2"/>
    <w:rsid w:val="006058A9"/>
    <w:rsid w:val="00611718"/>
    <w:rsid w:val="00612BB2"/>
    <w:rsid w:val="006147AD"/>
    <w:rsid w:val="006150F0"/>
    <w:rsid w:val="006209B9"/>
    <w:rsid w:val="00621009"/>
    <w:rsid w:val="0062235C"/>
    <w:rsid w:val="00623AED"/>
    <w:rsid w:val="00623F05"/>
    <w:rsid w:val="00625C8D"/>
    <w:rsid w:val="00626D78"/>
    <w:rsid w:val="00630D58"/>
    <w:rsid w:val="00630E59"/>
    <w:rsid w:val="00632621"/>
    <w:rsid w:val="00633075"/>
    <w:rsid w:val="006362B8"/>
    <w:rsid w:val="0064010D"/>
    <w:rsid w:val="006406BC"/>
    <w:rsid w:val="00640715"/>
    <w:rsid w:val="006416C9"/>
    <w:rsid w:val="006438AF"/>
    <w:rsid w:val="006442A6"/>
    <w:rsid w:val="00645CDB"/>
    <w:rsid w:val="0064677D"/>
    <w:rsid w:val="006503D5"/>
    <w:rsid w:val="006505F3"/>
    <w:rsid w:val="00650729"/>
    <w:rsid w:val="00651403"/>
    <w:rsid w:val="00653737"/>
    <w:rsid w:val="00655F04"/>
    <w:rsid w:val="006574E7"/>
    <w:rsid w:val="00657962"/>
    <w:rsid w:val="00657C97"/>
    <w:rsid w:val="00661A5C"/>
    <w:rsid w:val="00662E56"/>
    <w:rsid w:val="00663A91"/>
    <w:rsid w:val="0066521E"/>
    <w:rsid w:val="006709CC"/>
    <w:rsid w:val="00671BBF"/>
    <w:rsid w:val="00671E51"/>
    <w:rsid w:val="0067408B"/>
    <w:rsid w:val="0067409C"/>
    <w:rsid w:val="006761F0"/>
    <w:rsid w:val="006762A8"/>
    <w:rsid w:val="00677F3C"/>
    <w:rsid w:val="00681285"/>
    <w:rsid w:val="006843BA"/>
    <w:rsid w:val="006867D0"/>
    <w:rsid w:val="00691465"/>
    <w:rsid w:val="00695183"/>
    <w:rsid w:val="0069551B"/>
    <w:rsid w:val="00696010"/>
    <w:rsid w:val="00696D2F"/>
    <w:rsid w:val="00697175"/>
    <w:rsid w:val="006A17BE"/>
    <w:rsid w:val="006A18A5"/>
    <w:rsid w:val="006A56AF"/>
    <w:rsid w:val="006A70AE"/>
    <w:rsid w:val="006B10AF"/>
    <w:rsid w:val="006B1248"/>
    <w:rsid w:val="006B209E"/>
    <w:rsid w:val="006B25CB"/>
    <w:rsid w:val="006B3012"/>
    <w:rsid w:val="006B5099"/>
    <w:rsid w:val="006B776C"/>
    <w:rsid w:val="006C0483"/>
    <w:rsid w:val="006C10DF"/>
    <w:rsid w:val="006C233B"/>
    <w:rsid w:val="006C5F65"/>
    <w:rsid w:val="006C6DB3"/>
    <w:rsid w:val="006C6E87"/>
    <w:rsid w:val="006D0FC5"/>
    <w:rsid w:val="006D1108"/>
    <w:rsid w:val="006D22BF"/>
    <w:rsid w:val="006D263D"/>
    <w:rsid w:val="006E1603"/>
    <w:rsid w:val="006E5036"/>
    <w:rsid w:val="006F1796"/>
    <w:rsid w:val="006F41C4"/>
    <w:rsid w:val="006F649F"/>
    <w:rsid w:val="006F686B"/>
    <w:rsid w:val="00703463"/>
    <w:rsid w:val="00707F62"/>
    <w:rsid w:val="00710A6A"/>
    <w:rsid w:val="00711C5D"/>
    <w:rsid w:val="00711FD5"/>
    <w:rsid w:val="00712870"/>
    <w:rsid w:val="0071402E"/>
    <w:rsid w:val="00714745"/>
    <w:rsid w:val="007158D5"/>
    <w:rsid w:val="00715E1B"/>
    <w:rsid w:val="00717550"/>
    <w:rsid w:val="00717D40"/>
    <w:rsid w:val="00720ACD"/>
    <w:rsid w:val="00723EDE"/>
    <w:rsid w:val="007255CA"/>
    <w:rsid w:val="00725D11"/>
    <w:rsid w:val="00727B1C"/>
    <w:rsid w:val="00732C39"/>
    <w:rsid w:val="007334F5"/>
    <w:rsid w:val="00733527"/>
    <w:rsid w:val="007340EA"/>
    <w:rsid w:val="00736E38"/>
    <w:rsid w:val="007374BC"/>
    <w:rsid w:val="00740F13"/>
    <w:rsid w:val="007414FD"/>
    <w:rsid w:val="0074395B"/>
    <w:rsid w:val="00744AA5"/>
    <w:rsid w:val="007455FB"/>
    <w:rsid w:val="007467B6"/>
    <w:rsid w:val="00755226"/>
    <w:rsid w:val="0075695D"/>
    <w:rsid w:val="00757BD8"/>
    <w:rsid w:val="00760280"/>
    <w:rsid w:val="007634B0"/>
    <w:rsid w:val="00763F6A"/>
    <w:rsid w:val="00765C71"/>
    <w:rsid w:val="0076664B"/>
    <w:rsid w:val="00767819"/>
    <w:rsid w:val="00767CE1"/>
    <w:rsid w:val="00770AFC"/>
    <w:rsid w:val="007727DA"/>
    <w:rsid w:val="007735FB"/>
    <w:rsid w:val="0077635A"/>
    <w:rsid w:val="007763FF"/>
    <w:rsid w:val="0077656D"/>
    <w:rsid w:val="007769CF"/>
    <w:rsid w:val="00781F79"/>
    <w:rsid w:val="0078237D"/>
    <w:rsid w:val="00782497"/>
    <w:rsid w:val="007845B7"/>
    <w:rsid w:val="00785125"/>
    <w:rsid w:val="00787440"/>
    <w:rsid w:val="007878B3"/>
    <w:rsid w:val="0079026E"/>
    <w:rsid w:val="007905F4"/>
    <w:rsid w:val="00791E81"/>
    <w:rsid w:val="00792C8E"/>
    <w:rsid w:val="0079322E"/>
    <w:rsid w:val="00793341"/>
    <w:rsid w:val="00796787"/>
    <w:rsid w:val="007974BB"/>
    <w:rsid w:val="007A290B"/>
    <w:rsid w:val="007B28A7"/>
    <w:rsid w:val="007B5B28"/>
    <w:rsid w:val="007B6741"/>
    <w:rsid w:val="007B7512"/>
    <w:rsid w:val="007C00DB"/>
    <w:rsid w:val="007C1AA6"/>
    <w:rsid w:val="007C53D9"/>
    <w:rsid w:val="007C6129"/>
    <w:rsid w:val="007C7FC1"/>
    <w:rsid w:val="007D7DEE"/>
    <w:rsid w:val="007E073E"/>
    <w:rsid w:val="007E2B83"/>
    <w:rsid w:val="007E4CF9"/>
    <w:rsid w:val="007E5082"/>
    <w:rsid w:val="007E60CB"/>
    <w:rsid w:val="007F139D"/>
    <w:rsid w:val="007F2CCE"/>
    <w:rsid w:val="007F647B"/>
    <w:rsid w:val="007F7231"/>
    <w:rsid w:val="007F7768"/>
    <w:rsid w:val="00800604"/>
    <w:rsid w:val="00801F48"/>
    <w:rsid w:val="00803612"/>
    <w:rsid w:val="0081070B"/>
    <w:rsid w:val="00812A0E"/>
    <w:rsid w:val="00812D85"/>
    <w:rsid w:val="00813F3F"/>
    <w:rsid w:val="0082028B"/>
    <w:rsid w:val="00821B01"/>
    <w:rsid w:val="00825537"/>
    <w:rsid w:val="008265C4"/>
    <w:rsid w:val="00827D54"/>
    <w:rsid w:val="008314BE"/>
    <w:rsid w:val="00831C7D"/>
    <w:rsid w:val="00831F02"/>
    <w:rsid w:val="008331E7"/>
    <w:rsid w:val="0083397E"/>
    <w:rsid w:val="0083450B"/>
    <w:rsid w:val="008345CC"/>
    <w:rsid w:val="00834808"/>
    <w:rsid w:val="008348D8"/>
    <w:rsid w:val="008379EB"/>
    <w:rsid w:val="00842504"/>
    <w:rsid w:val="00845451"/>
    <w:rsid w:val="00846359"/>
    <w:rsid w:val="00846D64"/>
    <w:rsid w:val="00847045"/>
    <w:rsid w:val="00850306"/>
    <w:rsid w:val="00854257"/>
    <w:rsid w:val="00856148"/>
    <w:rsid w:val="00856DE2"/>
    <w:rsid w:val="00857CE8"/>
    <w:rsid w:val="00861C00"/>
    <w:rsid w:val="0086295E"/>
    <w:rsid w:val="008630A6"/>
    <w:rsid w:val="00864F7E"/>
    <w:rsid w:val="008700CF"/>
    <w:rsid w:val="00872744"/>
    <w:rsid w:val="00872E69"/>
    <w:rsid w:val="008735CB"/>
    <w:rsid w:val="00877ABB"/>
    <w:rsid w:val="00882876"/>
    <w:rsid w:val="00884695"/>
    <w:rsid w:val="008859F3"/>
    <w:rsid w:val="0089210F"/>
    <w:rsid w:val="008938F6"/>
    <w:rsid w:val="0089520B"/>
    <w:rsid w:val="008959AB"/>
    <w:rsid w:val="00896124"/>
    <w:rsid w:val="00896470"/>
    <w:rsid w:val="008A1552"/>
    <w:rsid w:val="008A19DB"/>
    <w:rsid w:val="008A29F5"/>
    <w:rsid w:val="008A34E4"/>
    <w:rsid w:val="008A7C9B"/>
    <w:rsid w:val="008B0601"/>
    <w:rsid w:val="008B2E18"/>
    <w:rsid w:val="008B35D3"/>
    <w:rsid w:val="008B3E27"/>
    <w:rsid w:val="008B4FA2"/>
    <w:rsid w:val="008B53E5"/>
    <w:rsid w:val="008B727C"/>
    <w:rsid w:val="008C0DE5"/>
    <w:rsid w:val="008C45EE"/>
    <w:rsid w:val="008C48A8"/>
    <w:rsid w:val="008C5A83"/>
    <w:rsid w:val="008C6A87"/>
    <w:rsid w:val="008C7909"/>
    <w:rsid w:val="008D06B0"/>
    <w:rsid w:val="008D1800"/>
    <w:rsid w:val="008D7163"/>
    <w:rsid w:val="008E1577"/>
    <w:rsid w:val="008E1699"/>
    <w:rsid w:val="008E275C"/>
    <w:rsid w:val="008E3224"/>
    <w:rsid w:val="008E36E8"/>
    <w:rsid w:val="008E5BBD"/>
    <w:rsid w:val="008F03FD"/>
    <w:rsid w:val="008F1D89"/>
    <w:rsid w:val="008F2C48"/>
    <w:rsid w:val="008F302F"/>
    <w:rsid w:val="008F4430"/>
    <w:rsid w:val="008F4FF0"/>
    <w:rsid w:val="008F50C1"/>
    <w:rsid w:val="008F6167"/>
    <w:rsid w:val="008F744A"/>
    <w:rsid w:val="008F7530"/>
    <w:rsid w:val="008F75E8"/>
    <w:rsid w:val="009003CD"/>
    <w:rsid w:val="00901921"/>
    <w:rsid w:val="009027F4"/>
    <w:rsid w:val="00902C26"/>
    <w:rsid w:val="009030FE"/>
    <w:rsid w:val="00904413"/>
    <w:rsid w:val="009065F6"/>
    <w:rsid w:val="0090790C"/>
    <w:rsid w:val="00907D77"/>
    <w:rsid w:val="00910F20"/>
    <w:rsid w:val="0091239C"/>
    <w:rsid w:val="00912B65"/>
    <w:rsid w:val="00913473"/>
    <w:rsid w:val="00913EAB"/>
    <w:rsid w:val="00914FCC"/>
    <w:rsid w:val="00916A06"/>
    <w:rsid w:val="0091795E"/>
    <w:rsid w:val="009208B7"/>
    <w:rsid w:val="00923402"/>
    <w:rsid w:val="009259E8"/>
    <w:rsid w:val="0092729E"/>
    <w:rsid w:val="0093131D"/>
    <w:rsid w:val="009335D8"/>
    <w:rsid w:val="009337BE"/>
    <w:rsid w:val="00935AE3"/>
    <w:rsid w:val="009373EA"/>
    <w:rsid w:val="0094061D"/>
    <w:rsid w:val="00940A56"/>
    <w:rsid w:val="00941718"/>
    <w:rsid w:val="009435A4"/>
    <w:rsid w:val="00943984"/>
    <w:rsid w:val="0094468C"/>
    <w:rsid w:val="00946DB0"/>
    <w:rsid w:val="00947AB3"/>
    <w:rsid w:val="00947FAD"/>
    <w:rsid w:val="009548F7"/>
    <w:rsid w:val="00954EEB"/>
    <w:rsid w:val="009550F4"/>
    <w:rsid w:val="009630D4"/>
    <w:rsid w:val="00963E67"/>
    <w:rsid w:val="00965B8B"/>
    <w:rsid w:val="00971C4A"/>
    <w:rsid w:val="00972369"/>
    <w:rsid w:val="009802D8"/>
    <w:rsid w:val="009802FD"/>
    <w:rsid w:val="009816BD"/>
    <w:rsid w:val="00985D52"/>
    <w:rsid w:val="00987AA8"/>
    <w:rsid w:val="0099449A"/>
    <w:rsid w:val="00994A7A"/>
    <w:rsid w:val="00994ADB"/>
    <w:rsid w:val="00995269"/>
    <w:rsid w:val="009A169E"/>
    <w:rsid w:val="009A548C"/>
    <w:rsid w:val="009B0BC8"/>
    <w:rsid w:val="009B49C7"/>
    <w:rsid w:val="009B6EAB"/>
    <w:rsid w:val="009B737A"/>
    <w:rsid w:val="009C0203"/>
    <w:rsid w:val="009C0DA9"/>
    <w:rsid w:val="009C0EA1"/>
    <w:rsid w:val="009C252A"/>
    <w:rsid w:val="009C2B0B"/>
    <w:rsid w:val="009C3FB5"/>
    <w:rsid w:val="009D3FFB"/>
    <w:rsid w:val="009D4153"/>
    <w:rsid w:val="009D4A38"/>
    <w:rsid w:val="009D4CF7"/>
    <w:rsid w:val="009D5DCD"/>
    <w:rsid w:val="009D7497"/>
    <w:rsid w:val="009D74EC"/>
    <w:rsid w:val="009D75E1"/>
    <w:rsid w:val="009E0268"/>
    <w:rsid w:val="009E48A6"/>
    <w:rsid w:val="009E4984"/>
    <w:rsid w:val="009E7D39"/>
    <w:rsid w:val="009F02CB"/>
    <w:rsid w:val="009F2E6D"/>
    <w:rsid w:val="009F315D"/>
    <w:rsid w:val="009F6C80"/>
    <w:rsid w:val="009F7697"/>
    <w:rsid w:val="009F79C9"/>
    <w:rsid w:val="00A00F28"/>
    <w:rsid w:val="00A01324"/>
    <w:rsid w:val="00A01820"/>
    <w:rsid w:val="00A01C1B"/>
    <w:rsid w:val="00A02A28"/>
    <w:rsid w:val="00A03EA2"/>
    <w:rsid w:val="00A04996"/>
    <w:rsid w:val="00A057CA"/>
    <w:rsid w:val="00A0673C"/>
    <w:rsid w:val="00A06A3E"/>
    <w:rsid w:val="00A1310E"/>
    <w:rsid w:val="00A15888"/>
    <w:rsid w:val="00A16556"/>
    <w:rsid w:val="00A16664"/>
    <w:rsid w:val="00A20C71"/>
    <w:rsid w:val="00A23692"/>
    <w:rsid w:val="00A23C92"/>
    <w:rsid w:val="00A2778D"/>
    <w:rsid w:val="00A279A6"/>
    <w:rsid w:val="00A302E3"/>
    <w:rsid w:val="00A32D52"/>
    <w:rsid w:val="00A338C8"/>
    <w:rsid w:val="00A36401"/>
    <w:rsid w:val="00A36ED4"/>
    <w:rsid w:val="00A370FD"/>
    <w:rsid w:val="00A402B7"/>
    <w:rsid w:val="00A41587"/>
    <w:rsid w:val="00A419DB"/>
    <w:rsid w:val="00A43368"/>
    <w:rsid w:val="00A52CE1"/>
    <w:rsid w:val="00A543BF"/>
    <w:rsid w:val="00A5466C"/>
    <w:rsid w:val="00A5563F"/>
    <w:rsid w:val="00A5634A"/>
    <w:rsid w:val="00A57BC4"/>
    <w:rsid w:val="00A634A3"/>
    <w:rsid w:val="00A643BC"/>
    <w:rsid w:val="00A65526"/>
    <w:rsid w:val="00A65C25"/>
    <w:rsid w:val="00A674E4"/>
    <w:rsid w:val="00A715FD"/>
    <w:rsid w:val="00A72B4B"/>
    <w:rsid w:val="00A737DE"/>
    <w:rsid w:val="00A73D50"/>
    <w:rsid w:val="00A752E2"/>
    <w:rsid w:val="00A800B1"/>
    <w:rsid w:val="00A8066A"/>
    <w:rsid w:val="00A817B8"/>
    <w:rsid w:val="00A819CF"/>
    <w:rsid w:val="00A837EE"/>
    <w:rsid w:val="00A85550"/>
    <w:rsid w:val="00A8629A"/>
    <w:rsid w:val="00A86E05"/>
    <w:rsid w:val="00A875B0"/>
    <w:rsid w:val="00A90065"/>
    <w:rsid w:val="00A92E83"/>
    <w:rsid w:val="00A94F55"/>
    <w:rsid w:val="00A974F2"/>
    <w:rsid w:val="00AA1F51"/>
    <w:rsid w:val="00AA6F1E"/>
    <w:rsid w:val="00AA7070"/>
    <w:rsid w:val="00AB062F"/>
    <w:rsid w:val="00AB0D7D"/>
    <w:rsid w:val="00AB2D44"/>
    <w:rsid w:val="00AB2DA0"/>
    <w:rsid w:val="00AB5820"/>
    <w:rsid w:val="00AB64AD"/>
    <w:rsid w:val="00AB7BC4"/>
    <w:rsid w:val="00AB7C17"/>
    <w:rsid w:val="00AC00D7"/>
    <w:rsid w:val="00AC1540"/>
    <w:rsid w:val="00AC3803"/>
    <w:rsid w:val="00AC3FCE"/>
    <w:rsid w:val="00AC432C"/>
    <w:rsid w:val="00AC5050"/>
    <w:rsid w:val="00AC5B9E"/>
    <w:rsid w:val="00AC75AD"/>
    <w:rsid w:val="00AD0686"/>
    <w:rsid w:val="00AD1655"/>
    <w:rsid w:val="00AD3EBD"/>
    <w:rsid w:val="00AD7AB3"/>
    <w:rsid w:val="00AE0990"/>
    <w:rsid w:val="00AE1960"/>
    <w:rsid w:val="00AE51E5"/>
    <w:rsid w:val="00AE66A9"/>
    <w:rsid w:val="00AE757E"/>
    <w:rsid w:val="00AF22A4"/>
    <w:rsid w:val="00B00DBD"/>
    <w:rsid w:val="00B0153A"/>
    <w:rsid w:val="00B02010"/>
    <w:rsid w:val="00B068FD"/>
    <w:rsid w:val="00B06A7C"/>
    <w:rsid w:val="00B06EB9"/>
    <w:rsid w:val="00B07AAD"/>
    <w:rsid w:val="00B10600"/>
    <w:rsid w:val="00B109D3"/>
    <w:rsid w:val="00B10ACD"/>
    <w:rsid w:val="00B11900"/>
    <w:rsid w:val="00B125A3"/>
    <w:rsid w:val="00B169AC"/>
    <w:rsid w:val="00B21472"/>
    <w:rsid w:val="00B21AF2"/>
    <w:rsid w:val="00B22F52"/>
    <w:rsid w:val="00B27B04"/>
    <w:rsid w:val="00B27C5E"/>
    <w:rsid w:val="00B312EA"/>
    <w:rsid w:val="00B3316B"/>
    <w:rsid w:val="00B36B00"/>
    <w:rsid w:val="00B42E76"/>
    <w:rsid w:val="00B453BE"/>
    <w:rsid w:val="00B46E1D"/>
    <w:rsid w:val="00B51B35"/>
    <w:rsid w:val="00B51CC3"/>
    <w:rsid w:val="00B56C4B"/>
    <w:rsid w:val="00B61A7A"/>
    <w:rsid w:val="00B62246"/>
    <w:rsid w:val="00B622DE"/>
    <w:rsid w:val="00B62E3A"/>
    <w:rsid w:val="00B63711"/>
    <w:rsid w:val="00B65CD3"/>
    <w:rsid w:val="00B66AD2"/>
    <w:rsid w:val="00B73284"/>
    <w:rsid w:val="00B81151"/>
    <w:rsid w:val="00B87EE6"/>
    <w:rsid w:val="00B911B3"/>
    <w:rsid w:val="00B91DB3"/>
    <w:rsid w:val="00B931EB"/>
    <w:rsid w:val="00B93231"/>
    <w:rsid w:val="00B93FDA"/>
    <w:rsid w:val="00BA0250"/>
    <w:rsid w:val="00BA03FC"/>
    <w:rsid w:val="00BA090B"/>
    <w:rsid w:val="00BA3421"/>
    <w:rsid w:val="00BA4841"/>
    <w:rsid w:val="00BA7154"/>
    <w:rsid w:val="00BA799F"/>
    <w:rsid w:val="00BB042F"/>
    <w:rsid w:val="00BB1EDB"/>
    <w:rsid w:val="00BB3076"/>
    <w:rsid w:val="00BB71D0"/>
    <w:rsid w:val="00BB7FD8"/>
    <w:rsid w:val="00BC1AB6"/>
    <w:rsid w:val="00BC231E"/>
    <w:rsid w:val="00BC3E63"/>
    <w:rsid w:val="00BC5B9C"/>
    <w:rsid w:val="00BC6A6A"/>
    <w:rsid w:val="00BC79AB"/>
    <w:rsid w:val="00BD494C"/>
    <w:rsid w:val="00BD60AF"/>
    <w:rsid w:val="00BE107D"/>
    <w:rsid w:val="00BE2561"/>
    <w:rsid w:val="00BE26C0"/>
    <w:rsid w:val="00BE49C8"/>
    <w:rsid w:val="00BE6024"/>
    <w:rsid w:val="00BE6128"/>
    <w:rsid w:val="00BF09EC"/>
    <w:rsid w:val="00BF11F9"/>
    <w:rsid w:val="00BF4FE0"/>
    <w:rsid w:val="00BF5BF0"/>
    <w:rsid w:val="00C00E04"/>
    <w:rsid w:val="00C011B2"/>
    <w:rsid w:val="00C0151C"/>
    <w:rsid w:val="00C03374"/>
    <w:rsid w:val="00C03AFB"/>
    <w:rsid w:val="00C04CA0"/>
    <w:rsid w:val="00C04E2E"/>
    <w:rsid w:val="00C056C6"/>
    <w:rsid w:val="00C07BDE"/>
    <w:rsid w:val="00C116EC"/>
    <w:rsid w:val="00C117A5"/>
    <w:rsid w:val="00C11C33"/>
    <w:rsid w:val="00C145A5"/>
    <w:rsid w:val="00C146DC"/>
    <w:rsid w:val="00C16EB5"/>
    <w:rsid w:val="00C172E9"/>
    <w:rsid w:val="00C179AD"/>
    <w:rsid w:val="00C222BA"/>
    <w:rsid w:val="00C24EE8"/>
    <w:rsid w:val="00C25696"/>
    <w:rsid w:val="00C26621"/>
    <w:rsid w:val="00C3083A"/>
    <w:rsid w:val="00C31904"/>
    <w:rsid w:val="00C32DD4"/>
    <w:rsid w:val="00C33B99"/>
    <w:rsid w:val="00C35723"/>
    <w:rsid w:val="00C36B76"/>
    <w:rsid w:val="00C37DFE"/>
    <w:rsid w:val="00C405D6"/>
    <w:rsid w:val="00C40F01"/>
    <w:rsid w:val="00C47B2A"/>
    <w:rsid w:val="00C507B1"/>
    <w:rsid w:val="00C50ADC"/>
    <w:rsid w:val="00C50C79"/>
    <w:rsid w:val="00C517C6"/>
    <w:rsid w:val="00C52DEF"/>
    <w:rsid w:val="00C53F43"/>
    <w:rsid w:val="00C57A65"/>
    <w:rsid w:val="00C601C0"/>
    <w:rsid w:val="00C61175"/>
    <w:rsid w:val="00C62469"/>
    <w:rsid w:val="00C6339C"/>
    <w:rsid w:val="00C639E2"/>
    <w:rsid w:val="00C63AED"/>
    <w:rsid w:val="00C649FE"/>
    <w:rsid w:val="00C72151"/>
    <w:rsid w:val="00C739D3"/>
    <w:rsid w:val="00C777AC"/>
    <w:rsid w:val="00C813D4"/>
    <w:rsid w:val="00C8200D"/>
    <w:rsid w:val="00C82630"/>
    <w:rsid w:val="00C831E3"/>
    <w:rsid w:val="00C876D3"/>
    <w:rsid w:val="00C87856"/>
    <w:rsid w:val="00CA08BF"/>
    <w:rsid w:val="00CA3DAD"/>
    <w:rsid w:val="00CA47F3"/>
    <w:rsid w:val="00CB0EA5"/>
    <w:rsid w:val="00CB41C5"/>
    <w:rsid w:val="00CB6547"/>
    <w:rsid w:val="00CC0B12"/>
    <w:rsid w:val="00CC0B90"/>
    <w:rsid w:val="00CC0C3E"/>
    <w:rsid w:val="00CC12B1"/>
    <w:rsid w:val="00CC3882"/>
    <w:rsid w:val="00CC3C23"/>
    <w:rsid w:val="00CC4B9A"/>
    <w:rsid w:val="00CC583D"/>
    <w:rsid w:val="00CD02FF"/>
    <w:rsid w:val="00CD0CE2"/>
    <w:rsid w:val="00CD36BA"/>
    <w:rsid w:val="00CD4D8B"/>
    <w:rsid w:val="00CD5817"/>
    <w:rsid w:val="00CD7898"/>
    <w:rsid w:val="00CD7E03"/>
    <w:rsid w:val="00CD7FBC"/>
    <w:rsid w:val="00CE2100"/>
    <w:rsid w:val="00CE2B7C"/>
    <w:rsid w:val="00CE4331"/>
    <w:rsid w:val="00CE4437"/>
    <w:rsid w:val="00CE4C43"/>
    <w:rsid w:val="00CE4DC6"/>
    <w:rsid w:val="00CF0319"/>
    <w:rsid w:val="00CF0359"/>
    <w:rsid w:val="00CF367E"/>
    <w:rsid w:val="00CF422C"/>
    <w:rsid w:val="00CF44B7"/>
    <w:rsid w:val="00CF478E"/>
    <w:rsid w:val="00CF4A2A"/>
    <w:rsid w:val="00CF51CD"/>
    <w:rsid w:val="00CF5D30"/>
    <w:rsid w:val="00CF6985"/>
    <w:rsid w:val="00D02994"/>
    <w:rsid w:val="00D03DA7"/>
    <w:rsid w:val="00D04D4A"/>
    <w:rsid w:val="00D1056B"/>
    <w:rsid w:val="00D111CF"/>
    <w:rsid w:val="00D1364C"/>
    <w:rsid w:val="00D14240"/>
    <w:rsid w:val="00D1428C"/>
    <w:rsid w:val="00D148B0"/>
    <w:rsid w:val="00D14DDD"/>
    <w:rsid w:val="00D16F0D"/>
    <w:rsid w:val="00D225C2"/>
    <w:rsid w:val="00D236D3"/>
    <w:rsid w:val="00D25F3C"/>
    <w:rsid w:val="00D30EF3"/>
    <w:rsid w:val="00D33519"/>
    <w:rsid w:val="00D34004"/>
    <w:rsid w:val="00D34F7C"/>
    <w:rsid w:val="00D352DD"/>
    <w:rsid w:val="00D47D50"/>
    <w:rsid w:val="00D5103E"/>
    <w:rsid w:val="00D51304"/>
    <w:rsid w:val="00D51CBD"/>
    <w:rsid w:val="00D5395C"/>
    <w:rsid w:val="00D54D01"/>
    <w:rsid w:val="00D56DA9"/>
    <w:rsid w:val="00D575C8"/>
    <w:rsid w:val="00D6174D"/>
    <w:rsid w:val="00D61801"/>
    <w:rsid w:val="00D623A0"/>
    <w:rsid w:val="00D62D34"/>
    <w:rsid w:val="00D6301F"/>
    <w:rsid w:val="00D630DC"/>
    <w:rsid w:val="00D637DE"/>
    <w:rsid w:val="00D66712"/>
    <w:rsid w:val="00D67B62"/>
    <w:rsid w:val="00D701E7"/>
    <w:rsid w:val="00D70212"/>
    <w:rsid w:val="00D75EC9"/>
    <w:rsid w:val="00D82179"/>
    <w:rsid w:val="00D8266C"/>
    <w:rsid w:val="00D84B0E"/>
    <w:rsid w:val="00D87FA2"/>
    <w:rsid w:val="00D9087F"/>
    <w:rsid w:val="00D91BC5"/>
    <w:rsid w:val="00D93342"/>
    <w:rsid w:val="00D94017"/>
    <w:rsid w:val="00D95D6D"/>
    <w:rsid w:val="00D9709C"/>
    <w:rsid w:val="00D973B8"/>
    <w:rsid w:val="00D97454"/>
    <w:rsid w:val="00D97988"/>
    <w:rsid w:val="00DA1B21"/>
    <w:rsid w:val="00DA4BD8"/>
    <w:rsid w:val="00DA562B"/>
    <w:rsid w:val="00DA6BA0"/>
    <w:rsid w:val="00DA7EB7"/>
    <w:rsid w:val="00DB25E4"/>
    <w:rsid w:val="00DB3379"/>
    <w:rsid w:val="00DB359A"/>
    <w:rsid w:val="00DB5A1D"/>
    <w:rsid w:val="00DB5C63"/>
    <w:rsid w:val="00DB5E6A"/>
    <w:rsid w:val="00DB6259"/>
    <w:rsid w:val="00DC0131"/>
    <w:rsid w:val="00DC2450"/>
    <w:rsid w:val="00DC261B"/>
    <w:rsid w:val="00DC333F"/>
    <w:rsid w:val="00DC396E"/>
    <w:rsid w:val="00DC57DD"/>
    <w:rsid w:val="00DC6C85"/>
    <w:rsid w:val="00DD7927"/>
    <w:rsid w:val="00DE44F6"/>
    <w:rsid w:val="00DE5216"/>
    <w:rsid w:val="00DE764B"/>
    <w:rsid w:val="00DE7770"/>
    <w:rsid w:val="00DF175D"/>
    <w:rsid w:val="00DF3C21"/>
    <w:rsid w:val="00DF4E13"/>
    <w:rsid w:val="00DF62F0"/>
    <w:rsid w:val="00DF64F6"/>
    <w:rsid w:val="00E049BD"/>
    <w:rsid w:val="00E05052"/>
    <w:rsid w:val="00E0516F"/>
    <w:rsid w:val="00E05EC1"/>
    <w:rsid w:val="00E06676"/>
    <w:rsid w:val="00E066AA"/>
    <w:rsid w:val="00E07456"/>
    <w:rsid w:val="00E0750E"/>
    <w:rsid w:val="00E07534"/>
    <w:rsid w:val="00E07728"/>
    <w:rsid w:val="00E105B5"/>
    <w:rsid w:val="00E11FD4"/>
    <w:rsid w:val="00E12990"/>
    <w:rsid w:val="00E12C4C"/>
    <w:rsid w:val="00E13FB8"/>
    <w:rsid w:val="00E14880"/>
    <w:rsid w:val="00E14925"/>
    <w:rsid w:val="00E16D96"/>
    <w:rsid w:val="00E20580"/>
    <w:rsid w:val="00E27F7F"/>
    <w:rsid w:val="00E30CDD"/>
    <w:rsid w:val="00E31CA3"/>
    <w:rsid w:val="00E35C58"/>
    <w:rsid w:val="00E372C2"/>
    <w:rsid w:val="00E40A3C"/>
    <w:rsid w:val="00E414A1"/>
    <w:rsid w:val="00E42076"/>
    <w:rsid w:val="00E43885"/>
    <w:rsid w:val="00E47D75"/>
    <w:rsid w:val="00E51FCE"/>
    <w:rsid w:val="00E543C8"/>
    <w:rsid w:val="00E56143"/>
    <w:rsid w:val="00E56800"/>
    <w:rsid w:val="00E60DB8"/>
    <w:rsid w:val="00E61664"/>
    <w:rsid w:val="00E6458D"/>
    <w:rsid w:val="00E65D62"/>
    <w:rsid w:val="00E70D43"/>
    <w:rsid w:val="00E72205"/>
    <w:rsid w:val="00E723FE"/>
    <w:rsid w:val="00E758B7"/>
    <w:rsid w:val="00E77195"/>
    <w:rsid w:val="00E7784B"/>
    <w:rsid w:val="00E812F0"/>
    <w:rsid w:val="00E817CE"/>
    <w:rsid w:val="00E826C2"/>
    <w:rsid w:val="00E85494"/>
    <w:rsid w:val="00E86D41"/>
    <w:rsid w:val="00E872E4"/>
    <w:rsid w:val="00E9359E"/>
    <w:rsid w:val="00E9376C"/>
    <w:rsid w:val="00EA0C46"/>
    <w:rsid w:val="00EA22B0"/>
    <w:rsid w:val="00EA37E5"/>
    <w:rsid w:val="00EA47D3"/>
    <w:rsid w:val="00EA5872"/>
    <w:rsid w:val="00EA649B"/>
    <w:rsid w:val="00EA6AA0"/>
    <w:rsid w:val="00EB04D2"/>
    <w:rsid w:val="00EB065C"/>
    <w:rsid w:val="00EB08B1"/>
    <w:rsid w:val="00EB0C6A"/>
    <w:rsid w:val="00EB1A0D"/>
    <w:rsid w:val="00EB4820"/>
    <w:rsid w:val="00EB54D4"/>
    <w:rsid w:val="00EB5685"/>
    <w:rsid w:val="00EB6984"/>
    <w:rsid w:val="00EB77D0"/>
    <w:rsid w:val="00EC000C"/>
    <w:rsid w:val="00EC3357"/>
    <w:rsid w:val="00EC6D19"/>
    <w:rsid w:val="00EC798C"/>
    <w:rsid w:val="00ED512B"/>
    <w:rsid w:val="00EE004D"/>
    <w:rsid w:val="00EE0689"/>
    <w:rsid w:val="00EE1766"/>
    <w:rsid w:val="00EE21B6"/>
    <w:rsid w:val="00EE2343"/>
    <w:rsid w:val="00EE4509"/>
    <w:rsid w:val="00EE46A1"/>
    <w:rsid w:val="00EE73F1"/>
    <w:rsid w:val="00EE7522"/>
    <w:rsid w:val="00EF07E4"/>
    <w:rsid w:val="00EF0941"/>
    <w:rsid w:val="00EF0AA8"/>
    <w:rsid w:val="00EF1B42"/>
    <w:rsid w:val="00EF2CDD"/>
    <w:rsid w:val="00EF5D27"/>
    <w:rsid w:val="00EF5F62"/>
    <w:rsid w:val="00F0065B"/>
    <w:rsid w:val="00F03470"/>
    <w:rsid w:val="00F07917"/>
    <w:rsid w:val="00F11285"/>
    <w:rsid w:val="00F13189"/>
    <w:rsid w:val="00F1544D"/>
    <w:rsid w:val="00F16964"/>
    <w:rsid w:val="00F16CA5"/>
    <w:rsid w:val="00F172C0"/>
    <w:rsid w:val="00F1736F"/>
    <w:rsid w:val="00F173EC"/>
    <w:rsid w:val="00F20978"/>
    <w:rsid w:val="00F20A2B"/>
    <w:rsid w:val="00F20CB2"/>
    <w:rsid w:val="00F20DE7"/>
    <w:rsid w:val="00F21B32"/>
    <w:rsid w:val="00F22228"/>
    <w:rsid w:val="00F22672"/>
    <w:rsid w:val="00F23422"/>
    <w:rsid w:val="00F23BCC"/>
    <w:rsid w:val="00F303F2"/>
    <w:rsid w:val="00F30C40"/>
    <w:rsid w:val="00F335D1"/>
    <w:rsid w:val="00F33FE0"/>
    <w:rsid w:val="00F352E4"/>
    <w:rsid w:val="00F35CA6"/>
    <w:rsid w:val="00F42C8E"/>
    <w:rsid w:val="00F50D94"/>
    <w:rsid w:val="00F52BC9"/>
    <w:rsid w:val="00F53728"/>
    <w:rsid w:val="00F5441E"/>
    <w:rsid w:val="00F573AC"/>
    <w:rsid w:val="00F57982"/>
    <w:rsid w:val="00F615D9"/>
    <w:rsid w:val="00F619F7"/>
    <w:rsid w:val="00F6326E"/>
    <w:rsid w:val="00F63C33"/>
    <w:rsid w:val="00F6468B"/>
    <w:rsid w:val="00F671D5"/>
    <w:rsid w:val="00F70535"/>
    <w:rsid w:val="00F71889"/>
    <w:rsid w:val="00F72531"/>
    <w:rsid w:val="00F725EE"/>
    <w:rsid w:val="00F73BF8"/>
    <w:rsid w:val="00F747ED"/>
    <w:rsid w:val="00F800C4"/>
    <w:rsid w:val="00F808E1"/>
    <w:rsid w:val="00F80E10"/>
    <w:rsid w:val="00F80EF2"/>
    <w:rsid w:val="00F823A8"/>
    <w:rsid w:val="00F85D26"/>
    <w:rsid w:val="00F87299"/>
    <w:rsid w:val="00F905D6"/>
    <w:rsid w:val="00F93504"/>
    <w:rsid w:val="00F946A9"/>
    <w:rsid w:val="00F948AD"/>
    <w:rsid w:val="00FA0656"/>
    <w:rsid w:val="00FA12E8"/>
    <w:rsid w:val="00FA12ED"/>
    <w:rsid w:val="00FA1DEA"/>
    <w:rsid w:val="00FA384F"/>
    <w:rsid w:val="00FA4A0E"/>
    <w:rsid w:val="00FA5D19"/>
    <w:rsid w:val="00FB0CBE"/>
    <w:rsid w:val="00FB163F"/>
    <w:rsid w:val="00FB37E0"/>
    <w:rsid w:val="00FB3C5D"/>
    <w:rsid w:val="00FB5496"/>
    <w:rsid w:val="00FB712F"/>
    <w:rsid w:val="00FB7592"/>
    <w:rsid w:val="00FB7631"/>
    <w:rsid w:val="00FC5ECF"/>
    <w:rsid w:val="00FC66E3"/>
    <w:rsid w:val="00FD11B3"/>
    <w:rsid w:val="00FD1749"/>
    <w:rsid w:val="00FD3419"/>
    <w:rsid w:val="00FD3A3D"/>
    <w:rsid w:val="00FD3B4C"/>
    <w:rsid w:val="00FD41E8"/>
    <w:rsid w:val="00FD7808"/>
    <w:rsid w:val="00FE05AC"/>
    <w:rsid w:val="00FE0AE0"/>
    <w:rsid w:val="00FE108C"/>
    <w:rsid w:val="00FE42F9"/>
    <w:rsid w:val="00FE457C"/>
    <w:rsid w:val="00FE750E"/>
    <w:rsid w:val="00FF28AE"/>
    <w:rsid w:val="00FF4C2E"/>
    <w:rsid w:val="00FF5D0D"/>
    <w:rsid w:val="00FF716F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5:docId w15:val="{43051FAB-00CD-4599-AAC7-7BAB472B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75D"/>
    <w:rPr>
      <w:sz w:val="24"/>
      <w:szCs w:val="24"/>
    </w:rPr>
  </w:style>
  <w:style w:type="paragraph" w:styleId="Heading1">
    <w:name w:val="heading 1"/>
    <w:basedOn w:val="Normal"/>
    <w:qFormat/>
    <w:rsid w:val="003847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575C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24F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F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4FB1"/>
  </w:style>
  <w:style w:type="table" w:styleId="TableGrid">
    <w:name w:val="Table Grid"/>
    <w:basedOn w:val="TableNormal"/>
    <w:uiPriority w:val="59"/>
    <w:rsid w:val="005C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02FE0"/>
  </w:style>
  <w:style w:type="character" w:styleId="CommentReference">
    <w:name w:val="annotation reference"/>
    <w:rsid w:val="00FF02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0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0272"/>
  </w:style>
  <w:style w:type="paragraph" w:styleId="CommentSubject">
    <w:name w:val="annotation subject"/>
    <w:basedOn w:val="CommentText"/>
    <w:next w:val="CommentText"/>
    <w:link w:val="CommentSubjectChar"/>
    <w:rsid w:val="00FF0272"/>
    <w:rPr>
      <w:b/>
      <w:bCs/>
    </w:rPr>
  </w:style>
  <w:style w:type="character" w:customStyle="1" w:styleId="CommentSubjectChar">
    <w:name w:val="Comment Subject Char"/>
    <w:link w:val="CommentSubject"/>
    <w:rsid w:val="00FF0272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FF027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F0272"/>
    <w:rPr>
      <w:rFonts w:ascii="Tahoma" w:hAnsi="Tahoma" w:cs="Tahoma"/>
      <w:sz w:val="16"/>
      <w:szCs w:val="16"/>
    </w:rPr>
  </w:style>
  <w:style w:type="character" w:styleId="Hyperlink">
    <w:name w:val="Hyperlink"/>
    <w:rsid w:val="0038470C"/>
    <w:rPr>
      <w:color w:val="0000FF"/>
      <w:u w:val="single"/>
    </w:rPr>
  </w:style>
  <w:style w:type="paragraph" w:customStyle="1" w:styleId="Default">
    <w:name w:val="Default"/>
    <w:rsid w:val="0075695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F744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040234"/>
    <w:pPr>
      <w:spacing w:after="200" w:line="480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40234"/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1D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title:</vt:lpstr>
    </vt:vector>
  </TitlesOfParts>
  <Company>University of Pittsburgh</Company>
  <LinksUpToDate>false</LinksUpToDate>
  <CharactersWithSpaces>1921</CharactersWithSpaces>
  <SharedDoc>false</SharedDoc>
  <HLinks>
    <vt:vector size="72" baseType="variant">
      <vt:variant>
        <vt:i4>3801099</vt:i4>
      </vt:variant>
      <vt:variant>
        <vt:i4>61</vt:i4>
      </vt:variant>
      <vt:variant>
        <vt:i4>0</vt:i4>
      </vt:variant>
      <vt:variant>
        <vt:i4>5</vt:i4>
      </vt:variant>
      <vt:variant>
        <vt:lpwstr>http://www.ncbi.nlm.nih.gov/pubmed/21078809</vt:lpwstr>
      </vt:variant>
      <vt:variant>
        <vt:lpwstr>#</vt:lpwstr>
      </vt:variant>
      <vt:variant>
        <vt:i4>3145768</vt:i4>
      </vt:variant>
      <vt:variant>
        <vt:i4>58</vt:i4>
      </vt:variant>
      <vt:variant>
        <vt:i4>0</vt:i4>
      </vt:variant>
      <vt:variant>
        <vt:i4>5</vt:i4>
      </vt:variant>
      <vt:variant>
        <vt:lpwstr>http://www.ncbi.nlm.nih.gov/pubmed?term=%22American%20Heart%20Association%20National%20Registry%20of%20Cardiopulmonary%20Resuscitation%20(NRCPR)%20Investigators%22%5BCorporate%20Author%5D</vt:lpwstr>
      </vt:variant>
      <vt:variant>
        <vt:lpwstr/>
      </vt:variant>
      <vt:variant>
        <vt:i4>786517</vt:i4>
      </vt:variant>
      <vt:variant>
        <vt:i4>55</vt:i4>
      </vt:variant>
      <vt:variant>
        <vt:i4>0</vt:i4>
      </vt:variant>
      <vt:variant>
        <vt:i4>5</vt:i4>
      </vt:variant>
      <vt:variant>
        <vt:lpwstr>http://www.ncbi.nlm.nih.gov/pubmed?term=%22Nallamothu%20BK%22%5BAuthor%5D</vt:lpwstr>
      </vt:variant>
      <vt:variant>
        <vt:lpwstr/>
      </vt:variant>
      <vt:variant>
        <vt:i4>8126506</vt:i4>
      </vt:variant>
      <vt:variant>
        <vt:i4>52</vt:i4>
      </vt:variant>
      <vt:variant>
        <vt:i4>0</vt:i4>
      </vt:variant>
      <vt:variant>
        <vt:i4>5</vt:i4>
      </vt:variant>
      <vt:variant>
        <vt:lpwstr>http://www.ncbi.nlm.nih.gov/pubmed?term=%22Mancini%20ME%22%5BAuthor%5D</vt:lpwstr>
      </vt:variant>
      <vt:variant>
        <vt:lpwstr/>
      </vt:variant>
      <vt:variant>
        <vt:i4>3145827</vt:i4>
      </vt:variant>
      <vt:variant>
        <vt:i4>49</vt:i4>
      </vt:variant>
      <vt:variant>
        <vt:i4>0</vt:i4>
      </vt:variant>
      <vt:variant>
        <vt:i4>5</vt:i4>
      </vt:variant>
      <vt:variant>
        <vt:lpwstr>http://www.ncbi.nlm.nih.gov/pubmed?term=%22Nadkarni%20V%22%5BAuthor%5D</vt:lpwstr>
      </vt:variant>
      <vt:variant>
        <vt:lpwstr/>
      </vt:variant>
      <vt:variant>
        <vt:i4>6684710</vt:i4>
      </vt:variant>
      <vt:variant>
        <vt:i4>46</vt:i4>
      </vt:variant>
      <vt:variant>
        <vt:i4>0</vt:i4>
      </vt:variant>
      <vt:variant>
        <vt:i4>5</vt:i4>
      </vt:variant>
      <vt:variant>
        <vt:lpwstr>http://www.ncbi.nlm.nih.gov/pubmed?term=%22Peberdy%20MA%22%5BAuthor%5D</vt:lpwstr>
      </vt:variant>
      <vt:variant>
        <vt:lpwstr/>
      </vt:variant>
      <vt:variant>
        <vt:i4>7471142</vt:i4>
      </vt:variant>
      <vt:variant>
        <vt:i4>43</vt:i4>
      </vt:variant>
      <vt:variant>
        <vt:i4>0</vt:i4>
      </vt:variant>
      <vt:variant>
        <vt:i4>5</vt:i4>
      </vt:variant>
      <vt:variant>
        <vt:lpwstr>http://www.ncbi.nlm.nih.gov/pubmed?term=%22Berg%20RA%22%5BAuthor%5D</vt:lpwstr>
      </vt:variant>
      <vt:variant>
        <vt:lpwstr/>
      </vt:variant>
      <vt:variant>
        <vt:i4>3604587</vt:i4>
      </vt:variant>
      <vt:variant>
        <vt:i4>40</vt:i4>
      </vt:variant>
      <vt:variant>
        <vt:i4>0</vt:i4>
      </vt:variant>
      <vt:variant>
        <vt:i4>5</vt:i4>
      </vt:variant>
      <vt:variant>
        <vt:lpwstr>http://www.ncbi.nlm.nih.gov/pubmed?term=%22Cram%20P%22%5BAuthor%5D</vt:lpwstr>
      </vt:variant>
      <vt:variant>
        <vt:lpwstr/>
      </vt:variant>
      <vt:variant>
        <vt:i4>1376334</vt:i4>
      </vt:variant>
      <vt:variant>
        <vt:i4>37</vt:i4>
      </vt:variant>
      <vt:variant>
        <vt:i4>0</vt:i4>
      </vt:variant>
      <vt:variant>
        <vt:i4>5</vt:i4>
      </vt:variant>
      <vt:variant>
        <vt:lpwstr>http://www.ncbi.nlm.nih.gov/pubmed?term=%22Jones%20PG%22%5BAuthor%5D</vt:lpwstr>
      </vt:variant>
      <vt:variant>
        <vt:lpwstr/>
      </vt:variant>
      <vt:variant>
        <vt:i4>6881333</vt:i4>
      </vt:variant>
      <vt:variant>
        <vt:i4>34</vt:i4>
      </vt:variant>
      <vt:variant>
        <vt:i4>0</vt:i4>
      </vt:variant>
      <vt:variant>
        <vt:i4>5</vt:i4>
      </vt:variant>
      <vt:variant>
        <vt:lpwstr>http://www.ncbi.nlm.nih.gov/pubmed?term=%22Spertus%20JA%22%5BAuthor%5D</vt:lpwstr>
      </vt:variant>
      <vt:variant>
        <vt:lpwstr/>
      </vt:variant>
      <vt:variant>
        <vt:i4>7602228</vt:i4>
      </vt:variant>
      <vt:variant>
        <vt:i4>31</vt:i4>
      </vt:variant>
      <vt:variant>
        <vt:i4>0</vt:i4>
      </vt:variant>
      <vt:variant>
        <vt:i4>5</vt:i4>
      </vt:variant>
      <vt:variant>
        <vt:lpwstr>http://www.ncbi.nlm.nih.gov/pubmed?term=%22Krumholz%20HM%22%5BAuthor%5D</vt:lpwstr>
      </vt:variant>
      <vt:variant>
        <vt:lpwstr/>
      </vt:variant>
      <vt:variant>
        <vt:i4>7471136</vt:i4>
      </vt:variant>
      <vt:variant>
        <vt:i4>28</vt:i4>
      </vt:variant>
      <vt:variant>
        <vt:i4>0</vt:i4>
      </vt:variant>
      <vt:variant>
        <vt:i4>5</vt:i4>
      </vt:variant>
      <vt:variant>
        <vt:lpwstr>http://www.ncbi.nlm.nih.gov/pubmed?term=%22Chan%20PS%22%5BAuthor%5D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title:</dc:title>
  <dc:subject/>
  <dc:creator>bircherng</dc:creator>
  <cp:keywords/>
  <dc:description/>
  <cp:lastModifiedBy>Nick</cp:lastModifiedBy>
  <cp:revision>2</cp:revision>
  <cp:lastPrinted>2018-06-05T18:49:00Z</cp:lastPrinted>
  <dcterms:created xsi:type="dcterms:W3CDTF">2018-06-19T20:05:00Z</dcterms:created>
  <dcterms:modified xsi:type="dcterms:W3CDTF">2018-06-19T20:05:00Z</dcterms:modified>
</cp:coreProperties>
</file>