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B07" w:rsidRPr="00622F37" w:rsidRDefault="00DB5B07" w:rsidP="00DB5B07">
      <w:pPr>
        <w:spacing w:before="120" w:after="120" w:line="480" w:lineRule="auto"/>
        <w:rPr>
          <w:rFonts w:ascii="Times New Roman" w:hAnsi="Times New Roman" w:cs="Times New Roman"/>
          <w:sz w:val="24"/>
          <w:szCs w:val="24"/>
        </w:rPr>
      </w:pPr>
      <w:r w:rsidRPr="00622F37">
        <w:rPr>
          <w:rFonts w:ascii="Times New Roman" w:hAnsi="Times New Roman" w:cs="Times New Roman"/>
          <w:b/>
          <w:sz w:val="24"/>
          <w:szCs w:val="24"/>
        </w:rPr>
        <w:t xml:space="preserve">Supplemental Digital Content 3: </w:t>
      </w:r>
      <w:r w:rsidRPr="00622F37">
        <w:rPr>
          <w:rFonts w:ascii="Times New Roman" w:hAnsi="Times New Roman" w:cs="Times New Roman"/>
          <w:sz w:val="24"/>
          <w:szCs w:val="24"/>
        </w:rPr>
        <w:t>Connectivity state transitions during isoflurane maintenance.</w:t>
      </w:r>
    </w:p>
    <w:p w:rsidR="00DB5B07" w:rsidRPr="00622F37" w:rsidRDefault="00DB5B07" w:rsidP="00DB5B07">
      <w:pPr>
        <w:spacing w:before="120" w:after="120" w:line="480" w:lineRule="auto"/>
        <w:rPr>
          <w:rFonts w:ascii="Times New Roman" w:eastAsia="Calibri" w:hAnsi="Times New Roman" w:cs="Times New Roman"/>
          <w:b/>
          <w:sz w:val="24"/>
          <w:szCs w:val="24"/>
        </w:rPr>
      </w:pPr>
      <w:bookmarkStart w:id="0" w:name="_GoBack"/>
      <w:r w:rsidRPr="00622F37">
        <w:rPr>
          <w:rFonts w:ascii="Times New Roman" w:eastAsia="Calibri" w:hAnsi="Times New Roman" w:cs="Times New Roman"/>
          <w:b/>
          <w:noProof/>
          <w:sz w:val="24"/>
          <w:szCs w:val="24"/>
        </w:rPr>
        <w:drawing>
          <wp:inline distT="0" distB="0" distL="0" distR="0" wp14:anchorId="7BED653C" wp14:editId="5D51AB8D">
            <wp:extent cx="5943600" cy="381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 of state transitions.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11905"/>
                    </a:xfrm>
                    <a:prstGeom prst="rect">
                      <a:avLst/>
                    </a:prstGeom>
                  </pic:spPr>
                </pic:pic>
              </a:graphicData>
            </a:graphic>
          </wp:inline>
        </w:drawing>
      </w:r>
      <w:bookmarkEnd w:id="0"/>
    </w:p>
    <w:p w:rsidR="00DB5B07" w:rsidRPr="00622F37" w:rsidRDefault="00DB5B07" w:rsidP="00DB5B07">
      <w:pPr>
        <w:spacing w:before="120" w:after="0" w:line="480" w:lineRule="auto"/>
        <w:rPr>
          <w:rFonts w:ascii="Times New Roman" w:eastAsia="Calibri" w:hAnsi="Times New Roman" w:cs="Times New Roman"/>
          <w:sz w:val="24"/>
          <w:szCs w:val="24"/>
        </w:rPr>
      </w:pPr>
      <w:r w:rsidRPr="00622F37">
        <w:rPr>
          <w:rFonts w:ascii="Times New Roman" w:eastAsia="Calibri" w:hAnsi="Times New Roman" w:cs="Times New Roman"/>
          <w:b/>
          <w:sz w:val="24"/>
          <w:szCs w:val="24"/>
        </w:rPr>
        <w:t>Figure S6</w:t>
      </w:r>
      <w:r w:rsidRPr="00622F37">
        <w:rPr>
          <w:rFonts w:ascii="Times New Roman" w:eastAsia="Calibri" w:hAnsi="Times New Roman" w:cs="Times New Roman"/>
          <w:sz w:val="24"/>
          <w:szCs w:val="24"/>
        </w:rPr>
        <w:t xml:space="preserve">. The number of state transitions, including </w:t>
      </w:r>
      <w:r w:rsidRPr="00622F37">
        <w:rPr>
          <w:rFonts w:ascii="Times New Roman" w:hAnsi="Times New Roman" w:cs="Times New Roman"/>
          <w:sz w:val="24"/>
          <w:szCs w:val="24"/>
        </w:rPr>
        <w:t>stays in each connectivity state and switches to any of the other states</w:t>
      </w:r>
      <w:r w:rsidRPr="00622F37">
        <w:rPr>
          <w:rFonts w:ascii="Times New Roman" w:eastAsia="Calibri" w:hAnsi="Times New Roman" w:cs="Times New Roman"/>
          <w:sz w:val="24"/>
          <w:szCs w:val="24"/>
        </w:rPr>
        <w:t xml:space="preserve">. </w:t>
      </w:r>
      <w:r w:rsidRPr="00622F37">
        <w:rPr>
          <w:rFonts w:ascii="Times New Roman" w:hAnsi="Times New Roman" w:cs="Times New Roman"/>
          <w:sz w:val="24"/>
          <w:szCs w:val="24"/>
        </w:rPr>
        <w:t xml:space="preserve">The gray dots represent the individual data, horizontal lines represent median, and error bars represent the interquartile range (IQR) across all available participants. * indicates adjusted P&lt;0.05 versus the number of state stays by Friedman test followed by </w:t>
      </w:r>
      <w:r w:rsidRPr="00622F37">
        <w:rPr>
          <w:rFonts w:ascii="Times New Roman" w:hAnsi="Times New Roman" w:cs="Times New Roman"/>
          <w:i/>
          <w:sz w:val="24"/>
          <w:szCs w:val="24"/>
        </w:rPr>
        <w:t>post hoc</w:t>
      </w:r>
      <w:r w:rsidRPr="00622F37">
        <w:rPr>
          <w:rFonts w:ascii="Times New Roman" w:hAnsi="Times New Roman" w:cs="Times New Roman"/>
          <w:sz w:val="24"/>
          <w:szCs w:val="24"/>
        </w:rPr>
        <w:t xml:space="preserve"> Dunn’s tests.</w:t>
      </w:r>
    </w:p>
    <w:p w:rsidR="00DB5B07" w:rsidRPr="00622F37" w:rsidRDefault="00DB5B07" w:rsidP="00DB5B07">
      <w:pPr>
        <w:spacing w:before="120" w:after="120" w:line="480" w:lineRule="auto"/>
        <w:rPr>
          <w:rFonts w:ascii="Times New Roman" w:hAnsi="Times New Roman" w:cs="Times New Roman"/>
          <w:sz w:val="24"/>
          <w:szCs w:val="24"/>
        </w:rPr>
      </w:pPr>
      <w:r w:rsidRPr="00622F37">
        <w:rPr>
          <w:rFonts w:ascii="Times New Roman" w:hAnsi="Times New Roman" w:cs="Times New Roman"/>
          <w:noProof/>
          <w:sz w:val="24"/>
          <w:szCs w:val="24"/>
        </w:rPr>
        <w:lastRenderedPageBreak/>
        <w:drawing>
          <wp:inline distT="0" distB="0" distL="0" distR="0" wp14:anchorId="212F2AB3" wp14:editId="2985CCC7">
            <wp:extent cx="5943600" cy="5704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rogate distribution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704205"/>
                    </a:xfrm>
                    <a:prstGeom prst="rect">
                      <a:avLst/>
                    </a:prstGeom>
                  </pic:spPr>
                </pic:pic>
              </a:graphicData>
            </a:graphic>
          </wp:inline>
        </w:drawing>
      </w:r>
    </w:p>
    <w:p w:rsidR="00DB5B07" w:rsidRPr="00622F37" w:rsidRDefault="00DB5B07" w:rsidP="00DB5B07">
      <w:pPr>
        <w:spacing w:before="120" w:after="120" w:line="480" w:lineRule="auto"/>
        <w:rPr>
          <w:rFonts w:ascii="Times New Roman" w:hAnsi="Times New Roman" w:cs="Times New Roman"/>
          <w:sz w:val="24"/>
          <w:szCs w:val="24"/>
        </w:rPr>
      </w:pPr>
      <w:r w:rsidRPr="00622F37">
        <w:rPr>
          <w:rFonts w:ascii="Times New Roman" w:hAnsi="Times New Roman" w:cs="Times New Roman"/>
          <w:b/>
          <w:sz w:val="24"/>
          <w:szCs w:val="24"/>
        </w:rPr>
        <w:t>Figure S7</w:t>
      </w:r>
      <w:r w:rsidRPr="00622F37">
        <w:rPr>
          <w:rFonts w:ascii="Times New Roman" w:hAnsi="Times New Roman" w:cs="Times New Roman"/>
          <w:sz w:val="24"/>
          <w:szCs w:val="24"/>
        </w:rPr>
        <w:t xml:space="preserve">. Cortical connectivity is more probable to be sticky in a certain state than expected by chance. The vertical red line indicates the probability of transitioning from any state in the given row to another state in the given column, while the distribution of those from surrogate data, generated by </w:t>
      </w:r>
      <w:proofErr w:type="spellStart"/>
      <w:r w:rsidRPr="00622F37">
        <w:rPr>
          <w:rFonts w:ascii="Times New Roman" w:hAnsi="Times New Roman" w:cs="Times New Roman"/>
          <w:sz w:val="24"/>
          <w:szCs w:val="24"/>
        </w:rPr>
        <w:t>permutating</w:t>
      </w:r>
      <w:proofErr w:type="spellEnd"/>
      <w:r w:rsidRPr="00622F37">
        <w:rPr>
          <w:rFonts w:ascii="Times New Roman" w:hAnsi="Times New Roman" w:cs="Times New Roman"/>
          <w:sz w:val="24"/>
          <w:szCs w:val="24"/>
        </w:rPr>
        <w:t xml:space="preserve"> the temporal order while maintaining the occurrence rate of the states, as represented in histograms. * indicates statistical significance, with P-values before correcting for multiple comparisons.  </w:t>
      </w:r>
    </w:p>
    <w:p w:rsidR="00DB5B07" w:rsidRPr="00622F37" w:rsidRDefault="00DB5B07" w:rsidP="00DB5B07">
      <w:pPr>
        <w:spacing w:before="120" w:after="120" w:line="480" w:lineRule="auto"/>
        <w:rPr>
          <w:rFonts w:ascii="Times New Roman" w:hAnsi="Times New Roman" w:cs="Times New Roman"/>
          <w:sz w:val="24"/>
          <w:szCs w:val="24"/>
        </w:rPr>
      </w:pPr>
      <w:r w:rsidRPr="00622F37">
        <w:rPr>
          <w:rFonts w:ascii="Times New Roman" w:hAnsi="Times New Roman" w:cs="Times New Roman"/>
          <w:noProof/>
          <w:sz w:val="24"/>
          <w:szCs w:val="24"/>
        </w:rPr>
        <w:lastRenderedPageBreak/>
        <w:drawing>
          <wp:inline distT="0" distB="0" distL="0" distR="0" wp14:anchorId="0D0DA72B" wp14:editId="5FD2CAED">
            <wp:extent cx="5943600" cy="583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rogate distribution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835650"/>
                    </a:xfrm>
                    <a:prstGeom prst="rect">
                      <a:avLst/>
                    </a:prstGeom>
                  </pic:spPr>
                </pic:pic>
              </a:graphicData>
            </a:graphic>
          </wp:inline>
        </w:drawing>
      </w:r>
    </w:p>
    <w:p w:rsidR="008C66F8" w:rsidRPr="00622F37" w:rsidRDefault="00DB5B07" w:rsidP="00DB5B07">
      <w:pPr>
        <w:spacing w:before="120" w:after="120" w:line="480" w:lineRule="auto"/>
      </w:pPr>
      <w:r w:rsidRPr="00622F37">
        <w:rPr>
          <w:rFonts w:ascii="Times New Roman" w:hAnsi="Times New Roman" w:cs="Times New Roman"/>
          <w:b/>
          <w:sz w:val="24"/>
          <w:szCs w:val="24"/>
        </w:rPr>
        <w:t>Figure S8</w:t>
      </w:r>
      <w:r w:rsidRPr="00622F37">
        <w:rPr>
          <w:rFonts w:ascii="Times New Roman" w:hAnsi="Times New Roman" w:cs="Times New Roman"/>
          <w:sz w:val="24"/>
          <w:szCs w:val="24"/>
        </w:rPr>
        <w:t xml:space="preserve">. Particular between-states transitions are more probable than expected by chance. The vertical red line indicates the probability of transitioning from any state in the given row to another state in the given column, while the distribution of those from surrogate data, generated by </w:t>
      </w:r>
      <w:proofErr w:type="spellStart"/>
      <w:r w:rsidRPr="00622F37">
        <w:rPr>
          <w:rFonts w:ascii="Times New Roman" w:hAnsi="Times New Roman" w:cs="Times New Roman"/>
          <w:sz w:val="24"/>
          <w:szCs w:val="24"/>
        </w:rPr>
        <w:t>permutating</w:t>
      </w:r>
      <w:proofErr w:type="spellEnd"/>
      <w:r w:rsidRPr="00622F37">
        <w:rPr>
          <w:rFonts w:ascii="Times New Roman" w:hAnsi="Times New Roman" w:cs="Times New Roman"/>
          <w:sz w:val="24"/>
          <w:szCs w:val="24"/>
        </w:rPr>
        <w:t xml:space="preserve"> the retained state time series after excluding state stays, as represented in histograms. * indicates statistical significance, with P-values before correcting for multiple comparisons.</w:t>
      </w:r>
      <w:r w:rsidRPr="00622F37">
        <w:rPr>
          <w:rFonts w:ascii="Times New Roman" w:eastAsia="Calibri" w:hAnsi="Times New Roman" w:cs="Times New Roman"/>
          <w:sz w:val="24"/>
          <w:szCs w:val="24"/>
        </w:rPr>
        <w:t xml:space="preserve"> </w:t>
      </w:r>
    </w:p>
    <w:sectPr w:rsidR="008C66F8" w:rsidRPr="00622F3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936" w:rsidRDefault="005B3936">
      <w:pPr>
        <w:spacing w:after="0" w:line="240" w:lineRule="auto"/>
      </w:pPr>
      <w:r>
        <w:separator/>
      </w:r>
    </w:p>
  </w:endnote>
  <w:endnote w:type="continuationSeparator" w:id="0">
    <w:p w:rsidR="005B3936" w:rsidRDefault="005B3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936" w:rsidRDefault="005B3936">
      <w:pPr>
        <w:spacing w:after="0" w:line="240" w:lineRule="auto"/>
      </w:pPr>
      <w:r>
        <w:separator/>
      </w:r>
    </w:p>
  </w:footnote>
  <w:footnote w:type="continuationSeparator" w:id="0">
    <w:p w:rsidR="005B3936" w:rsidRDefault="005B3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7BC" w:rsidRDefault="005B3936">
    <w:pPr>
      <w:pStyle w:val="Header"/>
      <w:jc w:val="right"/>
    </w:pPr>
  </w:p>
  <w:p w:rsidR="00AF47BC" w:rsidRDefault="005B39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8E"/>
    <w:rsid w:val="002E2C69"/>
    <w:rsid w:val="0041444E"/>
    <w:rsid w:val="005615C9"/>
    <w:rsid w:val="005B3936"/>
    <w:rsid w:val="00622F37"/>
    <w:rsid w:val="007C53C1"/>
    <w:rsid w:val="008C66F8"/>
    <w:rsid w:val="00A02AB5"/>
    <w:rsid w:val="00B3617F"/>
    <w:rsid w:val="00BE6204"/>
    <w:rsid w:val="00C229F3"/>
    <w:rsid w:val="00C576FD"/>
    <w:rsid w:val="00CE148F"/>
    <w:rsid w:val="00DB5B07"/>
    <w:rsid w:val="00E243D6"/>
    <w:rsid w:val="00FC3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1598FE-246C-4097-8FAC-625564E2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6FD"/>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6FD"/>
    <w:rPr>
      <w:rFonts w:eastAsia="SimSun"/>
    </w:rPr>
  </w:style>
  <w:style w:type="paragraph" w:styleId="Footer">
    <w:name w:val="footer"/>
    <w:basedOn w:val="Normal"/>
    <w:link w:val="FooterChar"/>
    <w:uiPriority w:val="99"/>
    <w:unhideWhenUsed/>
    <w:rsid w:val="00C2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9F3"/>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227</Words>
  <Characters>1296</Characters>
  <Application>Microsoft Office Word</Application>
  <DocSecurity>0</DocSecurity>
  <Lines>10</Lines>
  <Paragraphs>3</Paragraphs>
  <ScaleCrop>false</ScaleCrop>
  <Company>University of Michigan Health System</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Duan</dc:creator>
  <cp:keywords/>
  <dc:description/>
  <cp:lastModifiedBy>Li, Duan</cp:lastModifiedBy>
  <cp:revision>9</cp:revision>
  <dcterms:created xsi:type="dcterms:W3CDTF">2018-10-22T14:08:00Z</dcterms:created>
  <dcterms:modified xsi:type="dcterms:W3CDTF">2019-01-14T15:11:00Z</dcterms:modified>
</cp:coreProperties>
</file>