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37477" w14:textId="5F2D2BA9" w:rsidR="00215CE4" w:rsidRPr="00F92383" w:rsidRDefault="00215CE4" w:rsidP="00215CE4">
      <w:pPr>
        <w:widowControl w:val="0"/>
        <w:autoSpaceDE w:val="0"/>
        <w:autoSpaceDN w:val="0"/>
        <w:adjustRightInd w:val="0"/>
        <w:spacing w:line="480" w:lineRule="auto"/>
        <w:jc w:val="both"/>
        <w:rPr>
          <w:rFonts w:ascii="Arial" w:hAnsi="Arial" w:cs="Arial"/>
          <w:i/>
          <w:lang w:val="en-AU"/>
        </w:rPr>
      </w:pPr>
    </w:p>
    <w:p w14:paraId="6CBF8114" w14:textId="77777777" w:rsidR="00893A83" w:rsidRPr="00F92383" w:rsidRDefault="00893A83" w:rsidP="00C3386D">
      <w:pPr>
        <w:spacing w:line="480" w:lineRule="auto"/>
        <w:jc w:val="both"/>
        <w:rPr>
          <w:rFonts w:ascii="Arial" w:hAnsi="Arial" w:cs="Arial"/>
          <w:lang w:val="en-AU"/>
        </w:rPr>
      </w:pPr>
    </w:p>
    <w:p w14:paraId="5CAF6BD8" w14:textId="021F5F45" w:rsidR="000D0982" w:rsidRPr="000D0982" w:rsidRDefault="0078353A" w:rsidP="0078353A">
      <w:pPr>
        <w:spacing w:line="480" w:lineRule="auto"/>
        <w:jc w:val="both"/>
        <w:rPr>
          <w:rFonts w:ascii="Arial" w:hAnsi="Arial" w:cs="Arial"/>
          <w:i/>
          <w:lang w:val="en-AU"/>
        </w:rPr>
      </w:pPr>
      <w:r w:rsidRPr="00F92383">
        <w:rPr>
          <w:rFonts w:ascii="Arial" w:hAnsi="Arial" w:cs="Arial"/>
          <w:i/>
          <w:lang w:val="en-AU"/>
        </w:rPr>
        <w:t>Population Pharmacokinetic Mode</w:t>
      </w:r>
      <w:r w:rsidR="008054FB">
        <w:rPr>
          <w:rFonts w:ascii="Arial" w:hAnsi="Arial" w:cs="Arial"/>
          <w:i/>
          <w:lang w:val="en-AU"/>
        </w:rPr>
        <w:t>l</w:t>
      </w:r>
      <w:r w:rsidRPr="00F92383">
        <w:rPr>
          <w:rFonts w:ascii="Arial" w:hAnsi="Arial" w:cs="Arial"/>
          <w:i/>
          <w:lang w:val="en-AU"/>
        </w:rPr>
        <w:t>ling</w:t>
      </w:r>
      <w:r w:rsidR="000D0982">
        <w:rPr>
          <w:rFonts w:ascii="Arial" w:hAnsi="Arial" w:cs="Arial"/>
          <w:i/>
          <w:lang w:val="en-AU"/>
        </w:rPr>
        <w:t xml:space="preserve"> </w:t>
      </w:r>
    </w:p>
    <w:p w14:paraId="78F6E7FA" w14:textId="1C6D562F" w:rsidR="00D30C43" w:rsidRPr="00F92383" w:rsidRDefault="00215CE4" w:rsidP="00DF5C2F">
      <w:pPr>
        <w:spacing w:line="480" w:lineRule="auto"/>
        <w:ind w:firstLine="708"/>
        <w:jc w:val="both"/>
        <w:rPr>
          <w:rFonts w:ascii="Arial" w:hAnsi="Arial" w:cs="Arial"/>
          <w:lang w:val="en-AU"/>
        </w:rPr>
      </w:pPr>
      <w:r w:rsidRPr="00F92383">
        <w:rPr>
          <w:rFonts w:ascii="Arial" w:hAnsi="Arial" w:cs="Arial"/>
          <w:lang w:val="en-AU"/>
        </w:rPr>
        <w:t xml:space="preserve">To describe </w:t>
      </w:r>
      <w:r w:rsidR="00F403E4">
        <w:rPr>
          <w:rFonts w:ascii="Arial" w:hAnsi="Arial" w:cs="Arial"/>
          <w:lang w:val="en-AU"/>
        </w:rPr>
        <w:t>tobramycin</w:t>
      </w:r>
      <w:r w:rsidRPr="00F92383">
        <w:rPr>
          <w:rFonts w:ascii="Arial" w:hAnsi="Arial" w:cs="Arial"/>
          <w:lang w:val="en-AU"/>
        </w:rPr>
        <w:t xml:space="preserve"> concentrations, </w:t>
      </w:r>
      <w:r w:rsidR="00F403E4">
        <w:rPr>
          <w:rFonts w:ascii="Arial" w:hAnsi="Arial" w:cs="Arial"/>
          <w:lang w:val="en-AU"/>
        </w:rPr>
        <w:t xml:space="preserve">various </w:t>
      </w:r>
      <w:r w:rsidR="0078353A" w:rsidRPr="00F92383">
        <w:rPr>
          <w:rFonts w:ascii="Arial" w:hAnsi="Arial" w:cs="Arial"/>
          <w:lang w:val="en-AU"/>
        </w:rPr>
        <w:t>compartment</w:t>
      </w:r>
      <w:r w:rsidR="00F403E4">
        <w:rPr>
          <w:rFonts w:ascii="Arial" w:hAnsi="Arial" w:cs="Arial"/>
          <w:lang w:val="en-AU"/>
        </w:rPr>
        <w:t>al</w:t>
      </w:r>
      <w:r w:rsidR="0078353A" w:rsidRPr="00F92383">
        <w:rPr>
          <w:rFonts w:ascii="Arial" w:hAnsi="Arial" w:cs="Arial"/>
          <w:lang w:val="en-AU"/>
        </w:rPr>
        <w:t xml:space="preserve"> models were developed with the Nonparametric Adaptive Grid (NPAG) algorithm within the freely available </w:t>
      </w:r>
      <w:proofErr w:type="spellStart"/>
      <w:r w:rsidR="0078353A" w:rsidRPr="00F92383">
        <w:rPr>
          <w:rFonts w:ascii="Arial" w:hAnsi="Arial" w:cs="Arial"/>
          <w:lang w:val="en-AU"/>
        </w:rPr>
        <w:t>Pmetrics</w:t>
      </w:r>
      <w:proofErr w:type="spellEnd"/>
      <w:r w:rsidR="0078353A" w:rsidRPr="00F92383">
        <w:rPr>
          <w:rFonts w:ascii="Arial" w:hAnsi="Arial" w:cs="Arial"/>
          <w:lang w:val="en-AU"/>
        </w:rPr>
        <w:t xml:space="preserve"> software package for R (Los Angeles, CA).</w:t>
      </w:r>
      <w:r w:rsidR="0078353A" w:rsidRPr="00F92383">
        <w:rPr>
          <w:rFonts w:ascii="Arial" w:hAnsi="Arial" w:cs="Arial"/>
          <w:lang w:val="en-AU"/>
        </w:rPr>
        <w:fldChar w:fldCharType="begin">
          <w:fldData xml:space="preserve">PEVuZE5vdGU+PENpdGU+PEF1dGhvcj5OZWVseTwvQXV0aG9yPjxZZWFyPjIwMTI8L1llYXI+PFJl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</w:fldData>
        </w:fldChar>
      </w:r>
      <w:r w:rsidR="0078353A" w:rsidRPr="00F92383">
        <w:rPr>
          <w:rFonts w:ascii="Arial" w:hAnsi="Arial" w:cs="Arial"/>
          <w:lang w:val="en-AU"/>
        </w:rPr>
        <w:instrText xml:space="preserve"> ADDIN EN.CITE </w:instrText>
      </w:r>
      <w:r w:rsidR="0078353A" w:rsidRPr="00F92383">
        <w:rPr>
          <w:rFonts w:ascii="Arial" w:hAnsi="Arial" w:cs="Arial"/>
          <w:lang w:val="en-AU"/>
        </w:rPr>
        <w:fldChar w:fldCharType="begin">
          <w:fldData xml:space="preserve">PEVuZE5vdGU+PENpdGU+PEF1dGhvcj5OZWVseTwvQXV0aG9yPjxZZWFyPjIwMTI8L1llYXI+PFJl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</w:fldData>
        </w:fldChar>
      </w:r>
      <w:r w:rsidR="0078353A" w:rsidRPr="00F92383">
        <w:rPr>
          <w:rFonts w:ascii="Arial" w:hAnsi="Arial" w:cs="Arial"/>
          <w:lang w:val="en-AU"/>
        </w:rPr>
        <w:instrText xml:space="preserve"> ADDIN EN.CITE.DATA </w:instrText>
      </w:r>
      <w:r w:rsidR="0078353A" w:rsidRPr="00F92383">
        <w:rPr>
          <w:rFonts w:ascii="Arial" w:hAnsi="Arial" w:cs="Arial"/>
          <w:lang w:val="en-AU"/>
        </w:rPr>
      </w:r>
      <w:r w:rsidR="0078353A" w:rsidRPr="00F92383">
        <w:rPr>
          <w:rFonts w:ascii="Arial" w:hAnsi="Arial" w:cs="Arial"/>
          <w:lang w:val="en-AU"/>
        </w:rPr>
        <w:fldChar w:fldCharType="end"/>
      </w:r>
      <w:r w:rsidR="0078353A" w:rsidRPr="00F92383">
        <w:rPr>
          <w:rFonts w:ascii="Arial" w:hAnsi="Arial" w:cs="Arial"/>
          <w:lang w:val="en-AU"/>
        </w:rPr>
      </w:r>
      <w:r w:rsidR="0078353A" w:rsidRPr="00F92383">
        <w:rPr>
          <w:rFonts w:ascii="Arial" w:hAnsi="Arial" w:cs="Arial"/>
          <w:lang w:val="en-AU"/>
        </w:rPr>
        <w:fldChar w:fldCharType="separate"/>
      </w:r>
      <w:r w:rsidR="0078353A" w:rsidRPr="00F92383">
        <w:rPr>
          <w:rFonts w:ascii="Arial" w:hAnsi="Arial" w:cs="Arial"/>
          <w:noProof/>
          <w:lang w:val="en-AU"/>
        </w:rPr>
        <w:t>(1, 2)</w:t>
      </w:r>
      <w:r w:rsidR="0078353A" w:rsidRPr="00F92383">
        <w:rPr>
          <w:rFonts w:ascii="Arial" w:hAnsi="Arial" w:cs="Arial"/>
          <w:lang w:val="en-AU"/>
        </w:rPr>
        <w:fldChar w:fldCharType="end"/>
      </w:r>
      <w:r w:rsidR="0078353A" w:rsidRPr="00F92383">
        <w:rPr>
          <w:rFonts w:ascii="Arial" w:hAnsi="Arial" w:cs="Arial"/>
          <w:lang w:val="en-AU"/>
        </w:rPr>
        <w:t xml:space="preserve"> </w:t>
      </w:r>
      <w:r w:rsidR="000D0982">
        <w:rPr>
          <w:rFonts w:ascii="Arial" w:hAnsi="Arial" w:cs="Arial"/>
          <w:lang w:val="en-AU"/>
        </w:rPr>
        <w:t>Dis</w:t>
      </w:r>
      <w:r w:rsidR="0069503C">
        <w:rPr>
          <w:rFonts w:ascii="Arial" w:hAnsi="Arial" w:cs="Arial"/>
          <w:lang w:val="en-AU"/>
        </w:rPr>
        <w:t>tribution</w:t>
      </w:r>
      <w:r w:rsidR="000D0982">
        <w:rPr>
          <w:rFonts w:ascii="Arial" w:hAnsi="Arial" w:cs="Arial"/>
          <w:lang w:val="en-AU"/>
        </w:rPr>
        <w:t xml:space="preserve"> and e</w:t>
      </w:r>
      <w:r w:rsidR="0078353A" w:rsidRPr="00F92383">
        <w:rPr>
          <w:rFonts w:ascii="Arial" w:hAnsi="Arial" w:cs="Arial"/>
          <w:lang w:val="en-AU"/>
        </w:rPr>
        <w:t>limination</w:t>
      </w:r>
      <w:r w:rsidR="000D0982">
        <w:rPr>
          <w:rFonts w:ascii="Arial" w:hAnsi="Arial" w:cs="Arial"/>
          <w:lang w:val="en-AU"/>
        </w:rPr>
        <w:t xml:space="preserve"> parameters were </w:t>
      </w:r>
      <w:r w:rsidR="0078353A" w:rsidRPr="00F92383">
        <w:rPr>
          <w:rFonts w:ascii="Arial" w:hAnsi="Arial" w:cs="Arial"/>
          <w:lang w:val="en-AU"/>
        </w:rPr>
        <w:t>mode</w:t>
      </w:r>
      <w:r w:rsidR="000D0982">
        <w:rPr>
          <w:rFonts w:ascii="Arial" w:hAnsi="Arial" w:cs="Arial"/>
          <w:lang w:val="en-AU"/>
        </w:rPr>
        <w:t>l</w:t>
      </w:r>
      <w:r w:rsidR="0078353A" w:rsidRPr="00F92383">
        <w:rPr>
          <w:rFonts w:ascii="Arial" w:hAnsi="Arial" w:cs="Arial"/>
          <w:lang w:val="en-AU"/>
        </w:rPr>
        <w:t xml:space="preserve">led as first-order processes. </w:t>
      </w:r>
      <w:r w:rsidR="00D30C43" w:rsidRPr="00F92383">
        <w:rPr>
          <w:rFonts w:ascii="Arial" w:hAnsi="Arial" w:cs="Arial"/>
          <w:lang w:val="en-AU"/>
        </w:rPr>
        <w:t>Discrimination between different model</w:t>
      </w:r>
      <w:r w:rsidR="00A73F03">
        <w:rPr>
          <w:rFonts w:ascii="Arial" w:hAnsi="Arial" w:cs="Arial"/>
          <w:lang w:val="en-AU"/>
        </w:rPr>
        <w:t xml:space="preserve">s used comparison of the -2 log </w:t>
      </w:r>
      <w:r w:rsidR="00D30C43" w:rsidRPr="00F92383">
        <w:rPr>
          <w:rFonts w:ascii="Arial" w:hAnsi="Arial" w:cs="Arial"/>
          <w:lang w:val="en-AU"/>
        </w:rPr>
        <w:t>likelihood (</w:t>
      </w:r>
      <w:r w:rsidR="00A73F03">
        <w:rPr>
          <w:rFonts w:ascii="Arial" w:hAnsi="Arial" w:cs="Arial"/>
          <w:lang w:val="en-AU"/>
        </w:rPr>
        <w:t>-2</w:t>
      </w:r>
      <w:r w:rsidR="00D30C43" w:rsidRPr="00F92383">
        <w:rPr>
          <w:rFonts w:ascii="Arial" w:hAnsi="Arial" w:cs="Arial"/>
          <w:lang w:val="en-AU"/>
        </w:rPr>
        <w:t xml:space="preserve">LL). </w:t>
      </w:r>
      <w:r w:rsidR="000D0982" w:rsidRPr="000D0982">
        <w:rPr>
          <w:rFonts w:ascii="Arial" w:hAnsi="Arial" w:cs="Arial" w:hint="eastAsia"/>
          <w:lang w:val="en-AU"/>
        </w:rPr>
        <w:t xml:space="preserve">Error=SD*gamma </w:t>
      </w:r>
      <w:r w:rsidR="000D0982" w:rsidRPr="000D0982">
        <w:rPr>
          <w:rFonts w:ascii="Arial" w:hAnsi="Arial" w:cs="Arial"/>
          <w:lang w:val="en-AU"/>
        </w:rPr>
        <w:t>was</w:t>
      </w:r>
      <w:r w:rsidR="000D0982" w:rsidRPr="000D0982">
        <w:rPr>
          <w:rFonts w:ascii="Arial" w:hAnsi="Arial" w:cs="Arial" w:hint="eastAsia"/>
          <w:lang w:val="en-AU"/>
        </w:rPr>
        <w:t xml:space="preserve"> the structure of the error model, where SD is standard deviation of each observed concentration, and gamma </w:t>
      </w:r>
      <w:r w:rsidR="000D0982" w:rsidRPr="000D0982">
        <w:rPr>
          <w:rFonts w:ascii="Arial" w:hAnsi="Arial" w:cs="Arial"/>
          <w:lang w:val="en-AU"/>
        </w:rPr>
        <w:t>is the</w:t>
      </w:r>
      <w:r w:rsidR="000D0982" w:rsidRPr="000D0982">
        <w:rPr>
          <w:rFonts w:ascii="Arial" w:hAnsi="Arial" w:cs="Arial" w:hint="eastAsia"/>
          <w:lang w:val="en-AU"/>
        </w:rPr>
        <w:t xml:space="preserve"> </w:t>
      </w:r>
      <w:r w:rsidR="000D0982" w:rsidRPr="000D0982">
        <w:rPr>
          <w:rFonts w:ascii="Arial" w:hAnsi="Arial" w:cs="Arial"/>
          <w:lang w:val="en-AU"/>
        </w:rPr>
        <w:t xml:space="preserve">unexplained </w:t>
      </w:r>
      <w:r w:rsidR="000D0982" w:rsidRPr="000D0982">
        <w:rPr>
          <w:rFonts w:ascii="Arial" w:hAnsi="Arial" w:cs="Arial" w:hint="eastAsia"/>
          <w:lang w:val="en-AU"/>
        </w:rPr>
        <w:t xml:space="preserve">process noise related to the </w:t>
      </w:r>
      <w:r w:rsidR="000D0982" w:rsidRPr="000D0982">
        <w:rPr>
          <w:rFonts w:ascii="Arial" w:hAnsi="Arial" w:cs="Arial"/>
          <w:lang w:val="en-AU"/>
        </w:rPr>
        <w:t>observed</w:t>
      </w:r>
      <w:r w:rsidR="000D0982" w:rsidRPr="000D0982">
        <w:rPr>
          <w:rFonts w:ascii="Arial" w:hAnsi="Arial" w:cs="Arial" w:hint="eastAsia"/>
          <w:lang w:val="en-AU"/>
        </w:rPr>
        <w:t xml:space="preserve"> concentrations. </w:t>
      </w:r>
      <w:r w:rsidR="00D30C43" w:rsidRPr="00F92383">
        <w:rPr>
          <w:rFonts w:ascii="Arial" w:hAnsi="Arial" w:cs="Arial"/>
          <w:lang w:val="en-AU"/>
        </w:rPr>
        <w:t>A p-value of &lt;0.05 was considered statistically significant.</w:t>
      </w:r>
      <w:r w:rsidR="000D0982">
        <w:rPr>
          <w:rFonts w:ascii="Arial" w:hAnsi="Arial" w:cs="Arial"/>
          <w:lang w:val="en-AU"/>
        </w:rPr>
        <w:t xml:space="preserve"> </w:t>
      </w:r>
      <w:r w:rsidR="000D0982" w:rsidRPr="000D0982">
        <w:rPr>
          <w:rFonts w:ascii="Arial" w:hAnsi="Arial" w:cs="Arial"/>
          <w:lang w:val="en-AU"/>
        </w:rPr>
        <w:t>Goodness- of- fit was assessed by linear regression, with an observed-predicted plot, coefficients of determination, and log-likelihood values.  Predictive performance was evaluated based on mean prediction error (bias) and the mean bias-adjusted squared prediction error (imprecision) of the population and individual prediction models. The internal validity of the population pharmacokinetic model was assessed by the bootstrap resampling method (n=1000) and normalized prediction distribution errors (NPDE)</w:t>
      </w:r>
      <w:r w:rsidR="00993100">
        <w:rPr>
          <w:rFonts w:ascii="Arial" w:hAnsi="Arial" w:cs="Arial"/>
          <w:lang w:val="en-AU"/>
        </w:rPr>
        <w:t xml:space="preserve">. </w:t>
      </w:r>
      <w:r w:rsidR="00613316">
        <w:rPr>
          <w:rFonts w:ascii="Arial" w:hAnsi="Arial" w:cs="Arial"/>
          <w:lang w:val="en-AU"/>
        </w:rPr>
        <w:t>(</w:t>
      </w:r>
      <w:r w:rsidR="00F403E4">
        <w:rPr>
          <w:rFonts w:ascii="Arial" w:hAnsi="Arial" w:cs="Arial"/>
          <w:lang w:val="en-AU"/>
        </w:rPr>
        <w:t>3</w:t>
      </w:r>
      <w:r w:rsidR="00613316">
        <w:rPr>
          <w:rFonts w:ascii="Arial" w:hAnsi="Arial" w:cs="Arial"/>
          <w:lang w:val="en-AU"/>
        </w:rPr>
        <w:t>)</w:t>
      </w:r>
      <w:r w:rsidR="000D0982" w:rsidRPr="000D0982">
        <w:rPr>
          <w:rFonts w:ascii="Arial" w:hAnsi="Arial" w:cs="Arial"/>
          <w:lang w:val="en-AU"/>
        </w:rPr>
        <w:t xml:space="preserve"> Using a vis</w:t>
      </w:r>
      <w:bookmarkStart w:id="0" w:name="_GoBack"/>
      <w:bookmarkEnd w:id="0"/>
      <w:r w:rsidR="000D0982" w:rsidRPr="000D0982">
        <w:rPr>
          <w:rFonts w:ascii="Arial" w:hAnsi="Arial" w:cs="Arial"/>
          <w:lang w:val="en-AU"/>
        </w:rPr>
        <w:t xml:space="preserve">ual predictive check (VPC) method, parameters obtained from the bootstrap method were plotted with the observed concentrations. NPDE plots were examined for normal distribution characteristics and trends in the data errors.  </w:t>
      </w:r>
    </w:p>
    <w:p w14:paraId="6ABB9AC8" w14:textId="29900C10" w:rsidR="00215CE4" w:rsidRDefault="00215CE4" w:rsidP="0078353A">
      <w:pPr>
        <w:spacing w:line="480" w:lineRule="auto"/>
        <w:jc w:val="both"/>
        <w:rPr>
          <w:rFonts w:ascii="Arial" w:hAnsi="Arial" w:cs="Arial"/>
          <w:lang w:val="en-AU"/>
        </w:rPr>
      </w:pPr>
    </w:p>
    <w:p w14:paraId="162B9B21" w14:textId="15FF5B11" w:rsidR="00F403E4" w:rsidRPr="00F92383" w:rsidRDefault="00F403E4" w:rsidP="0078353A">
      <w:pPr>
        <w:spacing w:line="480" w:lineRule="auto"/>
        <w:jc w:val="both"/>
        <w:rPr>
          <w:rFonts w:ascii="Arial" w:hAnsi="Arial" w:cs="Arial"/>
          <w:lang w:val="en-AU"/>
        </w:rPr>
      </w:pPr>
      <w:r>
        <w:rPr>
          <w:rFonts w:ascii="Arial" w:hAnsi="Arial" w:cs="Arial"/>
          <w:lang w:val="en-AU"/>
        </w:rPr>
        <w:t xml:space="preserve">Using the posterior parameter estimates from the final model, area under the concentration time curve (AUC) was calculated in the plasma, epithelial lining fluid </w:t>
      </w:r>
      <w:r>
        <w:rPr>
          <w:rFonts w:ascii="Arial" w:hAnsi="Arial" w:cs="Arial"/>
          <w:lang w:val="en-AU"/>
        </w:rPr>
        <w:lastRenderedPageBreak/>
        <w:t>(ELF) and interstitial fluid (ISF) compartments. Drug penetration into ELF and ISF of lung was then estimated relative to AUC of the central (plasma) compartment.</w:t>
      </w:r>
    </w:p>
    <w:p w14:paraId="7B056BF6" w14:textId="77777777" w:rsidR="00331815" w:rsidRPr="00F92383" w:rsidRDefault="00331815" w:rsidP="00C3386D">
      <w:pPr>
        <w:spacing w:line="480" w:lineRule="auto"/>
        <w:jc w:val="both"/>
        <w:rPr>
          <w:rFonts w:ascii="Arial" w:hAnsi="Arial" w:cs="Arial"/>
          <w:lang w:val="en-AU"/>
        </w:rPr>
      </w:pPr>
    </w:p>
    <w:p w14:paraId="0255AC08" w14:textId="5437F784" w:rsidR="00654779" w:rsidRDefault="00654779" w:rsidP="00577737">
      <w:pPr>
        <w:rPr>
          <w:rFonts w:ascii="Arial" w:hAnsi="Arial" w:cs="Arial"/>
          <w:lang w:val="en-AU"/>
        </w:rPr>
        <w:sectPr w:rsidR="00654779" w:rsidSect="008054FB">
          <w:pgSz w:w="11900" w:h="16820"/>
          <w:pgMar w:top="1417" w:right="1417" w:bottom="1417" w:left="1417" w:header="708" w:footer="708" w:gutter="0"/>
          <w:cols w:space="708"/>
          <w:docGrid w:linePitch="326"/>
        </w:sectPr>
      </w:pPr>
    </w:p>
    <w:p w14:paraId="077BD637" w14:textId="581D97CE" w:rsidR="0087531C" w:rsidRPr="00577737" w:rsidRDefault="0087531C" w:rsidP="00577737">
      <w:pPr>
        <w:rPr>
          <w:rFonts w:ascii="Arial" w:hAnsi="Arial" w:cs="Arial"/>
          <w:i/>
          <w:lang w:val="en-GB"/>
        </w:rPr>
      </w:pPr>
    </w:p>
    <w:p w14:paraId="3512EEF4" w14:textId="34D5B4ED" w:rsidR="0078353A" w:rsidRPr="0078353A" w:rsidRDefault="0087531C">
      <w:pPr>
        <w:rPr>
          <w:rFonts w:ascii="Arial" w:hAnsi="Arial" w:cs="Arial"/>
          <w:lang w:val="en-AU"/>
        </w:rPr>
      </w:pPr>
      <w:r>
        <w:rPr>
          <w:rFonts w:ascii="Arial" w:hAnsi="Arial" w:cs="Arial"/>
          <w:lang w:val="en-AU"/>
        </w:rPr>
        <w:t>References</w:t>
      </w:r>
    </w:p>
    <w:p w14:paraId="23D23E09" w14:textId="77777777" w:rsidR="0078353A" w:rsidRPr="0078353A" w:rsidRDefault="0078353A" w:rsidP="0087531C">
      <w:pPr>
        <w:rPr>
          <w:rFonts w:ascii="Arial" w:hAnsi="Arial" w:cs="Arial"/>
          <w:lang w:val="en-AU"/>
        </w:rPr>
      </w:pPr>
    </w:p>
    <w:p w14:paraId="1685E106" w14:textId="77777777" w:rsidR="009F32DA" w:rsidRPr="00577737" w:rsidRDefault="0078353A" w:rsidP="009F32DA">
      <w:pPr>
        <w:pStyle w:val="EndNoteBibliography"/>
        <w:ind w:left="720" w:hanging="720"/>
        <w:rPr>
          <w:rFonts w:ascii="Arial" w:hAnsi="Arial" w:cs="Arial"/>
          <w:noProof/>
        </w:rPr>
      </w:pPr>
      <w:r w:rsidRPr="00577737">
        <w:rPr>
          <w:rFonts w:ascii="Arial" w:hAnsi="Arial" w:cs="Arial"/>
          <w:lang w:val="en-AU"/>
        </w:rPr>
        <w:fldChar w:fldCharType="begin"/>
      </w:r>
      <w:r w:rsidRPr="00577737">
        <w:rPr>
          <w:rFonts w:ascii="Arial" w:hAnsi="Arial" w:cs="Arial"/>
          <w:lang w:val="en-AU"/>
        </w:rPr>
        <w:instrText xml:space="preserve"> ADDIN EN.REFLIST </w:instrText>
      </w:r>
      <w:r w:rsidRPr="00577737">
        <w:rPr>
          <w:rFonts w:ascii="Arial" w:hAnsi="Arial" w:cs="Arial"/>
          <w:lang w:val="en-AU"/>
        </w:rPr>
        <w:fldChar w:fldCharType="separate"/>
      </w:r>
      <w:r w:rsidR="009F32DA" w:rsidRPr="00577737">
        <w:rPr>
          <w:rFonts w:ascii="Arial" w:hAnsi="Arial" w:cs="Arial"/>
          <w:noProof/>
        </w:rPr>
        <w:t>1.</w:t>
      </w:r>
      <w:r w:rsidR="009F32DA" w:rsidRPr="00577737">
        <w:rPr>
          <w:rFonts w:ascii="Arial" w:hAnsi="Arial" w:cs="Arial"/>
          <w:noProof/>
        </w:rPr>
        <w:tab/>
      </w:r>
      <w:r w:rsidR="009F32DA" w:rsidRPr="00577737">
        <w:rPr>
          <w:rFonts w:ascii="Arial" w:hAnsi="Arial" w:cs="Arial"/>
          <w:b/>
          <w:noProof/>
        </w:rPr>
        <w:t xml:space="preserve">Neely MN, van Guilder MG, Yamada WM, Schumitzky A, Jelliffe RW. </w:t>
      </w:r>
      <w:r w:rsidR="009F32DA" w:rsidRPr="00577737">
        <w:rPr>
          <w:rFonts w:ascii="Arial" w:hAnsi="Arial" w:cs="Arial"/>
          <w:noProof/>
        </w:rPr>
        <w:t xml:space="preserve">2012. Accurate detection of outliers and subpopulations with Pmetrics, a nonparametric and parametric pharmacometric modeling and simulation package for R. Ther Drug Monit </w:t>
      </w:r>
      <w:r w:rsidR="009F32DA" w:rsidRPr="00577737">
        <w:rPr>
          <w:rFonts w:ascii="Arial" w:hAnsi="Arial" w:cs="Arial"/>
          <w:b/>
          <w:noProof/>
        </w:rPr>
        <w:t>34:</w:t>
      </w:r>
      <w:r w:rsidR="009F32DA" w:rsidRPr="00577737">
        <w:rPr>
          <w:rFonts w:ascii="Arial" w:hAnsi="Arial" w:cs="Arial"/>
          <w:noProof/>
        </w:rPr>
        <w:t>467-476.</w:t>
      </w:r>
    </w:p>
    <w:p w14:paraId="74BABD23" w14:textId="77777777" w:rsidR="009F32DA" w:rsidRPr="00577737" w:rsidRDefault="009F32DA" w:rsidP="009F32DA">
      <w:pPr>
        <w:pStyle w:val="EndNoteBibliography"/>
        <w:ind w:left="720" w:hanging="720"/>
        <w:rPr>
          <w:rFonts w:ascii="Arial" w:hAnsi="Arial" w:cs="Arial"/>
          <w:noProof/>
        </w:rPr>
      </w:pPr>
      <w:r w:rsidRPr="00577737">
        <w:rPr>
          <w:rFonts w:ascii="Arial" w:hAnsi="Arial" w:cs="Arial"/>
          <w:noProof/>
        </w:rPr>
        <w:t>2.</w:t>
      </w:r>
      <w:r w:rsidRPr="00577737">
        <w:rPr>
          <w:rFonts w:ascii="Arial" w:hAnsi="Arial" w:cs="Arial"/>
          <w:noProof/>
        </w:rPr>
        <w:tab/>
      </w:r>
      <w:r w:rsidRPr="00577737">
        <w:rPr>
          <w:rFonts w:ascii="Arial" w:hAnsi="Arial" w:cs="Arial"/>
          <w:b/>
          <w:noProof/>
        </w:rPr>
        <w:t xml:space="preserve">Tatarinova T, Neely M, Bartroff J, van Guilder M, Yamada W, Bayard D, Jelliffe R, Leary R, Chubatiuk A, Schumitzky A. </w:t>
      </w:r>
      <w:r w:rsidRPr="00577737">
        <w:rPr>
          <w:rFonts w:ascii="Arial" w:hAnsi="Arial" w:cs="Arial"/>
          <w:noProof/>
        </w:rPr>
        <w:t xml:space="preserve">2013. Two general methods for population pharmacokinetic modeling: non-parametric adaptive grid and non-parametric Bayesian. J Pharmacokinet Pharmacodyn </w:t>
      </w:r>
      <w:r w:rsidRPr="00577737">
        <w:rPr>
          <w:rFonts w:ascii="Arial" w:hAnsi="Arial" w:cs="Arial"/>
          <w:b/>
          <w:noProof/>
        </w:rPr>
        <w:t>40:</w:t>
      </w:r>
      <w:r w:rsidRPr="00577737">
        <w:rPr>
          <w:rFonts w:ascii="Arial" w:hAnsi="Arial" w:cs="Arial"/>
          <w:noProof/>
        </w:rPr>
        <w:t>189-199.</w:t>
      </w:r>
    </w:p>
    <w:p w14:paraId="2BEFC258" w14:textId="77777777" w:rsidR="009F32DA" w:rsidRPr="00577737" w:rsidRDefault="009F32DA" w:rsidP="009F32DA">
      <w:pPr>
        <w:pStyle w:val="EndNoteBibliography"/>
        <w:ind w:left="720" w:hanging="720"/>
        <w:rPr>
          <w:rFonts w:ascii="Arial" w:hAnsi="Arial" w:cs="Arial"/>
          <w:noProof/>
        </w:rPr>
      </w:pPr>
      <w:r w:rsidRPr="00577737">
        <w:rPr>
          <w:rFonts w:ascii="Arial" w:hAnsi="Arial" w:cs="Arial"/>
          <w:noProof/>
        </w:rPr>
        <w:t>3.</w:t>
      </w:r>
      <w:r w:rsidRPr="00577737">
        <w:rPr>
          <w:rFonts w:ascii="Arial" w:hAnsi="Arial" w:cs="Arial"/>
          <w:noProof/>
        </w:rPr>
        <w:tab/>
      </w:r>
      <w:r w:rsidRPr="00577737">
        <w:rPr>
          <w:rFonts w:ascii="Arial" w:hAnsi="Arial" w:cs="Arial"/>
          <w:b/>
          <w:noProof/>
        </w:rPr>
        <w:t xml:space="preserve">Mentre F, Escolano S. </w:t>
      </w:r>
      <w:r w:rsidRPr="00577737">
        <w:rPr>
          <w:rFonts w:ascii="Arial" w:hAnsi="Arial" w:cs="Arial"/>
          <w:noProof/>
        </w:rPr>
        <w:t xml:space="preserve">2006. Prediction discrepancies for the evaluation of nonlinear mixed-effects models. J Pharmacokinet Pharmacodyn </w:t>
      </w:r>
      <w:r w:rsidRPr="00577737">
        <w:rPr>
          <w:rFonts w:ascii="Arial" w:hAnsi="Arial" w:cs="Arial"/>
          <w:b/>
          <w:noProof/>
        </w:rPr>
        <w:t>33:</w:t>
      </w:r>
      <w:r w:rsidRPr="00577737">
        <w:rPr>
          <w:rFonts w:ascii="Arial" w:hAnsi="Arial" w:cs="Arial"/>
          <w:noProof/>
        </w:rPr>
        <w:t>345-367.</w:t>
      </w:r>
    </w:p>
    <w:p w14:paraId="00CC759D" w14:textId="594FBFBB" w:rsidR="0017336A" w:rsidRPr="00577737" w:rsidRDefault="0078353A" w:rsidP="0087531C">
      <w:pPr>
        <w:jc w:val="both"/>
        <w:rPr>
          <w:rFonts w:ascii="Arial" w:hAnsi="Arial" w:cs="Arial"/>
          <w:lang w:val="en-AU"/>
        </w:rPr>
      </w:pPr>
      <w:r w:rsidRPr="00577737">
        <w:rPr>
          <w:rFonts w:ascii="Arial" w:hAnsi="Arial" w:cs="Arial"/>
          <w:lang w:val="en-AU"/>
        </w:rPr>
        <w:fldChar w:fldCharType="end"/>
      </w:r>
    </w:p>
    <w:sectPr w:rsidR="0017336A" w:rsidRPr="00577737" w:rsidSect="00654779">
      <w:pgSz w:w="11900" w:h="16840"/>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FD089" w14:textId="77777777" w:rsidR="00C56562" w:rsidRDefault="00C56562" w:rsidP="0006356D">
      <w:r>
        <w:separator/>
      </w:r>
    </w:p>
  </w:endnote>
  <w:endnote w:type="continuationSeparator" w:id="0">
    <w:p w14:paraId="551F8C89" w14:textId="77777777" w:rsidR="00C56562" w:rsidRDefault="00C56562" w:rsidP="00063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499A0" w14:textId="77777777" w:rsidR="00C56562" w:rsidRDefault="00C56562" w:rsidP="0006356D">
      <w:r>
        <w:separator/>
      </w:r>
    </w:p>
  </w:footnote>
  <w:footnote w:type="continuationSeparator" w:id="0">
    <w:p w14:paraId="03C9105C" w14:textId="77777777" w:rsidR="00C56562" w:rsidRDefault="00C56562" w:rsidP="000635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defaultTabStop w:val="708"/>
  <w:hyphenationZone w:val="425"/>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ntimicrobial Agents Chemo&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 w:name="KY_MEDREF_DOCUID" w:val="{068F551A-9942-4D73-8338-5908EC707326}"/>
    <w:docVar w:name="KY_MEDREF_VERSION" w:val="3"/>
  </w:docVars>
  <w:rsids>
    <w:rsidRoot w:val="00C95556"/>
    <w:rsid w:val="0005056E"/>
    <w:rsid w:val="00054C9D"/>
    <w:rsid w:val="0006356D"/>
    <w:rsid w:val="000C4CB8"/>
    <w:rsid w:val="000C5C2F"/>
    <w:rsid w:val="000C70E0"/>
    <w:rsid w:val="000D0982"/>
    <w:rsid w:val="000D4A0A"/>
    <w:rsid w:val="000E2975"/>
    <w:rsid w:val="000E68B5"/>
    <w:rsid w:val="00100C11"/>
    <w:rsid w:val="0012413E"/>
    <w:rsid w:val="0013404C"/>
    <w:rsid w:val="00171131"/>
    <w:rsid w:val="0017336A"/>
    <w:rsid w:val="001850A8"/>
    <w:rsid w:val="001A7010"/>
    <w:rsid w:val="00215CE4"/>
    <w:rsid w:val="0022008E"/>
    <w:rsid w:val="00236FC2"/>
    <w:rsid w:val="00263D54"/>
    <w:rsid w:val="00265029"/>
    <w:rsid w:val="00285D3D"/>
    <w:rsid w:val="00292C2E"/>
    <w:rsid w:val="002A072A"/>
    <w:rsid w:val="002A2614"/>
    <w:rsid w:val="002A7603"/>
    <w:rsid w:val="002B5BF7"/>
    <w:rsid w:val="002C309B"/>
    <w:rsid w:val="002C4050"/>
    <w:rsid w:val="002D3CA6"/>
    <w:rsid w:val="003027DD"/>
    <w:rsid w:val="00317B6C"/>
    <w:rsid w:val="00331815"/>
    <w:rsid w:val="0038168C"/>
    <w:rsid w:val="00395D54"/>
    <w:rsid w:val="003A6DCD"/>
    <w:rsid w:val="003B2A0F"/>
    <w:rsid w:val="00407627"/>
    <w:rsid w:val="00432764"/>
    <w:rsid w:val="004702FD"/>
    <w:rsid w:val="00473045"/>
    <w:rsid w:val="00474113"/>
    <w:rsid w:val="00480336"/>
    <w:rsid w:val="004A1BCD"/>
    <w:rsid w:val="004B62DD"/>
    <w:rsid w:val="004C03E0"/>
    <w:rsid w:val="004C2D68"/>
    <w:rsid w:val="00504465"/>
    <w:rsid w:val="00523490"/>
    <w:rsid w:val="0052517C"/>
    <w:rsid w:val="00526CCD"/>
    <w:rsid w:val="0054690A"/>
    <w:rsid w:val="00577737"/>
    <w:rsid w:val="00586CC5"/>
    <w:rsid w:val="005A1522"/>
    <w:rsid w:val="005A58F8"/>
    <w:rsid w:val="005C34F7"/>
    <w:rsid w:val="005D2F28"/>
    <w:rsid w:val="005E2645"/>
    <w:rsid w:val="005F41F6"/>
    <w:rsid w:val="00613316"/>
    <w:rsid w:val="006337A0"/>
    <w:rsid w:val="00653AF1"/>
    <w:rsid w:val="00654779"/>
    <w:rsid w:val="00686752"/>
    <w:rsid w:val="00690D28"/>
    <w:rsid w:val="0069503C"/>
    <w:rsid w:val="006C7977"/>
    <w:rsid w:val="006D021C"/>
    <w:rsid w:val="00755E64"/>
    <w:rsid w:val="00762376"/>
    <w:rsid w:val="00782712"/>
    <w:rsid w:val="0078353A"/>
    <w:rsid w:val="00784A03"/>
    <w:rsid w:val="0078617F"/>
    <w:rsid w:val="007B3090"/>
    <w:rsid w:val="008054FB"/>
    <w:rsid w:val="00840059"/>
    <w:rsid w:val="00873A4F"/>
    <w:rsid w:val="00873E55"/>
    <w:rsid w:val="0087531C"/>
    <w:rsid w:val="008772F8"/>
    <w:rsid w:val="00893A83"/>
    <w:rsid w:val="008F52B1"/>
    <w:rsid w:val="0098506C"/>
    <w:rsid w:val="0099235E"/>
    <w:rsid w:val="00993100"/>
    <w:rsid w:val="009B3DE1"/>
    <w:rsid w:val="009C775A"/>
    <w:rsid w:val="009D2021"/>
    <w:rsid w:val="009F32DA"/>
    <w:rsid w:val="009F3D2E"/>
    <w:rsid w:val="00A078B3"/>
    <w:rsid w:val="00A07F06"/>
    <w:rsid w:val="00A270A8"/>
    <w:rsid w:val="00A40D74"/>
    <w:rsid w:val="00A43684"/>
    <w:rsid w:val="00A4665F"/>
    <w:rsid w:val="00A72074"/>
    <w:rsid w:val="00A73F03"/>
    <w:rsid w:val="00A900D7"/>
    <w:rsid w:val="00AB2850"/>
    <w:rsid w:val="00AB67A9"/>
    <w:rsid w:val="00AE1F9D"/>
    <w:rsid w:val="00AE6C6D"/>
    <w:rsid w:val="00B22299"/>
    <w:rsid w:val="00B63FE7"/>
    <w:rsid w:val="00B7368C"/>
    <w:rsid w:val="00B83E38"/>
    <w:rsid w:val="00B87B51"/>
    <w:rsid w:val="00B945F0"/>
    <w:rsid w:val="00BB586D"/>
    <w:rsid w:val="00BF37A6"/>
    <w:rsid w:val="00BF3D6A"/>
    <w:rsid w:val="00C13B52"/>
    <w:rsid w:val="00C3386D"/>
    <w:rsid w:val="00C56562"/>
    <w:rsid w:val="00C600DA"/>
    <w:rsid w:val="00C95556"/>
    <w:rsid w:val="00C9680A"/>
    <w:rsid w:val="00CA36E8"/>
    <w:rsid w:val="00CA4AFD"/>
    <w:rsid w:val="00CA7E36"/>
    <w:rsid w:val="00CB0CF8"/>
    <w:rsid w:val="00CB627B"/>
    <w:rsid w:val="00CD7E65"/>
    <w:rsid w:val="00CE1151"/>
    <w:rsid w:val="00CE6DD5"/>
    <w:rsid w:val="00D1034E"/>
    <w:rsid w:val="00D30C43"/>
    <w:rsid w:val="00D40AB8"/>
    <w:rsid w:val="00D43F81"/>
    <w:rsid w:val="00DA159C"/>
    <w:rsid w:val="00DA6FBD"/>
    <w:rsid w:val="00DF5C2F"/>
    <w:rsid w:val="00E00CEB"/>
    <w:rsid w:val="00E02C69"/>
    <w:rsid w:val="00E1122A"/>
    <w:rsid w:val="00E23D59"/>
    <w:rsid w:val="00E4238B"/>
    <w:rsid w:val="00E44708"/>
    <w:rsid w:val="00E53962"/>
    <w:rsid w:val="00EA4D42"/>
    <w:rsid w:val="00EC3468"/>
    <w:rsid w:val="00ED6860"/>
    <w:rsid w:val="00EE4195"/>
    <w:rsid w:val="00EE4CBA"/>
    <w:rsid w:val="00EE6BDC"/>
    <w:rsid w:val="00F237B4"/>
    <w:rsid w:val="00F27382"/>
    <w:rsid w:val="00F359AC"/>
    <w:rsid w:val="00F403E4"/>
    <w:rsid w:val="00F55540"/>
    <w:rsid w:val="00F73304"/>
    <w:rsid w:val="00F80363"/>
    <w:rsid w:val="00F92383"/>
    <w:rsid w:val="00FA1748"/>
    <w:rsid w:val="00FA40A5"/>
    <w:rsid w:val="00FC600A"/>
    <w:rsid w:val="00FD0480"/>
    <w:rsid w:val="00FD1A60"/>
    <w:rsid w:val="00FE15D0"/>
    <w:rsid w:val="00FF641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C54185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fr-FR"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2D3CA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DA15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159C"/>
    <w:rPr>
      <w:rFonts w:ascii="Lucida Grande" w:hAnsi="Lucida Grande" w:cs="Lucida Grande"/>
      <w:sz w:val="18"/>
      <w:szCs w:val="18"/>
      <w:lang w:eastAsia="fr-FR"/>
    </w:rPr>
  </w:style>
  <w:style w:type="paragraph" w:styleId="Header">
    <w:name w:val="header"/>
    <w:basedOn w:val="Normal"/>
    <w:link w:val="HeaderChar"/>
    <w:uiPriority w:val="99"/>
    <w:unhideWhenUsed/>
    <w:rsid w:val="0006356D"/>
    <w:pPr>
      <w:tabs>
        <w:tab w:val="center" w:pos="4703"/>
        <w:tab w:val="right" w:pos="9406"/>
      </w:tabs>
    </w:pPr>
  </w:style>
  <w:style w:type="character" w:customStyle="1" w:styleId="HeaderChar">
    <w:name w:val="Header Char"/>
    <w:basedOn w:val="DefaultParagraphFont"/>
    <w:link w:val="Header"/>
    <w:uiPriority w:val="99"/>
    <w:rsid w:val="0006356D"/>
    <w:rPr>
      <w:sz w:val="24"/>
      <w:szCs w:val="24"/>
      <w:lang w:eastAsia="fr-FR"/>
    </w:rPr>
  </w:style>
  <w:style w:type="paragraph" w:styleId="Footer">
    <w:name w:val="footer"/>
    <w:basedOn w:val="Normal"/>
    <w:link w:val="FooterChar"/>
    <w:uiPriority w:val="99"/>
    <w:unhideWhenUsed/>
    <w:rsid w:val="0006356D"/>
    <w:pPr>
      <w:tabs>
        <w:tab w:val="center" w:pos="4703"/>
        <w:tab w:val="right" w:pos="9406"/>
      </w:tabs>
    </w:pPr>
  </w:style>
  <w:style w:type="character" w:customStyle="1" w:styleId="FooterChar">
    <w:name w:val="Footer Char"/>
    <w:basedOn w:val="DefaultParagraphFont"/>
    <w:link w:val="Footer"/>
    <w:uiPriority w:val="99"/>
    <w:rsid w:val="0006356D"/>
    <w:rPr>
      <w:sz w:val="24"/>
      <w:szCs w:val="24"/>
      <w:lang w:eastAsia="fr-FR"/>
    </w:rPr>
  </w:style>
  <w:style w:type="character" w:styleId="Hyperlink">
    <w:name w:val="Hyperlink"/>
    <w:basedOn w:val="DefaultParagraphFont"/>
    <w:uiPriority w:val="99"/>
    <w:unhideWhenUsed/>
    <w:rsid w:val="0078353A"/>
    <w:rPr>
      <w:color w:val="0000FF" w:themeColor="hyperlink"/>
      <w:u w:val="single"/>
    </w:rPr>
  </w:style>
  <w:style w:type="paragraph" w:customStyle="1" w:styleId="EndNoteBibliographyTitle">
    <w:name w:val="EndNote Bibliography Title"/>
    <w:basedOn w:val="Normal"/>
    <w:rsid w:val="0078353A"/>
    <w:pPr>
      <w:jc w:val="center"/>
    </w:pPr>
  </w:style>
  <w:style w:type="paragraph" w:customStyle="1" w:styleId="EndNoteBibliography">
    <w:name w:val="EndNote Bibliography"/>
    <w:basedOn w:val="Normal"/>
    <w:rsid w:val="0078353A"/>
  </w:style>
  <w:style w:type="table" w:styleId="TableGrid">
    <w:name w:val="Table Grid"/>
    <w:basedOn w:val="TableNormal"/>
    <w:uiPriority w:val="39"/>
    <w:rsid w:val="00654779"/>
    <w:rPr>
      <w:rFonts w:asciiTheme="minorHAnsi" w:hAnsiTheme="minorHAnsi" w:cstheme="minorBidi"/>
      <w:kern w:val="2"/>
      <w:sz w:val="21"/>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311530">
      <w:bodyDiv w:val="1"/>
      <w:marLeft w:val="0"/>
      <w:marRight w:val="0"/>
      <w:marTop w:val="0"/>
      <w:marBottom w:val="0"/>
      <w:divBdr>
        <w:top w:val="none" w:sz="0" w:space="0" w:color="auto"/>
        <w:left w:val="none" w:sz="0" w:space="0" w:color="auto"/>
        <w:bottom w:val="none" w:sz="0" w:space="0" w:color="auto"/>
        <w:right w:val="none" w:sz="0" w:space="0" w:color="auto"/>
      </w:divBdr>
    </w:div>
    <w:div w:id="468085746">
      <w:bodyDiv w:val="1"/>
      <w:marLeft w:val="0"/>
      <w:marRight w:val="0"/>
      <w:marTop w:val="0"/>
      <w:marBottom w:val="0"/>
      <w:divBdr>
        <w:top w:val="none" w:sz="0" w:space="0" w:color="auto"/>
        <w:left w:val="none" w:sz="0" w:space="0" w:color="auto"/>
        <w:bottom w:val="none" w:sz="0" w:space="0" w:color="auto"/>
        <w:right w:val="none" w:sz="0" w:space="0" w:color="auto"/>
      </w:divBdr>
    </w:div>
    <w:div w:id="821384193">
      <w:bodyDiv w:val="1"/>
      <w:marLeft w:val="0"/>
      <w:marRight w:val="0"/>
      <w:marTop w:val="0"/>
      <w:marBottom w:val="0"/>
      <w:divBdr>
        <w:top w:val="none" w:sz="0" w:space="0" w:color="auto"/>
        <w:left w:val="none" w:sz="0" w:space="0" w:color="auto"/>
        <w:bottom w:val="none" w:sz="0" w:space="0" w:color="auto"/>
        <w:right w:val="none" w:sz="0" w:space="0" w:color="auto"/>
      </w:divBdr>
    </w:div>
    <w:div w:id="953633904">
      <w:bodyDiv w:val="1"/>
      <w:marLeft w:val="0"/>
      <w:marRight w:val="0"/>
      <w:marTop w:val="0"/>
      <w:marBottom w:val="0"/>
      <w:divBdr>
        <w:top w:val="none" w:sz="0" w:space="0" w:color="auto"/>
        <w:left w:val="none" w:sz="0" w:space="0" w:color="auto"/>
        <w:bottom w:val="none" w:sz="0" w:space="0" w:color="auto"/>
        <w:right w:val="none" w:sz="0" w:space="0" w:color="auto"/>
      </w:divBdr>
    </w:div>
    <w:div w:id="1129007760">
      <w:bodyDiv w:val="1"/>
      <w:marLeft w:val="0"/>
      <w:marRight w:val="0"/>
      <w:marTop w:val="0"/>
      <w:marBottom w:val="0"/>
      <w:divBdr>
        <w:top w:val="none" w:sz="0" w:space="0" w:color="auto"/>
        <w:left w:val="none" w:sz="0" w:space="0" w:color="auto"/>
        <w:bottom w:val="none" w:sz="0" w:space="0" w:color="auto"/>
        <w:right w:val="none" w:sz="0" w:space="0" w:color="auto"/>
      </w:divBdr>
    </w:div>
    <w:div w:id="1396011158">
      <w:bodyDiv w:val="1"/>
      <w:marLeft w:val="0"/>
      <w:marRight w:val="0"/>
      <w:marTop w:val="0"/>
      <w:marBottom w:val="0"/>
      <w:divBdr>
        <w:top w:val="none" w:sz="0" w:space="0" w:color="auto"/>
        <w:left w:val="none" w:sz="0" w:space="0" w:color="auto"/>
        <w:bottom w:val="none" w:sz="0" w:space="0" w:color="auto"/>
        <w:right w:val="none" w:sz="0" w:space="0" w:color="auto"/>
      </w:divBdr>
    </w:div>
    <w:div w:id="1418019576">
      <w:bodyDiv w:val="1"/>
      <w:marLeft w:val="0"/>
      <w:marRight w:val="0"/>
      <w:marTop w:val="0"/>
      <w:marBottom w:val="0"/>
      <w:divBdr>
        <w:top w:val="none" w:sz="0" w:space="0" w:color="auto"/>
        <w:left w:val="none" w:sz="0" w:space="0" w:color="auto"/>
        <w:bottom w:val="none" w:sz="0" w:space="0" w:color="auto"/>
        <w:right w:val="none" w:sz="0" w:space="0" w:color="auto"/>
      </w:divBdr>
    </w:div>
    <w:div w:id="1596594640">
      <w:bodyDiv w:val="1"/>
      <w:marLeft w:val="0"/>
      <w:marRight w:val="0"/>
      <w:marTop w:val="0"/>
      <w:marBottom w:val="0"/>
      <w:divBdr>
        <w:top w:val="none" w:sz="0" w:space="0" w:color="auto"/>
        <w:left w:val="none" w:sz="0" w:space="0" w:color="auto"/>
        <w:bottom w:val="none" w:sz="0" w:space="0" w:color="auto"/>
        <w:right w:val="none" w:sz="0" w:space="0" w:color="auto"/>
      </w:divBdr>
    </w:div>
    <w:div w:id="1676490895">
      <w:bodyDiv w:val="1"/>
      <w:marLeft w:val="0"/>
      <w:marRight w:val="0"/>
      <w:marTop w:val="0"/>
      <w:marBottom w:val="0"/>
      <w:divBdr>
        <w:top w:val="none" w:sz="0" w:space="0" w:color="auto"/>
        <w:left w:val="none" w:sz="0" w:space="0" w:color="auto"/>
        <w:bottom w:val="none" w:sz="0" w:space="0" w:color="auto"/>
        <w:right w:val="none" w:sz="0" w:space="0" w:color="auto"/>
      </w:divBdr>
    </w:div>
    <w:div w:id="1907689708">
      <w:bodyDiv w:val="1"/>
      <w:marLeft w:val="0"/>
      <w:marRight w:val="0"/>
      <w:marTop w:val="0"/>
      <w:marBottom w:val="0"/>
      <w:divBdr>
        <w:top w:val="none" w:sz="0" w:space="0" w:color="auto"/>
        <w:left w:val="none" w:sz="0" w:space="0" w:color="auto"/>
        <w:bottom w:val="none" w:sz="0" w:space="0" w:color="auto"/>
        <w:right w:val="none" w:sz="0" w:space="0" w:color="auto"/>
      </w:divBdr>
    </w:div>
    <w:div w:id="19521284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CFBC2-724A-6D45-9512-664594FA4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ROGER</dc:creator>
  <cp:keywords/>
  <dc:description/>
  <cp:lastModifiedBy>Jason Roberts</cp:lastModifiedBy>
  <cp:revision>3</cp:revision>
  <dcterms:created xsi:type="dcterms:W3CDTF">2019-03-04T06:28:00Z</dcterms:created>
  <dcterms:modified xsi:type="dcterms:W3CDTF">2019-03-04T06:39:00Z</dcterms:modified>
</cp:coreProperties>
</file>