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4D76" w14:textId="16ED50B4" w:rsidR="003D145D" w:rsidRPr="006017CB" w:rsidRDefault="009E604C" w:rsidP="003D145D">
      <w:pPr>
        <w:rPr>
          <w:b/>
        </w:rPr>
      </w:pPr>
      <w:r w:rsidRPr="00A2274B">
        <w:rPr>
          <w:b/>
        </w:rPr>
        <w:t>Table S</w:t>
      </w:r>
      <w:r w:rsidR="003D145D" w:rsidRPr="00A2274B">
        <w:rPr>
          <w:b/>
        </w:rPr>
        <w:t>2 Effect of dextromethorphan on mechanical pain thresholds (</w:t>
      </w:r>
      <w:r w:rsidR="00104277" w:rsidRPr="00A2274B">
        <w:rPr>
          <w:b/>
        </w:rPr>
        <w:t>in grams (g)</w:t>
      </w:r>
      <w:r w:rsidR="00DB7149" w:rsidRPr="00A2274B">
        <w:rPr>
          <w:b/>
        </w:rPr>
        <w:t>)</w:t>
      </w:r>
      <w:r w:rsidR="003D145D" w:rsidRPr="00A2274B">
        <w:rPr>
          <w:b/>
        </w:rPr>
        <w:t xml:space="preserve"> </w:t>
      </w:r>
      <w:r w:rsidR="00C57CD9" w:rsidRPr="00A2274B">
        <w:rPr>
          <w:b/>
        </w:rPr>
        <w:t>on (A) secondary hyperalgesia, primary hyperalgesia and healthy skin, (B) cognitive parameters (reaction and movement times</w:t>
      </w:r>
      <w:r w:rsidR="005D10B9" w:rsidRPr="00A2274B">
        <w:rPr>
          <w:b/>
        </w:rPr>
        <w:t>,</w:t>
      </w:r>
      <w:r w:rsidR="00104277" w:rsidRPr="00A2274B">
        <w:rPr>
          <w:b/>
        </w:rPr>
        <w:t xml:space="preserve"> in milliseconds (</w:t>
      </w:r>
      <w:proofErr w:type="spellStart"/>
      <w:r w:rsidR="00104277" w:rsidRPr="00A2274B">
        <w:rPr>
          <w:b/>
        </w:rPr>
        <w:t>ms</w:t>
      </w:r>
      <w:proofErr w:type="spellEnd"/>
      <w:r w:rsidR="00104277" w:rsidRPr="00A2274B">
        <w:rPr>
          <w:b/>
        </w:rPr>
        <w:t>)</w:t>
      </w:r>
      <w:r w:rsidR="00DB7149" w:rsidRPr="00A2274B">
        <w:rPr>
          <w:b/>
        </w:rPr>
        <w:t>)</w:t>
      </w:r>
      <w:r w:rsidR="003D145D" w:rsidRPr="00A2274B">
        <w:rPr>
          <w:b/>
        </w:rPr>
        <w:t>.</w:t>
      </w:r>
      <w:bookmarkStart w:id="0" w:name="_GoBack"/>
      <w:bookmarkEnd w:id="0"/>
    </w:p>
    <w:tbl>
      <w:tblPr>
        <w:tblW w:w="90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1984"/>
        <w:gridCol w:w="1156"/>
      </w:tblGrid>
      <w:tr w:rsidR="003D145D" w:rsidRPr="006017CB" w14:paraId="0C1DEEB0" w14:textId="77777777" w:rsidTr="00DC6C94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08A40" w14:textId="77777777" w:rsidR="003D145D" w:rsidRPr="006017CB" w:rsidRDefault="003D145D" w:rsidP="00DC6C9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747FAF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Dextromethorphan</w:t>
            </w:r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br/>
              <w:t>(n=20)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532C85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Placebo</w:t>
            </w:r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br/>
              <w:t>(n=20)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FE340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p-value</w:t>
            </w:r>
          </w:p>
        </w:tc>
      </w:tr>
      <w:tr w:rsidR="00C57CD9" w:rsidRPr="006017CB" w14:paraId="738EFFE6" w14:textId="77777777" w:rsidTr="00C57CD9">
        <w:trPr>
          <w:trHeight w:val="5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A80A5" w14:textId="77777777" w:rsidR="00C57CD9" w:rsidRPr="006017CB" w:rsidRDefault="00C57CD9" w:rsidP="00C57CD9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(A)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Mechanical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pain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thresholds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6284F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54DF7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CF2E5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</w:tr>
      <w:tr w:rsidR="00C57CD9" w:rsidRPr="006017CB" w14:paraId="7F0E99DE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FC0A0C" w14:textId="6F12F4F4" w:rsidR="00C57CD9" w:rsidRPr="006017CB" w:rsidRDefault="00A2274B" w:rsidP="00A2274B">
            <w:pPr>
              <w:spacing w:after="0" w:line="240" w:lineRule="auto"/>
              <w:ind w:left="149"/>
              <w:jc w:val="lef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Secondary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hyperalgesia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r w:rsidR="00C57CD9"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(g)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31A52FE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EE8B93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6D742D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</w:tr>
      <w:tr w:rsidR="00C57CD9" w:rsidRPr="006017CB" w14:paraId="5026242F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31CA57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2C4CA4" w14:textId="3F38D131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39.5 ± 24.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84EBBF" w14:textId="77A1549D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40.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6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29.0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54D2C2" w14:textId="4D14074E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0.84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2</w:t>
            </w:r>
          </w:p>
        </w:tc>
      </w:tr>
      <w:tr w:rsidR="00C57CD9" w:rsidRPr="006017CB" w14:paraId="2C027AA3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246F265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1hr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CDE5EE" w14:textId="192ADF5E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40.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25.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FAC21D" w14:textId="3AF5FCCA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>7.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7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30.0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5F5A688" w14:textId="09EF980B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0.6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27</w:t>
            </w:r>
          </w:p>
        </w:tc>
      </w:tr>
      <w:tr w:rsidR="00C57CD9" w:rsidRPr="006017CB" w14:paraId="76F9255A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2780C6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2hr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8429A8" w14:textId="2A882D9F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50.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>0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32.6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3F0A71" w14:textId="65ABA8C5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38.9 ± 26.0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8066EB" w14:textId="20B17471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0.10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</w:p>
        </w:tc>
      </w:tr>
      <w:tr w:rsidR="00C57CD9" w:rsidRPr="006017CB" w14:paraId="125EF054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1AE1AF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3hr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550D74E" w14:textId="2B35E946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49.4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25.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60B849" w14:textId="71354DCD" w:rsidR="00C57CD9" w:rsidRPr="006017CB" w:rsidRDefault="00C57CD9" w:rsidP="00DE24B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41.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29.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8A800B" w14:textId="39A40AE4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0.2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</w:t>
            </w:r>
          </w:p>
        </w:tc>
      </w:tr>
      <w:tr w:rsidR="00C57CD9" w:rsidRPr="006017CB" w14:paraId="51F3DC7D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36812F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D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ay 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06CA88" w14:textId="2436AC30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53.4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>± 22.4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9490CF" w14:textId="068C52C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50.3 ± 30.4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842106" w14:textId="14BC1E75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0.68</w:t>
            </w:r>
            <w:r w:rsidR="001131C0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</w:p>
        </w:tc>
      </w:tr>
      <w:tr w:rsidR="003D145D" w:rsidRPr="007416E9" w14:paraId="479E3AB5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5E8440" w14:textId="6DBCF231" w:rsidR="003D145D" w:rsidRPr="006017CB" w:rsidRDefault="00A2274B" w:rsidP="00A2274B">
            <w:pPr>
              <w:spacing w:after="0" w:line="240" w:lineRule="auto"/>
              <w:ind w:left="149"/>
              <w:jc w:val="lef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Primary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hyperalgesia</w:t>
            </w:r>
            <w:proofErr w:type="spellEnd"/>
            <w:r w:rsidR="003D145D"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(g)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0440C0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34D3C0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AC49F7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</w:tr>
      <w:tr w:rsidR="003D145D" w:rsidRPr="007416E9" w14:paraId="181963F2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3F1184" w14:textId="77777777" w:rsidR="003D145D" w:rsidRPr="006017CB" w:rsidRDefault="00112220" w:rsidP="00DC6C9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8FADAD" w14:textId="32C6791D" w:rsidR="003D145D" w:rsidRPr="006017CB" w:rsidRDefault="00E939A1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21.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15.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068C95" w14:textId="2627AB22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31.</w:t>
            </w:r>
            <w:r w:rsidR="00E939A1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31.</w:t>
            </w:r>
            <w:r w:rsidR="00E939A1">
              <w:rPr>
                <w:rFonts w:eastAsia="Times New Roman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4BF596" w14:textId="5ADCF219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0.0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76</w:t>
            </w:r>
          </w:p>
        </w:tc>
      </w:tr>
      <w:tr w:rsidR="003D145D" w:rsidRPr="006017CB" w14:paraId="0225579B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1BF656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1hr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C5F64B" w14:textId="6AF40904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25.9</w:t>
            </w:r>
            <w:r w:rsidR="00E939A1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22.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8665CC" w14:textId="4D211AD1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27.5</w:t>
            </w:r>
            <w:r w:rsidR="00E939A1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23.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C390C" w14:textId="1754C128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0.71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</w:p>
        </w:tc>
      </w:tr>
      <w:tr w:rsidR="003D145D" w:rsidRPr="00E939A1" w14:paraId="63DC2804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9E8B68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2hr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56F42A" w14:textId="6FD54235" w:rsidR="003D145D" w:rsidRPr="006017CB" w:rsidRDefault="00E939A1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29.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21.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E1E8DF" w14:textId="07D0C58A" w:rsidR="003D145D" w:rsidRPr="006017CB" w:rsidRDefault="00E939A1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28.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  <w:r w:rsidR="003D145D"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22.6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AF5EFE" w14:textId="6F36EC3D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0.8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16</w:t>
            </w:r>
          </w:p>
        </w:tc>
      </w:tr>
      <w:tr w:rsidR="003D145D" w:rsidRPr="00E939A1" w14:paraId="70D119D4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F7FC7F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3hr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9E3BD9" w14:textId="2A190CBA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27.2 ± 17.9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AD803" w14:textId="28C53895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30.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9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23.3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DBF4F" w14:textId="311883B9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0.4</w:t>
            </w:r>
            <w:r w:rsidR="006A06F1">
              <w:rPr>
                <w:rFonts w:eastAsia="Times New Roman"/>
                <w:sz w:val="22"/>
                <w:szCs w:val="22"/>
                <w:lang w:val="fr-FR" w:eastAsia="fr-FR"/>
              </w:rPr>
              <w:t>26</w:t>
            </w:r>
          </w:p>
        </w:tc>
      </w:tr>
      <w:tr w:rsidR="003D145D" w:rsidRPr="00E939A1" w14:paraId="7336F84E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D8DBF2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D</w:t>
            </w:r>
            <w:r w:rsidR="00C57CD9">
              <w:rPr>
                <w:rFonts w:eastAsia="Times New Roman"/>
                <w:sz w:val="22"/>
                <w:szCs w:val="22"/>
                <w:lang w:val="fr-FR" w:eastAsia="fr-FR"/>
              </w:rPr>
              <w:t xml:space="preserve">ay 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7A8531" w14:textId="5CC56BDF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29.7</w:t>
            </w:r>
            <w:r w:rsidR="00E939A1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20.0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47E13" w14:textId="47673919" w:rsidR="003D145D" w:rsidRPr="006017CB" w:rsidRDefault="00E939A1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28.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2</w:t>
            </w:r>
            <w:r w:rsidR="003D145D"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26.0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754724" w14:textId="79CD7181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0.74</w:t>
            </w:r>
            <w:r w:rsidR="001131C0"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</w:p>
        </w:tc>
      </w:tr>
      <w:tr w:rsidR="00C57CD9" w:rsidRPr="00E939A1" w14:paraId="68BF9CC0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EE0CC70" w14:textId="545C742D" w:rsidR="00C57CD9" w:rsidRPr="006017CB" w:rsidRDefault="00A2274B" w:rsidP="00A2274B">
            <w:pPr>
              <w:spacing w:after="0" w:line="240" w:lineRule="auto"/>
              <w:ind w:left="149"/>
              <w:jc w:val="lef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Healthy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skin</w:t>
            </w:r>
            <w:r w:rsidR="00C57CD9"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(g)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0FA128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A64569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C1AABA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</w:tr>
      <w:tr w:rsidR="00C57CD9" w:rsidRPr="007416E9" w14:paraId="59629E94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ED6345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0608A9" w14:textId="5A746F0E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64.8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29.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98716E1" w14:textId="76890881" w:rsidR="00C57CD9" w:rsidRPr="006017CB" w:rsidRDefault="00DE24BD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60.0</w:t>
            </w:r>
            <w:r w:rsidR="00C57CD9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24.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85ADA0" w14:textId="64603A88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0.47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</w:tr>
      <w:tr w:rsidR="00C57CD9" w:rsidRPr="007416E9" w14:paraId="0EEB4BA4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6A6A3C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1hr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7A4ACE" w14:textId="761110C0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56.0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21.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946D7E" w14:textId="64FD667D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56.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9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22.3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395E81" w14:textId="6851B8E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0.8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57</w:t>
            </w:r>
          </w:p>
        </w:tc>
      </w:tr>
      <w:tr w:rsidR="00C57CD9" w:rsidRPr="007416E9" w14:paraId="0D6FEFF8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C17EB5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2hr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26E56E" w14:textId="6E35F672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54.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6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23.0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3C9A95" w14:textId="55C49F3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53.6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22.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C031601" w14:textId="731CE622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0.8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69</w:t>
            </w:r>
          </w:p>
        </w:tc>
      </w:tr>
      <w:tr w:rsidR="00C57CD9" w:rsidRPr="007416E9" w14:paraId="4C2AD2EC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55BB23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3hr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F8F079" w14:textId="6D3FDB52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57.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7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22.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A2E4C18" w14:textId="0152E4C2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52.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5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24.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D29EB0A" w14:textId="641E887E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0.3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48</w:t>
            </w:r>
          </w:p>
        </w:tc>
      </w:tr>
      <w:tr w:rsidR="00C57CD9" w:rsidRPr="006017CB" w14:paraId="30A1DB00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EA7DFB" w14:textId="77777777" w:rsidR="00C57CD9" w:rsidRPr="006017CB" w:rsidRDefault="00C57CD9" w:rsidP="00C57CD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D</w:t>
            </w:r>
            <w:r>
              <w:rPr>
                <w:rFonts w:eastAsia="Times New Roman"/>
                <w:sz w:val="22"/>
                <w:szCs w:val="22"/>
                <w:lang w:val="fr-FR" w:eastAsia="fr-FR"/>
              </w:rPr>
              <w:t xml:space="preserve">ay 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EFBC48" w14:textId="4C7A3C64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74.</w:t>
            </w:r>
            <w:r w:rsidR="00DE24BD">
              <w:rPr>
                <w:rFonts w:eastAsia="Times New Roman"/>
                <w:sz w:val="22"/>
                <w:szCs w:val="22"/>
                <w:lang w:val="fr-FR" w:eastAsia="fr-FR"/>
              </w:rPr>
              <w:t>6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32.9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16F589" w14:textId="25728634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63.3 ± 24.6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D691BD" w14:textId="35932E04" w:rsidR="00C57CD9" w:rsidRPr="006017CB" w:rsidRDefault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</w:t>
            </w:r>
            <w:r w:rsidR="001131C0" w:rsidRPr="006017CB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  <w:r w:rsidR="001131C0">
              <w:rPr>
                <w:rFonts w:eastAsia="Times New Roman"/>
                <w:sz w:val="22"/>
                <w:szCs w:val="22"/>
                <w:lang w:val="fr-FR" w:eastAsia="fr-FR"/>
              </w:rPr>
              <w:t>79</w:t>
            </w:r>
          </w:p>
        </w:tc>
      </w:tr>
      <w:tr w:rsidR="00C57CD9" w:rsidRPr="006017CB" w14:paraId="3BE98AA2" w14:textId="77777777" w:rsidTr="00C57CD9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5B5296" w14:textId="77777777" w:rsidR="00C57CD9" w:rsidRPr="00C57CD9" w:rsidRDefault="00C57CD9" w:rsidP="00C57CD9">
            <w:pPr>
              <w:spacing w:after="0" w:line="240" w:lineRule="auto"/>
              <w:jc w:val="left"/>
              <w:rPr>
                <w:rFonts w:eastAsia="Times New Roman"/>
                <w:b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b/>
                <w:sz w:val="22"/>
                <w:szCs w:val="22"/>
                <w:lang w:val="fr-FR" w:eastAsia="fr-FR"/>
              </w:rPr>
              <w:t xml:space="preserve">(B) Cognitive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val="fr-FR" w:eastAsia="fr-FR"/>
              </w:rPr>
              <w:t>parameters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7C182F" w14:textId="77777777" w:rsidR="00C57CD9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B8BF28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8A3393" w14:textId="77777777" w:rsidR="00C57CD9" w:rsidRPr="006017CB" w:rsidRDefault="00C57CD9" w:rsidP="00C57CD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</w:p>
        </w:tc>
      </w:tr>
      <w:tr w:rsidR="003D145D" w:rsidRPr="006017CB" w14:paraId="247CF476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7848D7" w14:textId="77777777" w:rsidR="003D145D" w:rsidRPr="006017CB" w:rsidRDefault="003D145D" w:rsidP="00A2274B">
            <w:pPr>
              <w:spacing w:after="0" w:line="240" w:lineRule="auto"/>
              <w:ind w:left="149"/>
              <w:jc w:val="left"/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>Reaction time (</w:t>
            </w:r>
            <w:proofErr w:type="spellStart"/>
            <w:r w:rsidRPr="006017CB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>ms</w:t>
            </w:r>
            <w:proofErr w:type="spellEnd"/>
            <w:r w:rsidRPr="006017CB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8F075E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81A81E2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F581AF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 </w:t>
            </w:r>
          </w:p>
        </w:tc>
      </w:tr>
      <w:tr w:rsidR="003D145D" w:rsidRPr="006017CB" w14:paraId="7D383BE6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BB1D32" w14:textId="77777777" w:rsidR="003D145D" w:rsidRPr="006017CB" w:rsidRDefault="00112220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5BE832" w14:textId="7852E245" w:rsidR="003D145D" w:rsidRPr="006017CB" w:rsidRDefault="00744896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300.7 ± 32.4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E7A89E" w14:textId="30E7DBB6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317.6 ± 48.6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3CA950" w14:textId="49E48FB6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096</w:t>
            </w:r>
          </w:p>
        </w:tc>
      </w:tr>
      <w:tr w:rsidR="003D145D" w:rsidRPr="006017CB" w14:paraId="694A1827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15EDE96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1hr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8E2065" w14:textId="60A54FD4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305.4</w:t>
            </w:r>
            <w:r w:rsidR="00744896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38.1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7D9EED" w14:textId="7B8CE6D8" w:rsidR="003D145D" w:rsidRPr="006017CB" w:rsidRDefault="00744896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311.9 ± 48.2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46DAF0" w14:textId="26C69DF8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0.29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3</w:t>
            </w:r>
          </w:p>
        </w:tc>
      </w:tr>
      <w:tr w:rsidR="003D145D" w:rsidRPr="006017CB" w14:paraId="4E227178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8D90D2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3hr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F99D69" w14:textId="55CB2DD6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303.0 ± 35.2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1885CF" w14:textId="179C9CB5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304.0</w:t>
            </w:r>
            <w:r w:rsidR="00744896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45.9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D226AC" w14:textId="6E347855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0.9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06</w:t>
            </w:r>
          </w:p>
        </w:tc>
      </w:tr>
      <w:tr w:rsidR="003D145D" w:rsidRPr="00744896" w14:paraId="6C7205EA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67F265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D</w:t>
            </w:r>
            <w:r w:rsidR="00C57CD9">
              <w:rPr>
                <w:rFonts w:eastAsia="Times New Roman"/>
                <w:sz w:val="22"/>
                <w:szCs w:val="22"/>
                <w:lang w:val="fr-FR" w:eastAsia="fr-FR"/>
              </w:rPr>
              <w:t xml:space="preserve">ay </w:t>
            </w: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CAD274" w14:textId="11B1F369" w:rsidR="003D145D" w:rsidRPr="006017CB" w:rsidRDefault="00744896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300.8 ± 29.6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FF863BD" w14:textId="40033892" w:rsidR="003D145D" w:rsidRPr="006017CB" w:rsidRDefault="00744896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303.1</w:t>
            </w:r>
            <w:r w:rsidR="003D145D"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29.2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171AF6" w14:textId="569E11AE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0.6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58</w:t>
            </w:r>
          </w:p>
        </w:tc>
      </w:tr>
      <w:tr w:rsidR="003D145D" w:rsidRPr="00744896" w14:paraId="4DC2A83B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59C4D6" w14:textId="77777777" w:rsidR="003D145D" w:rsidRPr="006017CB" w:rsidRDefault="003D145D" w:rsidP="00A2274B">
            <w:pPr>
              <w:spacing w:after="0" w:line="240" w:lineRule="auto"/>
              <w:ind w:left="149"/>
              <w:jc w:val="lef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>Movement</w:t>
            </w:r>
            <w:proofErr w:type="spellEnd"/>
            <w:r w:rsidRPr="006017CB"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  <w:t xml:space="preserve"> time (ms)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E13610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E3C215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D9950EF" w14:textId="77777777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 </w:t>
            </w:r>
          </w:p>
        </w:tc>
      </w:tr>
      <w:tr w:rsidR="003D145D" w:rsidRPr="00744896" w14:paraId="52FF5167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BCBD3F" w14:textId="77777777" w:rsidR="003D145D" w:rsidRPr="00744896" w:rsidRDefault="00112220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B4DD3F" w14:textId="2259DE49" w:rsidR="003D145D" w:rsidRPr="00744896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val="fr-FR" w:eastAsia="fr-FR"/>
              </w:rPr>
              <w:t>512.3</w:t>
            </w:r>
            <w:r w:rsidR="00461018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117.0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989F0B" w14:textId="6B8CC97C" w:rsidR="003D145D" w:rsidRPr="00744896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744896">
              <w:rPr>
                <w:rFonts w:eastAsia="Times New Roman"/>
                <w:sz w:val="22"/>
                <w:szCs w:val="22"/>
                <w:lang w:val="fr-FR" w:eastAsia="fr-FR"/>
              </w:rPr>
              <w:t xml:space="preserve">524.9 </w:t>
            </w:r>
            <w:r w:rsidR="00461018">
              <w:rPr>
                <w:rFonts w:eastAsia="Times New Roman"/>
                <w:sz w:val="22"/>
                <w:szCs w:val="22"/>
                <w:lang w:val="fr-FR" w:eastAsia="fr-FR"/>
              </w:rPr>
              <w:t>± 126.7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11A24B7" w14:textId="1D743862" w:rsidR="003D145D" w:rsidRPr="00744896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 w:rsidRPr="00744896">
              <w:rPr>
                <w:rFonts w:eastAsia="Times New Roman"/>
                <w:sz w:val="22"/>
                <w:szCs w:val="22"/>
                <w:lang w:val="fr-FR" w:eastAsia="fr-FR"/>
              </w:rPr>
              <w:t>0.66</w:t>
            </w:r>
            <w:r w:rsidR="003B55AA">
              <w:rPr>
                <w:rFonts w:eastAsia="Times New Roman"/>
                <w:sz w:val="22"/>
                <w:szCs w:val="22"/>
                <w:lang w:val="fr-FR" w:eastAsia="fr-FR"/>
              </w:rPr>
              <w:t>0</w:t>
            </w:r>
          </w:p>
        </w:tc>
      </w:tr>
      <w:tr w:rsidR="003D145D" w:rsidRPr="00461018" w14:paraId="4849B10D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7E2BCDA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szCs w:val="22"/>
                <w:lang w:val="fr-FR" w:eastAsia="fr-FR"/>
              </w:rPr>
            </w:pPr>
            <w:r w:rsidRPr="006017CB">
              <w:rPr>
                <w:rFonts w:eastAsia="Times New Roman"/>
                <w:szCs w:val="22"/>
                <w:lang w:val="fr-FR" w:eastAsia="fr-FR"/>
              </w:rPr>
              <w:t>t</w:t>
            </w:r>
            <w:r w:rsidRPr="006017CB">
              <w:rPr>
                <w:rFonts w:eastAsia="Times New Roman"/>
                <w:szCs w:val="22"/>
                <w:vertAlign w:val="subscript"/>
                <w:lang w:val="fr-FR" w:eastAsia="fr-FR"/>
              </w:rPr>
              <w:t>1hr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73C845" w14:textId="7A358DB0" w:rsidR="003D145D" w:rsidRPr="006017CB" w:rsidRDefault="00461018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fr-FR" w:eastAsia="fr-FR"/>
              </w:rPr>
            </w:pPr>
            <w:r>
              <w:rPr>
                <w:rFonts w:eastAsia="Times New Roman"/>
                <w:sz w:val="22"/>
                <w:szCs w:val="22"/>
                <w:lang w:val="fr-FR" w:eastAsia="fr-FR"/>
              </w:rPr>
              <w:t>573.1</w:t>
            </w:r>
            <w:r w:rsidR="003D145D" w:rsidRPr="006017CB">
              <w:rPr>
                <w:rFonts w:eastAsia="Times New Roman"/>
                <w:sz w:val="22"/>
                <w:szCs w:val="22"/>
                <w:lang w:val="fr-FR" w:eastAsia="fr-FR"/>
              </w:rPr>
              <w:t xml:space="preserve"> ± 130.6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D6C713" w14:textId="025FD969" w:rsidR="003D145D" w:rsidRPr="00461018" w:rsidRDefault="00461018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 w:eastAsia="fr-FR"/>
              </w:rPr>
            </w:pP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532.</w:t>
            </w:r>
            <w:r>
              <w:rPr>
                <w:rFonts w:eastAsia="Times New Roman"/>
                <w:sz w:val="22"/>
                <w:szCs w:val="22"/>
                <w:lang w:val="en-GB" w:eastAsia="fr-FR"/>
              </w:rPr>
              <w:t>7</w:t>
            </w: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 xml:space="preserve"> ± 124.2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9FECBC" w14:textId="5226CCBE" w:rsidR="003D145D" w:rsidRPr="00461018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GB" w:eastAsia="fr-FR"/>
              </w:rPr>
            </w:pP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0.14</w:t>
            </w:r>
            <w:r w:rsidR="003B55AA">
              <w:rPr>
                <w:rFonts w:eastAsia="Times New Roman"/>
                <w:sz w:val="22"/>
                <w:szCs w:val="22"/>
                <w:lang w:val="en-GB" w:eastAsia="fr-FR"/>
              </w:rPr>
              <w:t>0</w:t>
            </w:r>
          </w:p>
        </w:tc>
      </w:tr>
      <w:tr w:rsidR="003D145D" w:rsidRPr="006017CB" w14:paraId="4FECCCBD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1A27DF" w14:textId="77777777" w:rsidR="003D145D" w:rsidRPr="00461018" w:rsidRDefault="003D145D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2"/>
                <w:lang w:val="en-GB" w:eastAsia="fr-FR"/>
              </w:rPr>
            </w:pPr>
            <w:r w:rsidRPr="00461018">
              <w:rPr>
                <w:rFonts w:eastAsia="Times New Roman"/>
                <w:szCs w:val="22"/>
                <w:lang w:val="en-GB" w:eastAsia="fr-FR"/>
              </w:rPr>
              <w:t>t</w:t>
            </w:r>
            <w:r w:rsidRPr="00461018">
              <w:rPr>
                <w:rFonts w:eastAsia="Times New Roman"/>
                <w:szCs w:val="22"/>
                <w:vertAlign w:val="subscript"/>
                <w:lang w:val="en-GB" w:eastAsia="fr-FR"/>
              </w:rPr>
              <w:t>3hr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788248" w14:textId="345DD9F4" w:rsidR="003D145D" w:rsidRPr="006017CB" w:rsidRDefault="00461018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541.</w:t>
            </w:r>
            <w:r>
              <w:rPr>
                <w:rFonts w:eastAsia="Times New Roman"/>
                <w:sz w:val="22"/>
                <w:szCs w:val="22"/>
                <w:lang w:val="en-GB" w:eastAsia="fr-FR"/>
              </w:rPr>
              <w:t>3</w:t>
            </w:r>
            <w:r w:rsidR="003D145D" w:rsidRPr="00461018">
              <w:rPr>
                <w:rFonts w:eastAsia="Times New Roman"/>
                <w:sz w:val="22"/>
                <w:szCs w:val="22"/>
                <w:lang w:val="en-GB" w:eastAsia="fr-FR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GB" w:eastAsia="fr-FR"/>
              </w:rPr>
              <w:t>± 135.4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2AF00E" w14:textId="1FCD0232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580.</w:t>
            </w:r>
            <w:r w:rsidR="00461018">
              <w:rPr>
                <w:rFonts w:eastAsia="Times New Roman"/>
                <w:sz w:val="22"/>
                <w:szCs w:val="22"/>
                <w:lang w:eastAsia="fr-FR"/>
              </w:rPr>
              <w:t>5</w:t>
            </w:r>
            <w:r w:rsidRPr="006017CB">
              <w:rPr>
                <w:rFonts w:eastAsia="Times New Roman"/>
                <w:sz w:val="22"/>
                <w:szCs w:val="22"/>
                <w:lang w:eastAsia="fr-FR"/>
              </w:rPr>
              <w:t xml:space="preserve"> </w:t>
            </w: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± 203.7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481225" w14:textId="4D17CC54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0.40</w:t>
            </w:r>
            <w:r w:rsidR="003B55AA">
              <w:rPr>
                <w:rFonts w:eastAsia="Times New Roman"/>
                <w:sz w:val="22"/>
                <w:szCs w:val="22"/>
                <w:lang w:eastAsia="fr-FR"/>
              </w:rPr>
              <w:t>2</w:t>
            </w:r>
          </w:p>
        </w:tc>
      </w:tr>
      <w:tr w:rsidR="003D145D" w:rsidRPr="006017CB" w14:paraId="6637DECA" w14:textId="77777777" w:rsidTr="00C57CD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774A72" w14:textId="77777777" w:rsidR="003D145D" w:rsidRPr="006017CB" w:rsidRDefault="003D145D" w:rsidP="00DC6C9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</w:pP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D</w:t>
            </w:r>
            <w:r w:rsidR="00C57CD9">
              <w:rPr>
                <w:rFonts w:eastAsia="Times New Roman"/>
                <w:sz w:val="22"/>
                <w:szCs w:val="22"/>
                <w:lang w:val="en-GB" w:eastAsia="fr-FR"/>
              </w:rPr>
              <w:t xml:space="preserve">ay </w:t>
            </w: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D6FE4CF" w14:textId="415162D4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 xml:space="preserve">514.7 </w:t>
            </w: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± 73.3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A9BA88" w14:textId="14FA6809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 xml:space="preserve">504.7 </w:t>
            </w:r>
            <w:r w:rsidRPr="00461018">
              <w:rPr>
                <w:rFonts w:eastAsia="Times New Roman"/>
                <w:sz w:val="22"/>
                <w:szCs w:val="22"/>
                <w:lang w:val="en-GB" w:eastAsia="fr-FR"/>
              </w:rPr>
              <w:t>± 88.2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65CB60" w14:textId="6575ECA5" w:rsidR="003D145D" w:rsidRPr="006017CB" w:rsidRDefault="003D145D" w:rsidP="00DC6C9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6017CB">
              <w:rPr>
                <w:rFonts w:eastAsia="Times New Roman"/>
                <w:sz w:val="22"/>
                <w:szCs w:val="22"/>
                <w:lang w:eastAsia="fr-FR"/>
              </w:rPr>
              <w:t>0.6</w:t>
            </w:r>
            <w:r w:rsidR="003B55AA">
              <w:rPr>
                <w:rFonts w:eastAsia="Times New Roman"/>
                <w:sz w:val="22"/>
                <w:szCs w:val="22"/>
                <w:lang w:eastAsia="fr-FR"/>
              </w:rPr>
              <w:t>29</w:t>
            </w:r>
          </w:p>
        </w:tc>
      </w:tr>
    </w:tbl>
    <w:p w14:paraId="086ADF13" w14:textId="77777777" w:rsidR="003D145D" w:rsidRPr="006017CB" w:rsidRDefault="003D145D" w:rsidP="003D145D">
      <w:pPr>
        <w:rPr>
          <w:iCs/>
        </w:rPr>
      </w:pPr>
    </w:p>
    <w:p w14:paraId="06FCA0C4" w14:textId="1B9DB9CC" w:rsidR="000355B4" w:rsidRPr="00A62625" w:rsidRDefault="003D145D">
      <w:pPr>
        <w:rPr>
          <w:iCs/>
          <w:szCs w:val="18"/>
        </w:rPr>
      </w:pPr>
      <w:r w:rsidRPr="00A2274B">
        <w:rPr>
          <w:iCs/>
        </w:rPr>
        <w:t xml:space="preserve">No significant difference was observed between treatment groups concerning raw values of </w:t>
      </w:r>
      <w:r w:rsidR="00A62625" w:rsidRPr="00A2274B">
        <w:rPr>
          <w:iCs/>
        </w:rPr>
        <w:t xml:space="preserve">mechanical pain thresholds in </w:t>
      </w:r>
      <w:r w:rsidR="00A2274B" w:rsidRPr="00A2274B">
        <w:rPr>
          <w:iCs/>
        </w:rPr>
        <w:t>secondary hyper</w:t>
      </w:r>
      <w:r w:rsidR="00A2274B">
        <w:rPr>
          <w:iCs/>
        </w:rPr>
        <w:t>al</w:t>
      </w:r>
      <w:r w:rsidR="00A2274B" w:rsidRPr="00A2274B">
        <w:rPr>
          <w:iCs/>
        </w:rPr>
        <w:t xml:space="preserve">gesia, primary hyperalgesia, healthy </w:t>
      </w:r>
      <w:proofErr w:type="gramStart"/>
      <w:r w:rsidR="00A2274B" w:rsidRPr="00A2274B">
        <w:rPr>
          <w:iCs/>
        </w:rPr>
        <w:t>skin</w:t>
      </w:r>
      <w:r w:rsidRPr="00A2274B">
        <w:rPr>
          <w:iCs/>
        </w:rPr>
        <w:t>,,</w:t>
      </w:r>
      <w:proofErr w:type="gramEnd"/>
      <w:r w:rsidRPr="00A2274B">
        <w:rPr>
          <w:iCs/>
        </w:rPr>
        <w:t xml:space="preserve"> </w:t>
      </w:r>
      <w:r w:rsidR="00A62625" w:rsidRPr="00A2274B">
        <w:rPr>
          <w:iCs/>
        </w:rPr>
        <w:t xml:space="preserve">and in </w:t>
      </w:r>
      <w:r w:rsidRPr="00A2274B">
        <w:rPr>
          <w:iCs/>
        </w:rPr>
        <w:t>reaction time and movement time.</w:t>
      </w:r>
    </w:p>
    <w:sectPr w:rsidR="000355B4" w:rsidRPr="00A626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7818" w14:textId="77777777" w:rsidR="00FB1D3B" w:rsidRDefault="00FB1D3B">
      <w:pPr>
        <w:spacing w:after="0" w:line="240" w:lineRule="auto"/>
      </w:pPr>
      <w:r>
        <w:separator/>
      </w:r>
    </w:p>
  </w:endnote>
  <w:endnote w:type="continuationSeparator" w:id="0">
    <w:p w14:paraId="212055AB" w14:textId="77777777" w:rsidR="00FB1D3B" w:rsidRDefault="00FB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626043"/>
      <w:docPartObj>
        <w:docPartGallery w:val="Page Numbers (Bottom of Page)"/>
        <w:docPartUnique/>
      </w:docPartObj>
    </w:sdtPr>
    <w:sdtEndPr/>
    <w:sdtContent>
      <w:p w14:paraId="5F5A3D2A" w14:textId="35A16DBB" w:rsidR="006B4FF4" w:rsidRDefault="003D145D" w:rsidP="0054712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BD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23E9610E" w14:textId="77777777" w:rsidR="006B4FF4" w:rsidRDefault="00FB1D3B" w:rsidP="00547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7AFC" w14:textId="77777777" w:rsidR="00FB1D3B" w:rsidRDefault="00FB1D3B">
      <w:pPr>
        <w:spacing w:after="0" w:line="240" w:lineRule="auto"/>
      </w:pPr>
      <w:r>
        <w:separator/>
      </w:r>
    </w:p>
  </w:footnote>
  <w:footnote w:type="continuationSeparator" w:id="0">
    <w:p w14:paraId="02C728AE" w14:textId="77777777" w:rsidR="00FB1D3B" w:rsidRDefault="00FB1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5D"/>
    <w:rsid w:val="00010EA5"/>
    <w:rsid w:val="000355B4"/>
    <w:rsid w:val="00104277"/>
    <w:rsid w:val="00112220"/>
    <w:rsid w:val="001131C0"/>
    <w:rsid w:val="00145BC8"/>
    <w:rsid w:val="00287DD4"/>
    <w:rsid w:val="003B55AA"/>
    <w:rsid w:val="003D145D"/>
    <w:rsid w:val="003F53B1"/>
    <w:rsid w:val="00461018"/>
    <w:rsid w:val="004D7115"/>
    <w:rsid w:val="005D10B9"/>
    <w:rsid w:val="006017CB"/>
    <w:rsid w:val="006820A1"/>
    <w:rsid w:val="006A06F1"/>
    <w:rsid w:val="007416E9"/>
    <w:rsid w:val="00744896"/>
    <w:rsid w:val="007A7988"/>
    <w:rsid w:val="00871238"/>
    <w:rsid w:val="008968F1"/>
    <w:rsid w:val="008D09E8"/>
    <w:rsid w:val="009A2197"/>
    <w:rsid w:val="009E604C"/>
    <w:rsid w:val="00A2274B"/>
    <w:rsid w:val="00A62625"/>
    <w:rsid w:val="00AB1EA8"/>
    <w:rsid w:val="00B1342A"/>
    <w:rsid w:val="00B31DDF"/>
    <w:rsid w:val="00C57CD9"/>
    <w:rsid w:val="00CC1431"/>
    <w:rsid w:val="00CF25C0"/>
    <w:rsid w:val="00DB7149"/>
    <w:rsid w:val="00DE24BD"/>
    <w:rsid w:val="00E939A1"/>
    <w:rsid w:val="00F15053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F878"/>
  <w15:docId w15:val="{F63E1ABE-B8CD-4865-BD72-A3322B1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45D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D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45D"/>
    <w:rPr>
      <w:rFonts w:ascii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57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4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Martin</dc:creator>
  <cp:lastModifiedBy>CPC</cp:lastModifiedBy>
  <cp:revision>2</cp:revision>
  <dcterms:created xsi:type="dcterms:W3CDTF">2019-03-15T21:36:00Z</dcterms:created>
  <dcterms:modified xsi:type="dcterms:W3CDTF">2019-03-15T21:36:00Z</dcterms:modified>
</cp:coreProperties>
</file>