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C0611" w14:textId="3DBBC792" w:rsidR="00750883" w:rsidRPr="00E90B8A" w:rsidRDefault="00E90B8A">
      <w:pPr>
        <w:rPr>
          <w:b/>
        </w:rPr>
      </w:pPr>
      <w:r w:rsidRPr="00E90B8A">
        <w:rPr>
          <w:b/>
        </w:rPr>
        <w:t xml:space="preserve">Appendix. Additional Figures </w:t>
      </w:r>
    </w:p>
    <w:p w14:paraId="5C414ED5" w14:textId="77777777" w:rsidR="00E90B8A" w:rsidRPr="00E90B8A" w:rsidRDefault="00E90B8A" w:rsidP="00E90B8A">
      <w:r w:rsidRPr="00E90B8A">
        <w:t xml:space="preserve">Appendix Figure 1 - Number of Patients undergoing TKA every month within the VHA: January 2010 </w:t>
      </w:r>
      <w:r w:rsidRPr="00E90B8A">
        <w:rPr>
          <w:cs/>
          <w:lang w:bidi="mr-IN"/>
        </w:rPr>
        <w:t>–</w:t>
      </w:r>
      <w:r w:rsidRPr="00E90B8A">
        <w:t xml:space="preserve"> December 2015.</w:t>
      </w:r>
    </w:p>
    <w:p w14:paraId="507A2A34" w14:textId="77777777" w:rsidR="00E90B8A" w:rsidRPr="00E90B8A" w:rsidRDefault="00E90B8A" w:rsidP="00E90B8A">
      <w:r w:rsidRPr="00E90B8A">
        <w:t>Legend: The number of patients undergoing TKA (y-axis) increased on average over time (x-axis) by ~2.41 patients per month.</w:t>
      </w:r>
    </w:p>
    <w:p w14:paraId="67E40234" w14:textId="02751214" w:rsidR="00E90B8A" w:rsidRDefault="00D74A62">
      <w:r w:rsidRPr="00D74A62">
        <w:rPr>
          <w:noProof/>
        </w:rPr>
        <w:drawing>
          <wp:inline distT="0" distB="0" distL="0" distR="0" wp14:anchorId="76E6A2E6" wp14:editId="0CB726BE">
            <wp:extent cx="5486400" cy="497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972685"/>
                    </a:xfrm>
                    <a:prstGeom prst="rect">
                      <a:avLst/>
                    </a:prstGeom>
                    <a:noFill/>
                    <a:ln>
                      <a:noFill/>
                    </a:ln>
                  </pic:spPr>
                </pic:pic>
              </a:graphicData>
            </a:graphic>
          </wp:inline>
        </w:drawing>
      </w:r>
    </w:p>
    <w:p w14:paraId="65A33116" w14:textId="6955EF1C" w:rsidR="00E90B8A" w:rsidRDefault="00E90B8A">
      <w:bookmarkStart w:id="0" w:name="_GoBack"/>
      <w:bookmarkEnd w:id="0"/>
    </w:p>
    <w:p w14:paraId="774DE565" w14:textId="77777777" w:rsidR="00E90B8A" w:rsidRDefault="00E90B8A">
      <w:r>
        <w:br w:type="page"/>
      </w:r>
    </w:p>
    <w:p w14:paraId="7C30F6B0" w14:textId="77777777" w:rsidR="00E90B8A" w:rsidRPr="00E90B8A" w:rsidRDefault="00E90B8A" w:rsidP="00E90B8A">
      <w:r w:rsidRPr="00E90B8A">
        <w:lastRenderedPageBreak/>
        <w:t>Appendix Figure 2 - Changes in Chronic Postoperative Opioid Use in Preoperatively Naïve (top) versus Opioid Using Populations (bottom).</w:t>
      </w:r>
    </w:p>
    <w:p w14:paraId="7D74BC0A" w14:textId="77777777" w:rsidR="00E90B8A" w:rsidRPr="00E90B8A" w:rsidRDefault="00E90B8A" w:rsidP="00E90B8A">
      <w:r w:rsidRPr="00E90B8A">
        <w:t xml:space="preserve">Legend: The proportion of patients with chronic postoperative opioid use (per 1000 TKAs) decreased every month in both groups but the significant and sustained decline after roll out of the OSI (interrupted vertical line) occurred  the preoperatively opioid-naïve </w:t>
      </w:r>
      <w:proofErr w:type="spellStart"/>
      <w:r w:rsidRPr="00E90B8A">
        <w:t>population.The</w:t>
      </w:r>
      <w:proofErr w:type="spellEnd"/>
      <w:r w:rsidRPr="00E90B8A">
        <w:t xml:space="preserve"> OSI had led to 265 [95% CI, 76 to 453] fewer preoperatively naive patients becoming chronic postoperative opioid users (top panel). In contrast, there was an initial impact on the rate of chronic postoperative opioid use in the chronic preoperative opioid </w:t>
      </w:r>
      <w:proofErr w:type="gramStart"/>
      <w:r w:rsidRPr="00E90B8A">
        <w:t>users</w:t>
      </w:r>
      <w:proofErr w:type="gramEnd"/>
      <w:r w:rsidRPr="00E90B8A">
        <w:t xml:space="preserve"> but the impact was not sustained (bottom panel). Observed </w:t>
      </w:r>
      <w:r w:rsidRPr="00E90B8A">
        <w:rPr>
          <w:lang w:val="is-IS"/>
        </w:rPr>
        <w:t xml:space="preserve">numbers of </w:t>
      </w:r>
      <w:r w:rsidRPr="00E90B8A">
        <w:t>chronic postoperative opioid users (</w:t>
      </w:r>
      <w:r w:rsidRPr="00E90B8A">
        <w:rPr>
          <w:lang w:val="is-IS"/>
        </w:rPr>
        <w:t xml:space="preserve">3493) </w:t>
      </w:r>
      <w:r w:rsidRPr="00E90B8A">
        <w:t>were slightly (</w:t>
      </w:r>
      <w:r w:rsidRPr="00E90B8A">
        <w:rPr>
          <w:lang w:val="is-IS"/>
        </w:rPr>
        <w:t xml:space="preserve">241 fewer patients) below expected (3735) but the </w:t>
      </w:r>
      <w:r w:rsidRPr="00E90B8A">
        <w:t>95% CI included the null</w:t>
      </w:r>
      <w:r w:rsidRPr="00E90B8A">
        <w:rPr>
          <w:lang w:val="is-IS"/>
        </w:rPr>
        <w:t xml:space="preserve"> [-54 to +537].</w:t>
      </w:r>
    </w:p>
    <w:p w14:paraId="4CCABB8C" w14:textId="779D9663" w:rsidR="00E90B8A" w:rsidRDefault="00E90B8A"/>
    <w:p w14:paraId="739F48D7" w14:textId="0CA42EC9" w:rsidR="00E90B8A" w:rsidRDefault="00E90B8A">
      <w:r>
        <w:rPr>
          <w:noProof/>
        </w:rPr>
        <w:drawing>
          <wp:inline distT="0" distB="0" distL="0" distR="0" wp14:anchorId="26E0FC8B" wp14:editId="7938A1CD">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figure 2.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1A38B7F" w14:textId="13437E25" w:rsidR="00E90B8A" w:rsidRDefault="00E90B8A">
      <w:r>
        <w:br w:type="page"/>
      </w:r>
    </w:p>
    <w:p w14:paraId="1B2F86B2" w14:textId="77777777" w:rsidR="00E90B8A" w:rsidRPr="00E90B8A" w:rsidRDefault="00E90B8A" w:rsidP="00E90B8A">
      <w:r w:rsidRPr="00E90B8A">
        <w:lastRenderedPageBreak/>
        <w:t>Appendix Figure 3 - Mean postoperative versus preoperative pain scores in patients undergoing Total Knee Arthroplasty in the VHA between January 2010 – December 2015.</w:t>
      </w:r>
    </w:p>
    <w:p w14:paraId="094F1928" w14:textId="77777777" w:rsidR="00E90B8A" w:rsidRPr="00E90B8A" w:rsidRDefault="00E90B8A" w:rsidP="00E90B8A">
      <w:r w:rsidRPr="00E90B8A">
        <w:t xml:space="preserve">Legend – Differences between mean postoperative versus mean preoperative pain scores averaged at the population level (y-axis), over 72 consecutive months (x-axis). Negative values imply that mean postoperative scores were lower than mean preoperative scores. Comparing predicted with actual differences, we found a statistically significant but clinically minimal increase in postoperative pain scores after implementation of the opioid safety initiative. Before this intervention, mean postoperative scores were 0.81 points lower than mean preoperative scores. Based on this we predicted a difference of 0.83 points after the OSI. But, we found a difference of 0.67 points. </w:t>
      </w:r>
      <w:proofErr w:type="gramStart"/>
      <w:r w:rsidRPr="00E90B8A">
        <w:t>So</w:t>
      </w:r>
      <w:proofErr w:type="gramEnd"/>
      <w:r w:rsidRPr="00E90B8A">
        <w:t xml:space="preserve"> mean postoperative pain scores, although lower than mean preoperative scores, had on average increased by +0.16 (+0.05 to +0.27) points.</w:t>
      </w:r>
    </w:p>
    <w:p w14:paraId="27EAE464" w14:textId="5DE8F16B" w:rsidR="00E90B8A" w:rsidRDefault="00E90B8A">
      <w:r w:rsidRPr="00E90B8A">
        <w:rPr>
          <w:noProof/>
        </w:rPr>
        <w:drawing>
          <wp:inline distT="0" distB="0" distL="0" distR="0" wp14:anchorId="6562E61A" wp14:editId="1BD072EF">
            <wp:extent cx="4896906" cy="5670550"/>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t="14736" b="15790"/>
                    <a:stretch/>
                  </pic:blipFill>
                  <pic:spPr>
                    <a:xfrm>
                      <a:off x="0" y="0"/>
                      <a:ext cx="4900605" cy="5674834"/>
                    </a:xfrm>
                    <a:prstGeom prst="rect">
                      <a:avLst/>
                    </a:prstGeom>
                  </pic:spPr>
                </pic:pic>
              </a:graphicData>
            </a:graphic>
          </wp:inline>
        </w:drawing>
      </w:r>
    </w:p>
    <w:p w14:paraId="4C829001" w14:textId="77777777" w:rsidR="00E90B8A" w:rsidRDefault="00E90B8A">
      <w:r>
        <w:br w:type="page"/>
      </w:r>
    </w:p>
    <w:p w14:paraId="0EA1B0AB" w14:textId="77777777" w:rsidR="00E90B8A" w:rsidRPr="00E90B8A" w:rsidRDefault="00E90B8A" w:rsidP="00E90B8A">
      <w:r w:rsidRPr="00E90B8A">
        <w:lastRenderedPageBreak/>
        <w:t xml:space="preserve">Appendix Figure 4 - Chronic Postoperative Opioid Use: 2010 </w:t>
      </w:r>
      <w:r w:rsidRPr="00E90B8A">
        <w:rPr>
          <w:cs/>
          <w:lang w:bidi="mr-IN"/>
        </w:rPr>
        <w:t>–</w:t>
      </w:r>
      <w:r w:rsidRPr="00E90B8A">
        <w:t xml:space="preserve"> 2015.</w:t>
      </w:r>
    </w:p>
    <w:p w14:paraId="6C03531B" w14:textId="49CEE43F" w:rsidR="00E90B8A" w:rsidRPr="00E90B8A" w:rsidRDefault="00E90B8A" w:rsidP="00E90B8A">
      <w:r w:rsidRPr="00E90B8A">
        <w:t xml:space="preserve">Legend: The number of patients with chronic postoperative opioid use (per 1000 veterans undergoing TKA), on the Y-axis is plotted over 72 consecutive months (on the X-axis). There was a significant reduction after October 2013, by which time roll out of the OSI was </w:t>
      </w:r>
      <w:proofErr w:type="spellStart"/>
      <w:r w:rsidRPr="00E90B8A">
        <w:t>completed.The</w:t>
      </w:r>
      <w:proofErr w:type="spellEnd"/>
      <w:r w:rsidRPr="00E90B8A">
        <w:t xml:space="preserve"> segmented linear regression model is composed of a Baseline Intercept ([β_0] in the equation below), the rate in January 2010, a term representing the overall effect of ‘Time’ (linear trend over 72 months), a term representing the one-time effect of ‘Introduction of Policy’ (a binary indicator to assess the change in the slope following rollout of the OSI (Policy), and a term representing the effect of ‘Time’ after October 2013 (linear trend over 27 months, Policy*Trend ranging from 1[October 2013] to 27 [December 2015]). </w:t>
      </w:r>
      <m:oMath>
        <m:sSub>
          <m:sSubPr>
            <m:ctrlPr>
              <w:rPr>
                <w:rFonts w:ascii="Cambria Math" w:hAnsi="Cambria Math"/>
                <w:i/>
                <w:iCs/>
              </w:rPr>
            </m:ctrlPr>
          </m:sSubPr>
          <m:e>
            <m:r>
              <w:rPr>
                <w:rFonts w:ascii="Cambria Math" w:hAnsi="Cambria Math"/>
              </w:rPr>
              <m:t>Y</m:t>
            </m:r>
          </m:e>
          <m:sub>
            <m:r>
              <w:rPr>
                <w:rFonts w:ascii="Cambria Math" w:hAnsi="Cambria Math"/>
              </w:rPr>
              <m:t>t</m:t>
            </m:r>
          </m:sub>
        </m:sSub>
        <m:r>
          <w:rPr>
            <w:rFonts w:ascii="Cambria Math" w:hAnsi="Cambria Math"/>
          </w:rPr>
          <m:t>= </m:t>
        </m:r>
        <m:sSub>
          <m:sSubPr>
            <m:ctrlPr>
              <w:rPr>
                <w:rFonts w:ascii="Cambria Math" w:hAnsi="Cambria Math"/>
                <w:i/>
                <w:iCs/>
              </w:rPr>
            </m:ctrlPr>
          </m:sSubPr>
          <m:e>
            <m:r>
              <w:rPr>
                <w:rFonts w:ascii="Cambria Math" w:hAnsi="Cambria Math"/>
              </w:rPr>
              <m:t>β</m:t>
            </m:r>
          </m:e>
          <m:sub>
            <m:r>
              <w:rPr>
                <w:rFonts w:ascii="Cambria Math" w:hAnsi="Cambria Math"/>
              </w:rPr>
              <m:t>0</m:t>
            </m:r>
          </m:sub>
        </m:sSub>
        <m:r>
          <w:rPr>
            <w:rFonts w:ascii="Cambria Math" w:hAnsi="Cambria Math"/>
          </w:rPr>
          <m:t>+ </m:t>
        </m:r>
        <m:sSub>
          <m:sSubPr>
            <m:ctrlPr>
              <w:rPr>
                <w:rFonts w:ascii="Cambria Math" w:hAnsi="Cambria Math"/>
                <w:i/>
                <w:iCs/>
              </w:rPr>
            </m:ctrlPr>
          </m:sSubPr>
          <m:e>
            <m:r>
              <w:rPr>
                <w:rFonts w:ascii="Cambria Math" w:hAnsi="Cambria Math"/>
              </w:rPr>
              <m:t>β</m:t>
            </m:r>
          </m:e>
          <m:sub>
            <m:r>
              <w:rPr>
                <w:rFonts w:ascii="Cambria Math" w:hAnsi="Cambria Math"/>
              </w:rPr>
              <m:t>1</m:t>
            </m:r>
          </m:sub>
        </m:sSub>
        <m:r>
          <w:rPr>
            <w:rFonts w:ascii="Cambria Math" w:hAnsi="Cambria Math"/>
          </w:rPr>
          <m:t>TIME+</m:t>
        </m:r>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POLICY+ </m:t>
        </m:r>
        <m:sSub>
          <m:sSubPr>
            <m:ctrlPr>
              <w:rPr>
                <w:rFonts w:ascii="Cambria Math" w:hAnsi="Cambria Math"/>
                <w:i/>
                <w:iCs/>
              </w:rPr>
            </m:ctrlPr>
          </m:sSubPr>
          <m:e>
            <m:r>
              <w:rPr>
                <w:rFonts w:ascii="Cambria Math" w:hAnsi="Cambria Math"/>
              </w:rPr>
              <m:t>β</m:t>
            </m:r>
          </m:e>
          <m:sub>
            <m:r>
              <w:rPr>
                <w:rFonts w:ascii="Cambria Math" w:hAnsi="Cambria Math"/>
              </w:rPr>
              <m:t>3</m:t>
            </m:r>
          </m:sub>
        </m:sSub>
        <m:r>
          <w:rPr>
            <w:rFonts w:ascii="Cambria Math" w:hAnsi="Cambria Math"/>
          </w:rPr>
          <m:t>POLICY*TREND</m:t>
        </m:r>
      </m:oMath>
    </w:p>
    <w:p w14:paraId="5E898CBC" w14:textId="715DD632" w:rsidR="00E90B8A" w:rsidRDefault="00E90B8A">
      <w:r w:rsidRPr="00E90B8A">
        <w:rPr>
          <w:noProof/>
        </w:rPr>
        <w:drawing>
          <wp:inline distT="0" distB="0" distL="0" distR="0" wp14:anchorId="3191FEB0" wp14:editId="2622827C">
            <wp:extent cx="5226050" cy="5596229"/>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extLst>
                        <a:ext uri="{28A0092B-C50C-407E-A947-70E740481C1C}">
                          <a14:useLocalDpi xmlns:a14="http://schemas.microsoft.com/office/drawing/2010/main" val="0"/>
                        </a:ext>
                      </a:extLst>
                    </a:blip>
                    <a:srcRect t="14504" b="14395"/>
                    <a:stretch/>
                  </pic:blipFill>
                  <pic:spPr>
                    <a:xfrm>
                      <a:off x="0" y="0"/>
                      <a:ext cx="5232890" cy="5603554"/>
                    </a:xfrm>
                    <a:prstGeom prst="rect">
                      <a:avLst/>
                    </a:prstGeom>
                  </pic:spPr>
                </pic:pic>
              </a:graphicData>
            </a:graphic>
          </wp:inline>
        </w:drawing>
      </w:r>
    </w:p>
    <w:p w14:paraId="37EF1D1F" w14:textId="77777777" w:rsidR="00E90B8A" w:rsidRDefault="00E90B8A">
      <w:r>
        <w:br w:type="page"/>
      </w:r>
    </w:p>
    <w:p w14:paraId="38DE8B70" w14:textId="77777777" w:rsidR="00E90B8A" w:rsidRPr="00E90B8A" w:rsidRDefault="00E90B8A" w:rsidP="00E90B8A">
      <w:r w:rsidRPr="00E90B8A">
        <w:lastRenderedPageBreak/>
        <w:t xml:space="preserve">Appendix Figure 5 - Chronic Preoperative Opioid Use: 2010 </w:t>
      </w:r>
      <w:r w:rsidRPr="00E90B8A">
        <w:rPr>
          <w:cs/>
          <w:lang w:bidi="mr-IN"/>
        </w:rPr>
        <w:t>–</w:t>
      </w:r>
      <w:r w:rsidRPr="00E90B8A">
        <w:t xml:space="preserve"> 2015.</w:t>
      </w:r>
    </w:p>
    <w:p w14:paraId="4C981D55" w14:textId="77777777" w:rsidR="00E90B8A" w:rsidRPr="00E90B8A" w:rsidRDefault="00E90B8A" w:rsidP="00E90B8A">
      <w:r w:rsidRPr="00E90B8A">
        <w:t xml:space="preserve">Legend: The number of patients with chronic preoperative opioid use (per 1000 veterans undergoing TKA), on the Y-axis is plotted over 72 consecutive months (on the X-axis). There was a significant reduction after October 2013, by which time roll out of the OSI was completed. </w:t>
      </w:r>
    </w:p>
    <w:p w14:paraId="02AA10F6" w14:textId="77777777" w:rsidR="00E90B8A" w:rsidRPr="00E90B8A" w:rsidRDefault="00E90B8A" w:rsidP="00E90B8A">
      <w:r w:rsidRPr="00E90B8A">
        <w:t xml:space="preserve">The segmented linear regression model is composed of a Baseline Intercept ([β_0] in the equation below), the rate in January 2010, a term representing the overall effect of ‘Time’ (linear trend over 72 months), a term representing the one-time effect of ‘Introduction of Policy’ (a binary indicator to assess the change in the slope following rollout of the OSI (Policy), and a term representing the effect of ‘Time’ after October 2013 (linear trend over 27 months, Policy*Trend ranging from 1[October 2013] to 27 [December 2015]). </w:t>
      </w:r>
    </w:p>
    <w:p w14:paraId="515960FE" w14:textId="33014B72" w:rsidR="00E90B8A" w:rsidRPr="00E90B8A" w:rsidRDefault="00E90B8A" w:rsidP="00E90B8A">
      <w:r w:rsidRPr="00E90B8A">
        <w:t xml:space="preserve"> </w:t>
      </w:r>
      <m:oMath>
        <m:sSub>
          <m:sSubPr>
            <m:ctrlPr>
              <w:rPr>
                <w:rFonts w:ascii="Cambria Math" w:hAnsi="Cambria Math"/>
                <w:i/>
                <w:iCs/>
              </w:rPr>
            </m:ctrlPr>
          </m:sSubPr>
          <m:e>
            <m:r>
              <w:rPr>
                <w:rFonts w:ascii="Cambria Math" w:hAnsi="Cambria Math"/>
              </w:rPr>
              <m:t>Y</m:t>
            </m:r>
          </m:e>
          <m:sub>
            <m:r>
              <w:rPr>
                <w:rFonts w:ascii="Cambria Math" w:hAnsi="Cambria Math"/>
              </w:rPr>
              <m:t>t</m:t>
            </m:r>
          </m:sub>
        </m:sSub>
        <m:r>
          <w:rPr>
            <w:rFonts w:ascii="Cambria Math" w:hAnsi="Cambria Math"/>
          </w:rPr>
          <m:t>= </m:t>
        </m:r>
        <m:sSub>
          <m:sSubPr>
            <m:ctrlPr>
              <w:rPr>
                <w:rFonts w:ascii="Cambria Math" w:hAnsi="Cambria Math"/>
                <w:i/>
                <w:iCs/>
              </w:rPr>
            </m:ctrlPr>
          </m:sSubPr>
          <m:e>
            <m:r>
              <w:rPr>
                <w:rFonts w:ascii="Cambria Math" w:hAnsi="Cambria Math"/>
              </w:rPr>
              <m:t>β</m:t>
            </m:r>
          </m:e>
          <m:sub>
            <m:r>
              <w:rPr>
                <w:rFonts w:ascii="Cambria Math" w:hAnsi="Cambria Math"/>
              </w:rPr>
              <m:t>0</m:t>
            </m:r>
          </m:sub>
        </m:sSub>
        <m:r>
          <w:rPr>
            <w:rFonts w:ascii="Cambria Math" w:hAnsi="Cambria Math"/>
          </w:rPr>
          <m:t>+ </m:t>
        </m:r>
        <m:sSub>
          <m:sSubPr>
            <m:ctrlPr>
              <w:rPr>
                <w:rFonts w:ascii="Cambria Math" w:hAnsi="Cambria Math"/>
                <w:i/>
                <w:iCs/>
              </w:rPr>
            </m:ctrlPr>
          </m:sSubPr>
          <m:e>
            <m:r>
              <w:rPr>
                <w:rFonts w:ascii="Cambria Math" w:hAnsi="Cambria Math"/>
              </w:rPr>
              <m:t>β</m:t>
            </m:r>
          </m:e>
          <m:sub>
            <m:r>
              <w:rPr>
                <w:rFonts w:ascii="Cambria Math" w:hAnsi="Cambria Math"/>
              </w:rPr>
              <m:t>1</m:t>
            </m:r>
          </m:sub>
        </m:sSub>
        <m:r>
          <w:rPr>
            <w:rFonts w:ascii="Cambria Math" w:hAnsi="Cambria Math"/>
          </w:rPr>
          <m:t>TIME+</m:t>
        </m:r>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POLICY+ </m:t>
        </m:r>
        <m:sSub>
          <m:sSubPr>
            <m:ctrlPr>
              <w:rPr>
                <w:rFonts w:ascii="Cambria Math" w:hAnsi="Cambria Math"/>
                <w:i/>
                <w:iCs/>
              </w:rPr>
            </m:ctrlPr>
          </m:sSubPr>
          <m:e>
            <m:r>
              <w:rPr>
                <w:rFonts w:ascii="Cambria Math" w:hAnsi="Cambria Math"/>
              </w:rPr>
              <m:t>β</m:t>
            </m:r>
          </m:e>
          <m:sub>
            <m:r>
              <w:rPr>
                <w:rFonts w:ascii="Cambria Math" w:hAnsi="Cambria Math"/>
              </w:rPr>
              <m:t>3</m:t>
            </m:r>
          </m:sub>
        </m:sSub>
        <m:r>
          <w:rPr>
            <w:rFonts w:ascii="Cambria Math" w:hAnsi="Cambria Math"/>
          </w:rPr>
          <m:t>POLICY*TREND</m:t>
        </m:r>
      </m:oMath>
    </w:p>
    <w:p w14:paraId="57C31086" w14:textId="762C4D8C" w:rsidR="00E90B8A" w:rsidRDefault="00E90B8A">
      <w:r w:rsidRPr="00E90B8A">
        <w:rPr>
          <w:noProof/>
        </w:rPr>
        <w:drawing>
          <wp:inline distT="0" distB="0" distL="0" distR="0" wp14:anchorId="131C57CC" wp14:editId="52A9C360">
            <wp:extent cx="4699000" cy="5042723"/>
            <wp:effectExtent l="0" t="0" r="6350"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a:extLst>
                        <a:ext uri="{28A0092B-C50C-407E-A947-70E740481C1C}">
                          <a14:useLocalDpi xmlns:a14="http://schemas.microsoft.com/office/drawing/2010/main" val="0"/>
                        </a:ext>
                      </a:extLst>
                    </a:blip>
                    <a:srcRect t="13217" b="15530"/>
                    <a:stretch/>
                  </pic:blipFill>
                  <pic:spPr>
                    <a:xfrm>
                      <a:off x="0" y="0"/>
                      <a:ext cx="4718394" cy="5063536"/>
                    </a:xfrm>
                    <a:prstGeom prst="rect">
                      <a:avLst/>
                    </a:prstGeom>
                  </pic:spPr>
                </pic:pic>
              </a:graphicData>
            </a:graphic>
          </wp:inline>
        </w:drawing>
      </w:r>
    </w:p>
    <w:p w14:paraId="1CA7F843" w14:textId="77777777" w:rsidR="00E90B8A" w:rsidRDefault="00E90B8A">
      <w:r>
        <w:br w:type="page"/>
      </w:r>
    </w:p>
    <w:p w14:paraId="56CC6C29" w14:textId="77777777" w:rsidR="00E90B8A" w:rsidRPr="00E90B8A" w:rsidRDefault="00E90B8A" w:rsidP="00E90B8A">
      <w:r w:rsidRPr="00E90B8A">
        <w:lastRenderedPageBreak/>
        <w:t xml:space="preserve">Appendix Figure 6 - Chronic Postoperative Opioid Use in Preoperatively Naïve Patients (Top Panel) versus in Preoperatively Opioid Using Patients (Bottom Panel). </w:t>
      </w:r>
    </w:p>
    <w:p w14:paraId="7B5E5841" w14:textId="77777777" w:rsidR="00E90B8A" w:rsidRPr="00E90B8A" w:rsidRDefault="00E90B8A" w:rsidP="00E90B8A">
      <w:r w:rsidRPr="00E90B8A">
        <w:t xml:space="preserve">Legend: Each observation represents the number of patients with chronic postoperative opioid use (per 1000 veterans undergoing TKA) every month, in preoperatively naïve patients (top panel) versus preoperatively chronic opioid users (right panel). There was a significant reduction in chronic postoperative opioid use immediately after October 2013, but the reduction was not sustained </w:t>
      </w:r>
      <w:proofErr w:type="gramStart"/>
      <w:r w:rsidRPr="00E90B8A">
        <w:t>in  the</w:t>
      </w:r>
      <w:proofErr w:type="gramEnd"/>
      <w:r w:rsidRPr="00E90B8A">
        <w:t xml:space="preserve"> chronic preoperative opioid users (1.24 [-0.77 to 3.24]) whereas it was sustained in the preoperatively opioid naïve (-0.48 [-0.92 to -0.03]).</w:t>
      </w:r>
    </w:p>
    <w:p w14:paraId="3AFC2536" w14:textId="7DEFD53F" w:rsidR="00E90B8A" w:rsidRDefault="00E90B8A">
      <w:r>
        <w:rPr>
          <w:noProof/>
        </w:rPr>
        <w:drawing>
          <wp:inline distT="0" distB="0" distL="0" distR="0" wp14:anchorId="4A2EA7F3" wp14:editId="03391B48">
            <wp:extent cx="54864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 figure 6.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4D4D41C" w14:textId="77777777" w:rsidR="00E90B8A" w:rsidRDefault="00E90B8A">
      <w:r>
        <w:br w:type="page"/>
      </w:r>
    </w:p>
    <w:p w14:paraId="7C830D20" w14:textId="77777777" w:rsidR="00E90B8A" w:rsidRPr="00E90B8A" w:rsidRDefault="00E90B8A" w:rsidP="00E90B8A">
      <w:r w:rsidRPr="00E90B8A">
        <w:lastRenderedPageBreak/>
        <w:t>Appendix Figure 7 - Changes in Chronic Postoperative Opioid Use with Interruptions for Time-Series set at August, September, and October 2013.</w:t>
      </w:r>
    </w:p>
    <w:p w14:paraId="4A9B917D" w14:textId="00F3E197" w:rsidR="00E90B8A" w:rsidRPr="00E90B8A" w:rsidRDefault="00E90B8A" w:rsidP="00E90B8A">
      <w:r w:rsidRPr="00E90B8A">
        <w:t>Legend: August 2013 (</w:t>
      </w:r>
      <w:r>
        <w:t>a</w:t>
      </w:r>
      <w:r w:rsidRPr="00E90B8A">
        <w:t>) versus September 2013 (</w:t>
      </w:r>
      <w:r>
        <w:t>b</w:t>
      </w:r>
      <w:r w:rsidRPr="00E90B8A">
        <w:t>) versus October 2013 (</w:t>
      </w:r>
      <w:r>
        <w:t>c</w:t>
      </w:r>
      <w:r w:rsidRPr="00E90B8A">
        <w:t>).</w:t>
      </w:r>
    </w:p>
    <w:p w14:paraId="46D53F72" w14:textId="66CA1451" w:rsidR="00E90B8A" w:rsidRDefault="00E90B8A" w:rsidP="00E90B8A">
      <w:pPr>
        <w:pStyle w:val="ListParagraph"/>
        <w:numPr>
          <w:ilvl w:val="0"/>
          <w:numId w:val="1"/>
        </w:numPr>
      </w:pPr>
      <w:r>
        <w:t>August 2013</w:t>
      </w:r>
    </w:p>
    <w:p w14:paraId="717A5C29" w14:textId="598C9DD6" w:rsidR="00E90B8A" w:rsidRDefault="00E90B8A" w:rsidP="00E90B8A">
      <w:pPr>
        <w:pStyle w:val="ListParagraph"/>
      </w:pPr>
      <w:r w:rsidRPr="00E90B8A">
        <w:rPr>
          <w:noProof/>
        </w:rPr>
        <w:drawing>
          <wp:inline distT="0" distB="0" distL="0" distR="0" wp14:anchorId="7B1E1DA6" wp14:editId="7A45A31F">
            <wp:extent cx="4800600" cy="347514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extLst>
                        <a:ext uri="{28A0092B-C50C-407E-A947-70E740481C1C}">
                          <a14:useLocalDpi xmlns:a14="http://schemas.microsoft.com/office/drawing/2010/main" val="0"/>
                        </a:ext>
                      </a:extLst>
                    </a:blip>
                    <a:srcRect t="14912" b="37017"/>
                    <a:stretch/>
                  </pic:blipFill>
                  <pic:spPr>
                    <a:xfrm>
                      <a:off x="0" y="0"/>
                      <a:ext cx="4821306" cy="3490129"/>
                    </a:xfrm>
                    <a:prstGeom prst="rect">
                      <a:avLst/>
                    </a:prstGeom>
                  </pic:spPr>
                </pic:pic>
              </a:graphicData>
            </a:graphic>
          </wp:inline>
        </w:drawing>
      </w:r>
    </w:p>
    <w:p w14:paraId="4FF7E964" w14:textId="4992EBD3" w:rsidR="00E90B8A" w:rsidRDefault="00E90B8A" w:rsidP="00E90B8A">
      <w:pPr>
        <w:pStyle w:val="ListParagraph"/>
        <w:numPr>
          <w:ilvl w:val="0"/>
          <w:numId w:val="1"/>
        </w:numPr>
      </w:pPr>
      <w:r>
        <w:t>September 2013</w:t>
      </w:r>
    </w:p>
    <w:p w14:paraId="246DD6BE" w14:textId="55BC2221" w:rsidR="00E90B8A" w:rsidRDefault="00E90B8A" w:rsidP="00E90B8A">
      <w:pPr>
        <w:pStyle w:val="ListParagraph"/>
      </w:pPr>
      <w:r w:rsidRPr="00E90B8A">
        <w:rPr>
          <w:noProof/>
        </w:rPr>
        <w:drawing>
          <wp:inline distT="0" distB="0" distL="0" distR="0" wp14:anchorId="416E9BEB" wp14:editId="49A54004">
            <wp:extent cx="4800600" cy="343709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t="15263" b="37193"/>
                    <a:stretch/>
                  </pic:blipFill>
                  <pic:spPr>
                    <a:xfrm>
                      <a:off x="0" y="0"/>
                      <a:ext cx="4813905" cy="3446621"/>
                    </a:xfrm>
                    <a:prstGeom prst="rect">
                      <a:avLst/>
                    </a:prstGeom>
                  </pic:spPr>
                </pic:pic>
              </a:graphicData>
            </a:graphic>
          </wp:inline>
        </w:drawing>
      </w:r>
    </w:p>
    <w:p w14:paraId="2D7623F5" w14:textId="119E7934" w:rsidR="00E90B8A" w:rsidRDefault="00E90B8A" w:rsidP="00E90B8A">
      <w:pPr>
        <w:pStyle w:val="ListParagraph"/>
        <w:numPr>
          <w:ilvl w:val="0"/>
          <w:numId w:val="1"/>
        </w:numPr>
      </w:pPr>
      <w:r>
        <w:lastRenderedPageBreak/>
        <w:t>October 2013</w:t>
      </w:r>
    </w:p>
    <w:p w14:paraId="079C8C79" w14:textId="253731B6" w:rsidR="00E90B8A" w:rsidRDefault="00E90B8A" w:rsidP="00E90B8A">
      <w:pPr>
        <w:pStyle w:val="ListParagraph"/>
      </w:pPr>
      <w:r w:rsidRPr="00E90B8A">
        <w:rPr>
          <w:noProof/>
        </w:rPr>
        <w:drawing>
          <wp:inline distT="0" distB="0" distL="0" distR="0" wp14:anchorId="180558E4" wp14:editId="65FFC972">
            <wp:extent cx="4851400" cy="3460648"/>
            <wp:effectExtent l="0" t="0" r="6350" b="698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extLst>
                        <a:ext uri="{28A0092B-C50C-407E-A947-70E740481C1C}">
                          <a14:useLocalDpi xmlns:a14="http://schemas.microsoft.com/office/drawing/2010/main" val="0"/>
                        </a:ext>
                      </a:extLst>
                    </a:blip>
                    <a:srcRect t="15439" b="37193"/>
                    <a:stretch/>
                  </pic:blipFill>
                  <pic:spPr>
                    <a:xfrm>
                      <a:off x="0" y="0"/>
                      <a:ext cx="4874986" cy="3477473"/>
                    </a:xfrm>
                    <a:prstGeom prst="rect">
                      <a:avLst/>
                    </a:prstGeom>
                  </pic:spPr>
                </pic:pic>
              </a:graphicData>
            </a:graphic>
          </wp:inline>
        </w:drawing>
      </w:r>
    </w:p>
    <w:p w14:paraId="517AC864" w14:textId="410CFF51" w:rsidR="00E90B8A" w:rsidRDefault="00E90B8A">
      <w:r>
        <w:br w:type="page"/>
      </w:r>
    </w:p>
    <w:p w14:paraId="2B481879" w14:textId="77777777" w:rsidR="00E90B8A" w:rsidRPr="00E90B8A" w:rsidRDefault="00E90B8A" w:rsidP="00E90B8A">
      <w:r w:rsidRPr="00E90B8A">
        <w:lastRenderedPageBreak/>
        <w:t xml:space="preserve">Appendix Figure 8 </w:t>
      </w:r>
      <w:r w:rsidRPr="00E90B8A">
        <w:rPr>
          <w:cs/>
          <w:lang w:bidi="mr-IN"/>
        </w:rPr>
        <w:t>–</w:t>
      </w:r>
      <w:r w:rsidRPr="00E90B8A">
        <w:t xml:space="preserve"> Changes in Chronic Preoperative Acetaminophen use.</w:t>
      </w:r>
    </w:p>
    <w:p w14:paraId="2AAB8AC3" w14:textId="55864663" w:rsidR="00E90B8A" w:rsidRDefault="00E90B8A" w:rsidP="00E90B8A">
      <w:r w:rsidRPr="00E90B8A">
        <w:rPr>
          <w:noProof/>
        </w:rPr>
        <w:drawing>
          <wp:inline distT="0" distB="0" distL="0" distR="0" wp14:anchorId="34A15611" wp14:editId="2C6F88E4">
            <wp:extent cx="5294387" cy="5104649"/>
            <wp:effectExtent l="0" t="0" r="1905" b="127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4387" cy="5104649"/>
                    </a:xfrm>
                    <a:prstGeom prst="rect">
                      <a:avLst/>
                    </a:prstGeom>
                  </pic:spPr>
                </pic:pic>
              </a:graphicData>
            </a:graphic>
          </wp:inline>
        </w:drawing>
      </w:r>
    </w:p>
    <w:p w14:paraId="1B472094" w14:textId="5EE4601F" w:rsidR="00E90B8A" w:rsidRDefault="00E90B8A">
      <w:r>
        <w:br w:type="page"/>
      </w:r>
    </w:p>
    <w:p w14:paraId="0D4B7801" w14:textId="77777777" w:rsidR="00E90B8A" w:rsidRPr="00E90B8A" w:rsidRDefault="00E90B8A" w:rsidP="00E90B8A">
      <w:r w:rsidRPr="00E90B8A">
        <w:lastRenderedPageBreak/>
        <w:t xml:space="preserve">Appendix Figure 9 </w:t>
      </w:r>
      <w:r w:rsidRPr="00E90B8A">
        <w:rPr>
          <w:cs/>
          <w:lang w:bidi="mr-IN"/>
        </w:rPr>
        <w:t>–</w:t>
      </w:r>
      <w:r w:rsidRPr="00E90B8A">
        <w:t xml:space="preserve"> Changes in Chronic Postoperative Acetaminophen use.</w:t>
      </w:r>
    </w:p>
    <w:p w14:paraId="7A4880F7" w14:textId="74C0D9D4" w:rsidR="00E90B8A" w:rsidRDefault="00E90B8A" w:rsidP="00E90B8A">
      <w:r w:rsidRPr="00E90B8A">
        <w:rPr>
          <w:noProof/>
        </w:rPr>
        <w:drawing>
          <wp:inline distT="0" distB="0" distL="0" distR="0" wp14:anchorId="43783F81" wp14:editId="77290B1B">
            <wp:extent cx="5294387" cy="5104649"/>
            <wp:effectExtent l="0" t="0" r="1905" b="127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4387" cy="5104649"/>
                    </a:xfrm>
                    <a:prstGeom prst="rect">
                      <a:avLst/>
                    </a:prstGeom>
                  </pic:spPr>
                </pic:pic>
              </a:graphicData>
            </a:graphic>
          </wp:inline>
        </w:drawing>
      </w:r>
    </w:p>
    <w:p w14:paraId="2571932D" w14:textId="6FED2102" w:rsidR="00E90B8A" w:rsidRDefault="00E90B8A">
      <w:r>
        <w:br w:type="page"/>
      </w:r>
    </w:p>
    <w:p w14:paraId="028C60FB" w14:textId="77777777" w:rsidR="00E90B8A" w:rsidRPr="00E90B8A" w:rsidRDefault="00E90B8A" w:rsidP="00E90B8A">
      <w:r w:rsidRPr="00E90B8A">
        <w:lastRenderedPageBreak/>
        <w:t xml:space="preserve">Appendix Figure 10 </w:t>
      </w:r>
      <w:r w:rsidRPr="00E90B8A">
        <w:rPr>
          <w:cs/>
          <w:lang w:bidi="mr-IN"/>
        </w:rPr>
        <w:t>–</w:t>
      </w:r>
      <w:r w:rsidRPr="00E90B8A">
        <w:t xml:space="preserve"> Changes in Chronic Preoperative NSAID use.</w:t>
      </w:r>
    </w:p>
    <w:p w14:paraId="77184C19" w14:textId="294207EA" w:rsidR="00E90B8A" w:rsidRDefault="00E90B8A" w:rsidP="00E90B8A">
      <w:r w:rsidRPr="00E90B8A">
        <w:rPr>
          <w:noProof/>
        </w:rPr>
        <w:drawing>
          <wp:inline distT="0" distB="0" distL="0" distR="0" wp14:anchorId="57A85A25" wp14:editId="709733C0">
            <wp:extent cx="5294387" cy="5104649"/>
            <wp:effectExtent l="0" t="0" r="1905" b="127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4387" cy="5104649"/>
                    </a:xfrm>
                    <a:prstGeom prst="rect">
                      <a:avLst/>
                    </a:prstGeom>
                  </pic:spPr>
                </pic:pic>
              </a:graphicData>
            </a:graphic>
          </wp:inline>
        </w:drawing>
      </w:r>
    </w:p>
    <w:p w14:paraId="65365A45" w14:textId="77777777" w:rsidR="00E90B8A" w:rsidRDefault="00E90B8A">
      <w:r>
        <w:br w:type="page"/>
      </w:r>
    </w:p>
    <w:p w14:paraId="447967C2" w14:textId="77777777" w:rsidR="00E90B8A" w:rsidRPr="00E90B8A" w:rsidRDefault="00E90B8A" w:rsidP="00E90B8A">
      <w:r w:rsidRPr="00E90B8A">
        <w:lastRenderedPageBreak/>
        <w:t>Appendix Figure 11 - Changes in Chronic Postoperative NSAID use.</w:t>
      </w:r>
    </w:p>
    <w:p w14:paraId="15EFBD68" w14:textId="7696702A" w:rsidR="00E90B8A" w:rsidRDefault="00E90B8A" w:rsidP="00E90B8A">
      <w:r w:rsidRPr="00E90B8A">
        <w:rPr>
          <w:noProof/>
        </w:rPr>
        <w:drawing>
          <wp:inline distT="0" distB="0" distL="0" distR="0" wp14:anchorId="1A0F2594" wp14:editId="52217130">
            <wp:extent cx="5294387" cy="5104649"/>
            <wp:effectExtent l="0" t="0" r="1905"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4387" cy="5104649"/>
                    </a:xfrm>
                    <a:prstGeom prst="rect">
                      <a:avLst/>
                    </a:prstGeom>
                  </pic:spPr>
                </pic:pic>
              </a:graphicData>
            </a:graphic>
          </wp:inline>
        </w:drawing>
      </w:r>
    </w:p>
    <w:p w14:paraId="0459E79C" w14:textId="77777777" w:rsidR="00E90B8A" w:rsidRDefault="00E90B8A">
      <w:r>
        <w:br w:type="page"/>
      </w:r>
    </w:p>
    <w:p w14:paraId="00F68FA0" w14:textId="77777777" w:rsidR="00E90B8A" w:rsidRPr="00E90B8A" w:rsidRDefault="00E90B8A" w:rsidP="00E90B8A">
      <w:r w:rsidRPr="00E90B8A">
        <w:lastRenderedPageBreak/>
        <w:t xml:space="preserve">Appendix Figure 12 - Changes in Chronic Preoperative </w:t>
      </w:r>
      <w:proofErr w:type="spellStart"/>
      <w:r w:rsidRPr="00E90B8A">
        <w:t>Gabapentinoid</w:t>
      </w:r>
      <w:proofErr w:type="spellEnd"/>
      <w:r w:rsidRPr="00E90B8A">
        <w:t xml:space="preserve"> use.</w:t>
      </w:r>
    </w:p>
    <w:p w14:paraId="4FB890C3" w14:textId="5FC82B64" w:rsidR="00E90B8A" w:rsidRDefault="00E90B8A" w:rsidP="00E90B8A">
      <w:r w:rsidRPr="00E90B8A">
        <w:rPr>
          <w:noProof/>
        </w:rPr>
        <w:drawing>
          <wp:inline distT="0" distB="0" distL="0" distR="0" wp14:anchorId="64446036" wp14:editId="2E2BE22B">
            <wp:extent cx="5294387" cy="5104649"/>
            <wp:effectExtent l="0" t="0" r="1905" b="127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4387" cy="5104649"/>
                    </a:xfrm>
                    <a:prstGeom prst="rect">
                      <a:avLst/>
                    </a:prstGeom>
                  </pic:spPr>
                </pic:pic>
              </a:graphicData>
            </a:graphic>
          </wp:inline>
        </w:drawing>
      </w:r>
    </w:p>
    <w:p w14:paraId="1D358847" w14:textId="77777777" w:rsidR="00E90B8A" w:rsidRDefault="00E90B8A">
      <w:r>
        <w:br w:type="page"/>
      </w:r>
    </w:p>
    <w:p w14:paraId="4FBAD740" w14:textId="77777777" w:rsidR="00E90B8A" w:rsidRPr="00E90B8A" w:rsidRDefault="00E90B8A" w:rsidP="00E90B8A">
      <w:r w:rsidRPr="00E90B8A">
        <w:lastRenderedPageBreak/>
        <w:t xml:space="preserve">Appendix Figure 13 - Changes in Chronic Postoperative </w:t>
      </w:r>
      <w:proofErr w:type="spellStart"/>
      <w:r w:rsidRPr="00E90B8A">
        <w:t>Gabapentinoid</w:t>
      </w:r>
      <w:proofErr w:type="spellEnd"/>
      <w:r w:rsidRPr="00E90B8A">
        <w:t xml:space="preserve"> use.</w:t>
      </w:r>
    </w:p>
    <w:p w14:paraId="603B58BD" w14:textId="72984C3E" w:rsidR="00E90B8A" w:rsidRDefault="00E90B8A" w:rsidP="00E90B8A">
      <w:r w:rsidRPr="00E90B8A">
        <w:rPr>
          <w:noProof/>
        </w:rPr>
        <w:drawing>
          <wp:inline distT="0" distB="0" distL="0" distR="0" wp14:anchorId="676A6F5E" wp14:editId="793F6334">
            <wp:extent cx="5294387" cy="5104649"/>
            <wp:effectExtent l="0" t="0" r="1905" b="127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4387" cy="5104649"/>
                    </a:xfrm>
                    <a:prstGeom prst="rect">
                      <a:avLst/>
                    </a:prstGeom>
                  </pic:spPr>
                </pic:pic>
              </a:graphicData>
            </a:graphic>
          </wp:inline>
        </w:drawing>
      </w:r>
    </w:p>
    <w:p w14:paraId="57B1DF88" w14:textId="5DD94BBB" w:rsidR="009B3B68" w:rsidRDefault="009B3B68" w:rsidP="00E90B8A"/>
    <w:p w14:paraId="743B3147" w14:textId="1DDE63A9" w:rsidR="009B3B68" w:rsidRDefault="009B3B68">
      <w:r>
        <w:br w:type="page"/>
      </w:r>
    </w:p>
    <w:p w14:paraId="1F35C76C" w14:textId="17B27A09" w:rsidR="009B3B68" w:rsidRDefault="009B3B68" w:rsidP="009B3B68">
      <w:r w:rsidRPr="00E90B8A">
        <w:lastRenderedPageBreak/>
        <w:t>Appendix Figure 1</w:t>
      </w:r>
      <w:r>
        <w:t>4</w:t>
      </w:r>
      <w:r w:rsidRPr="00E90B8A">
        <w:t xml:space="preserve"> </w:t>
      </w:r>
      <w:r>
        <w:t>–The Observed (Actual) and Expected (Adjusted) Rates of Cessation of Opioid Use at the Top 20 Facilities by TKA Volume.</w:t>
      </w:r>
    </w:p>
    <w:p w14:paraId="6F4C5AD1" w14:textId="1C947C9A" w:rsidR="009B3B68" w:rsidRPr="00E90B8A" w:rsidRDefault="009B3B68" w:rsidP="009B3B68">
      <w:r>
        <w:rPr>
          <w:noProof/>
        </w:rPr>
        <w:drawing>
          <wp:inline distT="0" distB="0" distL="0" distR="0" wp14:anchorId="077CF2E5" wp14:editId="160C1C4B">
            <wp:extent cx="5650998" cy="284661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1" t="11111" r="1686" b="2979"/>
                    <a:stretch/>
                  </pic:blipFill>
                  <pic:spPr bwMode="auto">
                    <a:xfrm>
                      <a:off x="0" y="0"/>
                      <a:ext cx="5663157" cy="2852739"/>
                    </a:xfrm>
                    <a:prstGeom prst="rect">
                      <a:avLst/>
                    </a:prstGeom>
                    <a:ln>
                      <a:noFill/>
                    </a:ln>
                    <a:extLst>
                      <a:ext uri="{53640926-AAD7-44D8-BBD7-CCE9431645EC}">
                        <a14:shadowObscured xmlns:a14="http://schemas.microsoft.com/office/drawing/2010/main"/>
                      </a:ext>
                    </a:extLst>
                  </pic:spPr>
                </pic:pic>
              </a:graphicData>
            </a:graphic>
          </wp:inline>
        </w:drawing>
      </w:r>
    </w:p>
    <w:p w14:paraId="77A20F67" w14:textId="4C9FCB73" w:rsidR="005D1996" w:rsidRDefault="005D1996">
      <w:r>
        <w:br w:type="page"/>
      </w:r>
    </w:p>
    <w:p w14:paraId="294CDDE9" w14:textId="6D57A983" w:rsidR="009B3B68" w:rsidRDefault="005D1996" w:rsidP="00E90B8A">
      <w:r>
        <w:lastRenderedPageBreak/>
        <w:t xml:space="preserve">Appendix </w:t>
      </w:r>
      <w:r w:rsidR="0059621C">
        <w:t xml:space="preserve">Figure </w:t>
      </w:r>
      <w:r>
        <w:t xml:space="preserve">15 – </w:t>
      </w:r>
      <w:proofErr w:type="spellStart"/>
      <w:r>
        <w:t>Predfit</w:t>
      </w:r>
      <w:proofErr w:type="spellEnd"/>
      <w:r>
        <w:t xml:space="preserve"> plots</w:t>
      </w:r>
    </w:p>
    <w:p w14:paraId="2498B5AE" w14:textId="20DE3283" w:rsidR="00313405" w:rsidRDefault="00313405" w:rsidP="00313405">
      <w:pPr>
        <w:pStyle w:val="ListParagraph"/>
        <w:numPr>
          <w:ilvl w:val="0"/>
          <w:numId w:val="2"/>
        </w:numPr>
      </w:pPr>
      <w:proofErr w:type="spellStart"/>
      <w:r>
        <w:t>Predfit</w:t>
      </w:r>
      <w:proofErr w:type="spellEnd"/>
      <w:r>
        <w:t xml:space="preserve"> plot on rate</w:t>
      </w:r>
    </w:p>
    <w:p w14:paraId="08D84112" w14:textId="0744836A" w:rsidR="005D1996" w:rsidRDefault="00313405" w:rsidP="00313405">
      <w:pPr>
        <w:ind w:firstLine="360"/>
      </w:pPr>
      <w:r>
        <w:rPr>
          <w:noProof/>
        </w:rPr>
        <w:drawing>
          <wp:inline distT="0" distB="0" distL="0" distR="0" wp14:anchorId="693DE5C9" wp14:editId="55BE0DA4">
            <wp:extent cx="5138057" cy="3425371"/>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0138" cy="3426758"/>
                    </a:xfrm>
                    <a:prstGeom prst="rect">
                      <a:avLst/>
                    </a:prstGeom>
                    <a:noFill/>
                    <a:ln>
                      <a:noFill/>
                    </a:ln>
                  </pic:spPr>
                </pic:pic>
              </a:graphicData>
            </a:graphic>
          </wp:inline>
        </w:drawing>
      </w:r>
    </w:p>
    <w:p w14:paraId="6A723958" w14:textId="07584C2D" w:rsidR="00313405" w:rsidRDefault="00313405" w:rsidP="00313405">
      <w:pPr>
        <w:pStyle w:val="ListParagraph"/>
        <w:numPr>
          <w:ilvl w:val="0"/>
          <w:numId w:val="2"/>
        </w:numPr>
      </w:pPr>
      <w:proofErr w:type="spellStart"/>
      <w:r>
        <w:t>Predfit</w:t>
      </w:r>
      <w:proofErr w:type="spellEnd"/>
      <w:r>
        <w:t xml:space="preserve"> plot on pain</w:t>
      </w:r>
    </w:p>
    <w:p w14:paraId="616F1B9C" w14:textId="5CA968F4" w:rsidR="00313405" w:rsidRDefault="00313405" w:rsidP="00313405">
      <w:pPr>
        <w:ind w:left="360"/>
      </w:pPr>
      <w:r>
        <w:rPr>
          <w:noProof/>
        </w:rPr>
        <w:drawing>
          <wp:inline distT="0" distB="0" distL="0" distR="0" wp14:anchorId="63EE1455" wp14:editId="4EDFE6BC">
            <wp:extent cx="5295900" cy="353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6562" cy="3531041"/>
                    </a:xfrm>
                    <a:prstGeom prst="rect">
                      <a:avLst/>
                    </a:prstGeom>
                    <a:noFill/>
                    <a:ln>
                      <a:noFill/>
                    </a:ln>
                  </pic:spPr>
                </pic:pic>
              </a:graphicData>
            </a:graphic>
          </wp:inline>
        </w:drawing>
      </w:r>
    </w:p>
    <w:p w14:paraId="5E04A264" w14:textId="77777777" w:rsidR="00313405" w:rsidRDefault="00313405">
      <w:r>
        <w:br w:type="page"/>
      </w:r>
    </w:p>
    <w:p w14:paraId="1CB81ACB" w14:textId="2E09AC1B" w:rsidR="00313405" w:rsidRDefault="00313405" w:rsidP="00313405">
      <w:r>
        <w:lastRenderedPageBreak/>
        <w:t xml:space="preserve">Appendix </w:t>
      </w:r>
      <w:r w:rsidR="0059621C">
        <w:t xml:space="preserve">Figure </w:t>
      </w:r>
      <w:r>
        <w:t xml:space="preserve">16 – </w:t>
      </w:r>
      <w:r>
        <w:rPr>
          <w:rFonts w:hint="eastAsia"/>
        </w:rPr>
        <w:t>White</w:t>
      </w:r>
      <w:r>
        <w:t xml:space="preserve"> noise plots</w:t>
      </w:r>
    </w:p>
    <w:p w14:paraId="6A2C3819" w14:textId="4A00BBDB" w:rsidR="00313405" w:rsidRDefault="00313405" w:rsidP="00313405">
      <w:pPr>
        <w:pStyle w:val="ListParagraph"/>
        <w:numPr>
          <w:ilvl w:val="0"/>
          <w:numId w:val="3"/>
        </w:numPr>
      </w:pPr>
      <w:r>
        <w:t>White noise plot on rate</w:t>
      </w:r>
    </w:p>
    <w:p w14:paraId="1933A09F" w14:textId="24B5EBD4" w:rsidR="00313405" w:rsidRDefault="00313405" w:rsidP="00313405">
      <w:pPr>
        <w:ind w:left="360"/>
      </w:pPr>
      <w:r>
        <w:rPr>
          <w:noProof/>
        </w:rPr>
        <w:drawing>
          <wp:inline distT="0" distB="0" distL="0" distR="0" wp14:anchorId="3F596FDE" wp14:editId="3D8729C6">
            <wp:extent cx="5154386" cy="343625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5568" cy="3437045"/>
                    </a:xfrm>
                    <a:prstGeom prst="rect">
                      <a:avLst/>
                    </a:prstGeom>
                    <a:noFill/>
                    <a:ln>
                      <a:noFill/>
                    </a:ln>
                  </pic:spPr>
                </pic:pic>
              </a:graphicData>
            </a:graphic>
          </wp:inline>
        </w:drawing>
      </w:r>
    </w:p>
    <w:p w14:paraId="2995609A" w14:textId="333D1C8F" w:rsidR="00313405" w:rsidRDefault="00313405" w:rsidP="00313405">
      <w:pPr>
        <w:pStyle w:val="ListParagraph"/>
        <w:numPr>
          <w:ilvl w:val="0"/>
          <w:numId w:val="3"/>
        </w:numPr>
      </w:pPr>
      <w:r>
        <w:t>White noise plot on pain</w:t>
      </w:r>
    </w:p>
    <w:p w14:paraId="4A7D7510" w14:textId="7DB87A5C" w:rsidR="00313405" w:rsidRDefault="00313405" w:rsidP="00313405">
      <w:pPr>
        <w:ind w:left="360"/>
      </w:pPr>
      <w:r>
        <w:rPr>
          <w:noProof/>
        </w:rPr>
        <w:drawing>
          <wp:inline distT="0" distB="0" distL="0" distR="0" wp14:anchorId="16DF8554" wp14:editId="2ED9B809">
            <wp:extent cx="54864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sectPr w:rsidR="003134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1513A"/>
    <w:multiLevelType w:val="hybridMultilevel"/>
    <w:tmpl w:val="E91C6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126957"/>
    <w:multiLevelType w:val="hybridMultilevel"/>
    <w:tmpl w:val="CC2EB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2B63B8"/>
    <w:multiLevelType w:val="hybridMultilevel"/>
    <w:tmpl w:val="DDC8F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17C"/>
    <w:rsid w:val="00313405"/>
    <w:rsid w:val="0059621C"/>
    <w:rsid w:val="005D1996"/>
    <w:rsid w:val="00750883"/>
    <w:rsid w:val="009B3B68"/>
    <w:rsid w:val="00A0685A"/>
    <w:rsid w:val="00BC6847"/>
    <w:rsid w:val="00BF57CE"/>
    <w:rsid w:val="00D74A62"/>
    <w:rsid w:val="00DD617C"/>
    <w:rsid w:val="00DF4BF7"/>
    <w:rsid w:val="00E90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348F0"/>
  <w15:chartTrackingRefBased/>
  <w15:docId w15:val="{F661EAD6-1EE0-4EB0-8337-BEC12BE7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B8A"/>
    <w:pPr>
      <w:ind w:left="720"/>
      <w:contextualSpacing/>
    </w:pPr>
  </w:style>
  <w:style w:type="character" w:styleId="CommentReference">
    <w:name w:val="annotation reference"/>
    <w:basedOn w:val="DefaultParagraphFont"/>
    <w:uiPriority w:val="99"/>
    <w:semiHidden/>
    <w:unhideWhenUsed/>
    <w:rsid w:val="00BC6847"/>
    <w:rPr>
      <w:sz w:val="16"/>
      <w:szCs w:val="16"/>
    </w:rPr>
  </w:style>
  <w:style w:type="paragraph" w:styleId="CommentText">
    <w:name w:val="annotation text"/>
    <w:basedOn w:val="Normal"/>
    <w:link w:val="CommentTextChar"/>
    <w:uiPriority w:val="99"/>
    <w:semiHidden/>
    <w:unhideWhenUsed/>
    <w:rsid w:val="00BC6847"/>
    <w:pPr>
      <w:spacing w:line="240" w:lineRule="auto"/>
    </w:pPr>
    <w:rPr>
      <w:sz w:val="20"/>
      <w:szCs w:val="20"/>
    </w:rPr>
  </w:style>
  <w:style w:type="character" w:customStyle="1" w:styleId="CommentTextChar">
    <w:name w:val="Comment Text Char"/>
    <w:basedOn w:val="DefaultParagraphFont"/>
    <w:link w:val="CommentText"/>
    <w:uiPriority w:val="99"/>
    <w:semiHidden/>
    <w:rsid w:val="00BC6847"/>
    <w:rPr>
      <w:sz w:val="20"/>
      <w:szCs w:val="20"/>
    </w:rPr>
  </w:style>
  <w:style w:type="paragraph" w:styleId="CommentSubject">
    <w:name w:val="annotation subject"/>
    <w:basedOn w:val="CommentText"/>
    <w:next w:val="CommentText"/>
    <w:link w:val="CommentSubjectChar"/>
    <w:uiPriority w:val="99"/>
    <w:semiHidden/>
    <w:unhideWhenUsed/>
    <w:rsid w:val="00BC6847"/>
    <w:rPr>
      <w:b/>
      <w:bCs/>
    </w:rPr>
  </w:style>
  <w:style w:type="character" w:customStyle="1" w:styleId="CommentSubjectChar">
    <w:name w:val="Comment Subject Char"/>
    <w:basedOn w:val="CommentTextChar"/>
    <w:link w:val="CommentSubject"/>
    <w:uiPriority w:val="99"/>
    <w:semiHidden/>
    <w:rsid w:val="00BC6847"/>
    <w:rPr>
      <w:b/>
      <w:bCs/>
      <w:sz w:val="20"/>
      <w:szCs w:val="20"/>
    </w:rPr>
  </w:style>
  <w:style w:type="paragraph" w:styleId="BalloonText">
    <w:name w:val="Balloon Text"/>
    <w:basedOn w:val="Normal"/>
    <w:link w:val="BalloonTextChar"/>
    <w:uiPriority w:val="99"/>
    <w:semiHidden/>
    <w:unhideWhenUsed/>
    <w:rsid w:val="00BC68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8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31121">
      <w:bodyDiv w:val="1"/>
      <w:marLeft w:val="0"/>
      <w:marRight w:val="0"/>
      <w:marTop w:val="0"/>
      <w:marBottom w:val="0"/>
      <w:divBdr>
        <w:top w:val="none" w:sz="0" w:space="0" w:color="auto"/>
        <w:left w:val="none" w:sz="0" w:space="0" w:color="auto"/>
        <w:bottom w:val="none" w:sz="0" w:space="0" w:color="auto"/>
        <w:right w:val="none" w:sz="0" w:space="0" w:color="auto"/>
      </w:divBdr>
    </w:div>
    <w:div w:id="332145495">
      <w:bodyDiv w:val="1"/>
      <w:marLeft w:val="0"/>
      <w:marRight w:val="0"/>
      <w:marTop w:val="0"/>
      <w:marBottom w:val="0"/>
      <w:divBdr>
        <w:top w:val="none" w:sz="0" w:space="0" w:color="auto"/>
        <w:left w:val="none" w:sz="0" w:space="0" w:color="auto"/>
        <w:bottom w:val="none" w:sz="0" w:space="0" w:color="auto"/>
        <w:right w:val="none" w:sz="0" w:space="0" w:color="auto"/>
      </w:divBdr>
    </w:div>
    <w:div w:id="440030249">
      <w:bodyDiv w:val="1"/>
      <w:marLeft w:val="0"/>
      <w:marRight w:val="0"/>
      <w:marTop w:val="0"/>
      <w:marBottom w:val="0"/>
      <w:divBdr>
        <w:top w:val="none" w:sz="0" w:space="0" w:color="auto"/>
        <w:left w:val="none" w:sz="0" w:space="0" w:color="auto"/>
        <w:bottom w:val="none" w:sz="0" w:space="0" w:color="auto"/>
        <w:right w:val="none" w:sz="0" w:space="0" w:color="auto"/>
      </w:divBdr>
    </w:div>
    <w:div w:id="616104465">
      <w:bodyDiv w:val="1"/>
      <w:marLeft w:val="0"/>
      <w:marRight w:val="0"/>
      <w:marTop w:val="0"/>
      <w:marBottom w:val="0"/>
      <w:divBdr>
        <w:top w:val="none" w:sz="0" w:space="0" w:color="auto"/>
        <w:left w:val="none" w:sz="0" w:space="0" w:color="auto"/>
        <w:bottom w:val="none" w:sz="0" w:space="0" w:color="auto"/>
        <w:right w:val="none" w:sz="0" w:space="0" w:color="auto"/>
      </w:divBdr>
    </w:div>
    <w:div w:id="823395447">
      <w:bodyDiv w:val="1"/>
      <w:marLeft w:val="0"/>
      <w:marRight w:val="0"/>
      <w:marTop w:val="0"/>
      <w:marBottom w:val="0"/>
      <w:divBdr>
        <w:top w:val="none" w:sz="0" w:space="0" w:color="auto"/>
        <w:left w:val="none" w:sz="0" w:space="0" w:color="auto"/>
        <w:bottom w:val="none" w:sz="0" w:space="0" w:color="auto"/>
        <w:right w:val="none" w:sz="0" w:space="0" w:color="auto"/>
      </w:divBdr>
    </w:div>
    <w:div w:id="841049901">
      <w:bodyDiv w:val="1"/>
      <w:marLeft w:val="0"/>
      <w:marRight w:val="0"/>
      <w:marTop w:val="0"/>
      <w:marBottom w:val="0"/>
      <w:divBdr>
        <w:top w:val="none" w:sz="0" w:space="0" w:color="auto"/>
        <w:left w:val="none" w:sz="0" w:space="0" w:color="auto"/>
        <w:bottom w:val="none" w:sz="0" w:space="0" w:color="auto"/>
        <w:right w:val="none" w:sz="0" w:space="0" w:color="auto"/>
      </w:divBdr>
    </w:div>
    <w:div w:id="917982754">
      <w:bodyDiv w:val="1"/>
      <w:marLeft w:val="0"/>
      <w:marRight w:val="0"/>
      <w:marTop w:val="0"/>
      <w:marBottom w:val="0"/>
      <w:divBdr>
        <w:top w:val="none" w:sz="0" w:space="0" w:color="auto"/>
        <w:left w:val="none" w:sz="0" w:space="0" w:color="auto"/>
        <w:bottom w:val="none" w:sz="0" w:space="0" w:color="auto"/>
        <w:right w:val="none" w:sz="0" w:space="0" w:color="auto"/>
      </w:divBdr>
    </w:div>
    <w:div w:id="1130171143">
      <w:bodyDiv w:val="1"/>
      <w:marLeft w:val="0"/>
      <w:marRight w:val="0"/>
      <w:marTop w:val="0"/>
      <w:marBottom w:val="0"/>
      <w:divBdr>
        <w:top w:val="none" w:sz="0" w:space="0" w:color="auto"/>
        <w:left w:val="none" w:sz="0" w:space="0" w:color="auto"/>
        <w:bottom w:val="none" w:sz="0" w:space="0" w:color="auto"/>
        <w:right w:val="none" w:sz="0" w:space="0" w:color="auto"/>
      </w:divBdr>
    </w:div>
    <w:div w:id="1158688690">
      <w:bodyDiv w:val="1"/>
      <w:marLeft w:val="0"/>
      <w:marRight w:val="0"/>
      <w:marTop w:val="0"/>
      <w:marBottom w:val="0"/>
      <w:divBdr>
        <w:top w:val="none" w:sz="0" w:space="0" w:color="auto"/>
        <w:left w:val="none" w:sz="0" w:space="0" w:color="auto"/>
        <w:bottom w:val="none" w:sz="0" w:space="0" w:color="auto"/>
        <w:right w:val="none" w:sz="0" w:space="0" w:color="auto"/>
      </w:divBdr>
    </w:div>
    <w:div w:id="1332491446">
      <w:bodyDiv w:val="1"/>
      <w:marLeft w:val="0"/>
      <w:marRight w:val="0"/>
      <w:marTop w:val="0"/>
      <w:marBottom w:val="0"/>
      <w:divBdr>
        <w:top w:val="none" w:sz="0" w:space="0" w:color="auto"/>
        <w:left w:val="none" w:sz="0" w:space="0" w:color="auto"/>
        <w:bottom w:val="none" w:sz="0" w:space="0" w:color="auto"/>
        <w:right w:val="none" w:sz="0" w:space="0" w:color="auto"/>
      </w:divBdr>
    </w:div>
    <w:div w:id="1346665940">
      <w:bodyDiv w:val="1"/>
      <w:marLeft w:val="0"/>
      <w:marRight w:val="0"/>
      <w:marTop w:val="0"/>
      <w:marBottom w:val="0"/>
      <w:divBdr>
        <w:top w:val="none" w:sz="0" w:space="0" w:color="auto"/>
        <w:left w:val="none" w:sz="0" w:space="0" w:color="auto"/>
        <w:bottom w:val="none" w:sz="0" w:space="0" w:color="auto"/>
        <w:right w:val="none" w:sz="0" w:space="0" w:color="auto"/>
      </w:divBdr>
    </w:div>
    <w:div w:id="1746566926">
      <w:bodyDiv w:val="1"/>
      <w:marLeft w:val="0"/>
      <w:marRight w:val="0"/>
      <w:marTop w:val="0"/>
      <w:marBottom w:val="0"/>
      <w:divBdr>
        <w:top w:val="none" w:sz="0" w:space="0" w:color="auto"/>
        <w:left w:val="none" w:sz="0" w:space="0" w:color="auto"/>
        <w:bottom w:val="none" w:sz="0" w:space="0" w:color="auto"/>
        <w:right w:val="none" w:sz="0" w:space="0" w:color="auto"/>
      </w:divBdr>
    </w:div>
    <w:div w:id="207350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17</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Chen</dc:creator>
  <cp:keywords/>
  <dc:description/>
  <cp:lastModifiedBy>Qi Chen</cp:lastModifiedBy>
  <cp:revision>5</cp:revision>
  <dcterms:created xsi:type="dcterms:W3CDTF">2019-02-04T13:52:00Z</dcterms:created>
  <dcterms:modified xsi:type="dcterms:W3CDTF">2019-02-04T22:28:00Z</dcterms:modified>
</cp:coreProperties>
</file>