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42A" w:rsidRPr="005630FA" w:rsidRDefault="001B342A" w:rsidP="00BA5F82">
      <w:pPr>
        <w:spacing w:after="120" w:line="480" w:lineRule="auto"/>
        <w:rPr>
          <w:b/>
          <w:sz w:val="22"/>
          <w:szCs w:val="22"/>
        </w:rPr>
      </w:pPr>
      <w:r w:rsidRPr="005630FA">
        <w:rPr>
          <w:b/>
          <w:sz w:val="22"/>
          <w:szCs w:val="22"/>
        </w:rPr>
        <w:t xml:space="preserve">Pharmacokinetics and pharmacodynamics of remimazolam (CNS7056) after continuous infusion in </w:t>
      </w:r>
      <w:r w:rsidR="00481589" w:rsidRPr="005630FA">
        <w:rPr>
          <w:b/>
          <w:sz w:val="22"/>
          <w:szCs w:val="22"/>
        </w:rPr>
        <w:t xml:space="preserve">healthy male </w:t>
      </w:r>
      <w:r w:rsidRPr="005630FA">
        <w:rPr>
          <w:b/>
          <w:sz w:val="22"/>
          <w:szCs w:val="22"/>
        </w:rPr>
        <w:t>volunteers: Part I. Pharmacokinetics and clinical pharmacodynamics</w:t>
      </w:r>
    </w:p>
    <w:p w:rsidR="00E27E5E" w:rsidRPr="005630FA" w:rsidRDefault="005D6EE2" w:rsidP="00BA5F82">
      <w:pPr>
        <w:spacing w:after="120" w:line="480" w:lineRule="auto"/>
        <w:jc w:val="both"/>
        <w:rPr>
          <w:b/>
          <w:sz w:val="22"/>
          <w:szCs w:val="22"/>
        </w:rPr>
      </w:pPr>
      <w:r w:rsidRPr="005630FA">
        <w:rPr>
          <w:b/>
          <w:sz w:val="22"/>
          <w:szCs w:val="22"/>
        </w:rPr>
        <w:t>Supplemental Digital Content</w:t>
      </w:r>
    </w:p>
    <w:p w:rsidR="0016459D" w:rsidRPr="005630FA" w:rsidRDefault="0016459D" w:rsidP="00BA5F82">
      <w:pPr>
        <w:spacing w:after="120" w:line="480" w:lineRule="auto"/>
        <w:jc w:val="both"/>
        <w:rPr>
          <w:b/>
          <w:sz w:val="22"/>
          <w:szCs w:val="22"/>
        </w:rPr>
      </w:pPr>
    </w:p>
    <w:p w:rsidR="00FD3878" w:rsidRPr="005630FA" w:rsidRDefault="00487E9B" w:rsidP="00BA5F82">
      <w:pPr>
        <w:spacing w:after="120" w:line="480" w:lineRule="auto"/>
        <w:jc w:val="both"/>
        <w:rPr>
          <w:b/>
          <w:sz w:val="22"/>
          <w:szCs w:val="22"/>
        </w:rPr>
      </w:pPr>
      <w:r w:rsidRPr="005630FA">
        <w:rPr>
          <w:b/>
          <w:sz w:val="22"/>
          <w:szCs w:val="22"/>
        </w:rPr>
        <w:t>S1</w:t>
      </w:r>
      <w:r w:rsidR="00FD3878" w:rsidRPr="005630FA">
        <w:rPr>
          <w:b/>
          <w:sz w:val="22"/>
          <w:szCs w:val="22"/>
        </w:rPr>
        <w:t xml:space="preserve">: Methods of </w:t>
      </w:r>
      <w:r w:rsidR="00367F8E" w:rsidRPr="005630FA">
        <w:rPr>
          <w:b/>
          <w:sz w:val="22"/>
          <w:szCs w:val="22"/>
        </w:rPr>
        <w:t>pharmacokinetic</w:t>
      </w:r>
      <w:r w:rsidR="009C3537" w:rsidRPr="005630FA">
        <w:rPr>
          <w:b/>
          <w:sz w:val="22"/>
          <w:szCs w:val="22"/>
        </w:rPr>
        <w:t xml:space="preserve"> and </w:t>
      </w:r>
      <w:r w:rsidR="00367F8E" w:rsidRPr="005630FA">
        <w:rPr>
          <w:b/>
          <w:sz w:val="22"/>
          <w:szCs w:val="22"/>
        </w:rPr>
        <w:t>pharmacodynamic</w:t>
      </w:r>
      <w:r w:rsidR="00FD3878" w:rsidRPr="005630FA">
        <w:rPr>
          <w:b/>
          <w:sz w:val="22"/>
          <w:szCs w:val="22"/>
        </w:rPr>
        <w:t xml:space="preserve"> modeling</w:t>
      </w:r>
    </w:p>
    <w:p w:rsidR="00FD3878" w:rsidRPr="005630FA" w:rsidRDefault="00FD3878" w:rsidP="00BA5F82">
      <w:pPr>
        <w:spacing w:after="120" w:line="480" w:lineRule="auto"/>
        <w:jc w:val="both"/>
        <w:rPr>
          <w:b/>
          <w:i/>
          <w:sz w:val="22"/>
          <w:szCs w:val="22"/>
        </w:rPr>
      </w:pPr>
      <w:r w:rsidRPr="005630FA">
        <w:rPr>
          <w:b/>
          <w:i/>
          <w:sz w:val="22"/>
          <w:szCs w:val="22"/>
        </w:rPr>
        <w:t>Pharmacokinetic modeling</w:t>
      </w:r>
    </w:p>
    <w:p w:rsidR="00FD3878" w:rsidRPr="005630FA" w:rsidRDefault="00FD3878" w:rsidP="00BA5F82">
      <w:pPr>
        <w:spacing w:after="120" w:line="480" w:lineRule="auto"/>
        <w:jc w:val="both"/>
        <w:rPr>
          <w:sz w:val="22"/>
          <w:szCs w:val="22"/>
        </w:rPr>
      </w:pPr>
      <w:r w:rsidRPr="005630FA">
        <w:rPr>
          <w:sz w:val="22"/>
          <w:szCs w:val="22"/>
        </w:rPr>
        <w:t xml:space="preserve">Pharmacokinetics of the parent drug remimazolam and its metabolite </w:t>
      </w:r>
      <w:r w:rsidR="00AB6EFD" w:rsidRPr="005630FA">
        <w:rPr>
          <w:sz w:val="22"/>
          <w:szCs w:val="22"/>
        </w:rPr>
        <w:t>CNS 7054</w:t>
      </w:r>
      <w:r w:rsidRPr="005630FA">
        <w:rPr>
          <w:sz w:val="22"/>
          <w:szCs w:val="22"/>
        </w:rPr>
        <w:t xml:space="preserve"> were modeled using linear mammillary two- or three-compartment models linked by a transit compartment to account for the formation of the metabolite. It was assumed that 100% of the eliminated amount of remimazolam entered the transit compartment. Pharmacokinetic models were parametrized using elimination and intercompartmental clearances (CL, Q2, Q3), and volumes of distributions (V1, V2, V3). Pharmacokinetics of remimazolam and </w:t>
      </w:r>
      <w:r w:rsidR="00AB6EFD" w:rsidRPr="005630FA">
        <w:rPr>
          <w:sz w:val="22"/>
          <w:szCs w:val="22"/>
        </w:rPr>
        <w:t>CNS 7054</w:t>
      </w:r>
      <w:r w:rsidRPr="005630FA">
        <w:rPr>
          <w:sz w:val="22"/>
          <w:szCs w:val="22"/>
        </w:rPr>
        <w:t xml:space="preserve"> were modeled separately in a sequential manner. Modeling of remimazolam was performed first, and the individual Bayesian parameter estimates of the best remimazolam model were fixed in the subsequent step for modeling of </w:t>
      </w:r>
      <w:r w:rsidR="00AB6EFD" w:rsidRPr="005630FA">
        <w:rPr>
          <w:sz w:val="22"/>
          <w:szCs w:val="22"/>
        </w:rPr>
        <w:t>CNS 7054</w:t>
      </w:r>
      <w:r w:rsidRPr="005630FA">
        <w:rPr>
          <w:sz w:val="22"/>
          <w:szCs w:val="22"/>
        </w:rPr>
        <w:t>. Interindividual variability of the parameters was modeled using log-normal distributions:</w:t>
      </w:r>
    </w:p>
    <w:p w:rsidR="00FD3878" w:rsidRPr="005630FA" w:rsidRDefault="00E4470F" w:rsidP="00BA5F82">
      <w:pPr>
        <w:spacing w:after="120" w:line="480" w:lineRule="auto"/>
        <w:jc w:val="both"/>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TV</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η</m:t>
              </m:r>
            </m:sup>
          </m:sSup>
        </m:oMath>
      </m:oMathPara>
    </w:p>
    <w:p w:rsidR="00FD3878" w:rsidRPr="005630FA" w:rsidRDefault="00FD3878" w:rsidP="00BA5F82">
      <w:pPr>
        <w:spacing w:after="120" w:line="480" w:lineRule="auto"/>
        <w:jc w:val="both"/>
        <w:rPr>
          <w:sz w:val="22"/>
          <w:szCs w:val="22"/>
        </w:rPr>
      </w:pPr>
      <w:proofErr w:type="gramStart"/>
      <w:r w:rsidRPr="005630FA">
        <w:rPr>
          <w:sz w:val="22"/>
          <w:szCs w:val="22"/>
        </w:rPr>
        <w:t>where</w:t>
      </w:r>
      <w:proofErr w:type="gramEnd"/>
      <w:r w:rsidRPr="005630FA">
        <w:rPr>
          <w:sz w:val="22"/>
          <w:szCs w:val="22"/>
        </w:rPr>
        <w:t xml:space="preserve"> </w:t>
      </w:r>
      <w:proofErr w:type="spellStart"/>
      <w:r w:rsidRPr="005630FA">
        <w:rPr>
          <w:sz w:val="22"/>
          <w:szCs w:val="22"/>
        </w:rPr>
        <w:t>θ</w:t>
      </w:r>
      <w:r w:rsidRPr="005630FA">
        <w:rPr>
          <w:sz w:val="22"/>
          <w:szCs w:val="22"/>
          <w:vertAlign w:val="subscript"/>
        </w:rPr>
        <w:t>i</w:t>
      </w:r>
      <w:proofErr w:type="spellEnd"/>
      <w:r w:rsidRPr="005630FA">
        <w:rPr>
          <w:sz w:val="22"/>
          <w:szCs w:val="22"/>
        </w:rPr>
        <w:t xml:space="preserve"> is the parameter value in the </w:t>
      </w:r>
      <w:proofErr w:type="spellStart"/>
      <w:r w:rsidRPr="005630FA">
        <w:rPr>
          <w:sz w:val="22"/>
          <w:szCs w:val="22"/>
        </w:rPr>
        <w:t>i</w:t>
      </w:r>
      <w:r w:rsidRPr="005630FA">
        <w:rPr>
          <w:sz w:val="22"/>
          <w:szCs w:val="22"/>
          <w:vertAlign w:val="superscript"/>
        </w:rPr>
        <w:t>th</w:t>
      </w:r>
      <w:proofErr w:type="spellEnd"/>
      <w:r w:rsidRPr="005630FA">
        <w:rPr>
          <w:sz w:val="22"/>
          <w:szCs w:val="22"/>
        </w:rPr>
        <w:t xml:space="preserve"> subject, </w:t>
      </w:r>
      <w:proofErr w:type="spellStart"/>
      <w:r w:rsidRPr="005630FA">
        <w:rPr>
          <w:sz w:val="22"/>
          <w:szCs w:val="22"/>
        </w:rPr>
        <w:t>θ</w:t>
      </w:r>
      <w:r w:rsidRPr="005630FA">
        <w:rPr>
          <w:sz w:val="22"/>
          <w:szCs w:val="22"/>
          <w:vertAlign w:val="subscript"/>
        </w:rPr>
        <w:t>TV</w:t>
      </w:r>
      <w:proofErr w:type="spellEnd"/>
      <w:r w:rsidRPr="005630FA">
        <w:rPr>
          <w:sz w:val="22"/>
          <w:szCs w:val="22"/>
        </w:rPr>
        <w:t xml:space="preserve"> is the typical value of the parameter in the population, and η is a normally distributed random variable with a mean of zero and a variance of ω</w:t>
      </w:r>
      <w:r w:rsidRPr="005630FA">
        <w:rPr>
          <w:sz w:val="22"/>
          <w:szCs w:val="22"/>
          <w:vertAlign w:val="superscript"/>
        </w:rPr>
        <w:t>2</w:t>
      </w:r>
      <w:r w:rsidR="00AE6172">
        <w:rPr>
          <w:sz w:val="22"/>
          <w:szCs w:val="22"/>
        </w:rPr>
        <w:t>. For the residual intra</w:t>
      </w:r>
      <w:r w:rsidRPr="005630FA">
        <w:rPr>
          <w:sz w:val="22"/>
          <w:szCs w:val="22"/>
        </w:rPr>
        <w:t>individual variability, we tested a combined additive and proportional error model:</w:t>
      </w:r>
    </w:p>
    <w:p w:rsidR="00FD3878" w:rsidRPr="005630FA" w:rsidRDefault="00E4470F" w:rsidP="00BA5F82">
      <w:pPr>
        <w:spacing w:after="120" w:line="480" w:lineRule="auto"/>
        <w:jc w:val="both"/>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m:t>
              </m:r>
            </m:e>
            <m:sub>
              <m:r>
                <w:rPr>
                  <w:rFonts w:ascii="Cambria Math" w:hAnsi="Cambria Math"/>
                  <w:sz w:val="22"/>
                  <w:szCs w:val="22"/>
                </w:rPr>
                <m:t>ij</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Cp</m:t>
              </m:r>
            </m:e>
            <m:sub>
              <m:r>
                <w:rPr>
                  <w:rFonts w:ascii="Cambria Math" w:hAnsi="Cambria Math"/>
                  <w:sz w:val="22"/>
                  <w:szCs w:val="22"/>
                </w:rPr>
                <m:t>ij</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Cp</m:t>
              </m:r>
            </m:e>
            <m:sub>
              <m:r>
                <w:rPr>
                  <w:rFonts w:ascii="Cambria Math" w:hAnsi="Cambria Math"/>
                  <w:sz w:val="22"/>
                  <w:szCs w:val="22"/>
                </w:rPr>
                <m:t>ij</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prop,ij</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add,ij</m:t>
              </m:r>
            </m:sub>
          </m:sSub>
        </m:oMath>
      </m:oMathPara>
    </w:p>
    <w:p w:rsidR="00FD3878" w:rsidRPr="005630FA" w:rsidRDefault="00FD3878" w:rsidP="00BA5F82">
      <w:pPr>
        <w:spacing w:after="120" w:line="480" w:lineRule="auto"/>
        <w:jc w:val="both"/>
        <w:rPr>
          <w:sz w:val="22"/>
          <w:szCs w:val="22"/>
        </w:rPr>
      </w:pPr>
      <w:proofErr w:type="gramStart"/>
      <w:r w:rsidRPr="005630FA">
        <w:rPr>
          <w:sz w:val="22"/>
          <w:szCs w:val="22"/>
        </w:rPr>
        <w:t>and</w:t>
      </w:r>
      <w:proofErr w:type="gramEnd"/>
      <w:r w:rsidRPr="005630FA">
        <w:rPr>
          <w:sz w:val="22"/>
          <w:szCs w:val="22"/>
        </w:rPr>
        <w:t xml:space="preserve"> also an exponential error model:</w:t>
      </w:r>
    </w:p>
    <w:p w:rsidR="00FD3878" w:rsidRPr="005630FA" w:rsidRDefault="00E4470F" w:rsidP="00BA5F82">
      <w:pPr>
        <w:spacing w:after="120" w:line="480" w:lineRule="auto"/>
        <w:jc w:val="both"/>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m:t>
              </m:r>
            </m:e>
            <m:sub>
              <m:r>
                <w:rPr>
                  <w:rFonts w:ascii="Cambria Math" w:hAnsi="Cambria Math"/>
                  <w:sz w:val="22"/>
                  <w:szCs w:val="22"/>
                </w:rPr>
                <m:t>ij</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Cp</m:t>
              </m:r>
            </m:e>
            <m:sub>
              <m:r>
                <w:rPr>
                  <w:rFonts w:ascii="Cambria Math" w:hAnsi="Cambria Math"/>
                  <w:sz w:val="22"/>
                  <w:szCs w:val="22"/>
                </w:rPr>
                <m:t>ij</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e</m:t>
              </m:r>
            </m:e>
            <m:sup>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ij</m:t>
                  </m:r>
                </m:sub>
              </m:sSub>
            </m:sup>
          </m:sSup>
        </m:oMath>
      </m:oMathPara>
    </w:p>
    <w:p w:rsidR="00FD3878" w:rsidRPr="005630FA" w:rsidRDefault="00FD3878" w:rsidP="00BA5F82">
      <w:pPr>
        <w:spacing w:after="120" w:line="480" w:lineRule="auto"/>
        <w:jc w:val="both"/>
        <w:rPr>
          <w:sz w:val="22"/>
          <w:szCs w:val="22"/>
        </w:rPr>
      </w:pPr>
      <w:proofErr w:type="gramStart"/>
      <w:r w:rsidRPr="005630FA">
        <w:rPr>
          <w:sz w:val="22"/>
          <w:szCs w:val="22"/>
        </w:rPr>
        <w:t>where</w:t>
      </w:r>
      <w:proofErr w:type="gramEnd"/>
      <w:r w:rsidRPr="005630FA">
        <w:rPr>
          <w:sz w:val="22"/>
          <w:szCs w:val="22"/>
        </w:rPr>
        <w:t xml:space="preserve"> </w:t>
      </w:r>
      <w:proofErr w:type="spellStart"/>
      <w:r w:rsidRPr="005630FA">
        <w:rPr>
          <w:sz w:val="22"/>
          <w:szCs w:val="22"/>
        </w:rPr>
        <w:t>Cm</w:t>
      </w:r>
      <w:r w:rsidRPr="005630FA">
        <w:rPr>
          <w:sz w:val="22"/>
          <w:szCs w:val="22"/>
          <w:vertAlign w:val="subscript"/>
        </w:rPr>
        <w:t>ij</w:t>
      </w:r>
      <w:proofErr w:type="spellEnd"/>
      <w:r w:rsidRPr="005630FA">
        <w:rPr>
          <w:sz w:val="22"/>
          <w:szCs w:val="22"/>
        </w:rPr>
        <w:t xml:space="preserve"> is the </w:t>
      </w:r>
      <w:proofErr w:type="spellStart"/>
      <w:r w:rsidRPr="005630FA">
        <w:rPr>
          <w:i/>
          <w:sz w:val="22"/>
          <w:szCs w:val="22"/>
        </w:rPr>
        <w:t>j</w:t>
      </w:r>
      <w:r w:rsidRPr="005630FA">
        <w:rPr>
          <w:i/>
          <w:sz w:val="22"/>
          <w:szCs w:val="22"/>
          <w:vertAlign w:val="superscript"/>
        </w:rPr>
        <w:t>th</w:t>
      </w:r>
      <w:proofErr w:type="spellEnd"/>
      <w:r w:rsidRPr="005630FA">
        <w:rPr>
          <w:sz w:val="22"/>
          <w:szCs w:val="22"/>
        </w:rPr>
        <w:t xml:space="preserve"> measured concentration of the </w:t>
      </w:r>
      <w:proofErr w:type="spellStart"/>
      <w:r w:rsidRPr="005630FA">
        <w:rPr>
          <w:i/>
          <w:sz w:val="22"/>
          <w:szCs w:val="22"/>
        </w:rPr>
        <w:t>i</w:t>
      </w:r>
      <w:r w:rsidRPr="005630FA">
        <w:rPr>
          <w:i/>
          <w:sz w:val="22"/>
          <w:szCs w:val="22"/>
          <w:vertAlign w:val="superscript"/>
        </w:rPr>
        <w:t>th</w:t>
      </w:r>
      <w:proofErr w:type="spellEnd"/>
      <w:r w:rsidRPr="005630FA">
        <w:rPr>
          <w:sz w:val="22"/>
          <w:szCs w:val="22"/>
        </w:rPr>
        <w:t xml:space="preserve"> individual, </w:t>
      </w:r>
      <w:proofErr w:type="spellStart"/>
      <w:r w:rsidRPr="005630FA">
        <w:rPr>
          <w:sz w:val="22"/>
          <w:szCs w:val="22"/>
        </w:rPr>
        <w:t>Cp</w:t>
      </w:r>
      <w:r w:rsidRPr="005630FA">
        <w:rPr>
          <w:sz w:val="22"/>
          <w:szCs w:val="22"/>
          <w:vertAlign w:val="subscript"/>
        </w:rPr>
        <w:t>ij</w:t>
      </w:r>
      <w:proofErr w:type="spellEnd"/>
      <w:r w:rsidRPr="005630FA">
        <w:rPr>
          <w:sz w:val="22"/>
          <w:szCs w:val="22"/>
        </w:rPr>
        <w:t xml:space="preserve"> is the corresponding predicted concentration, and </w:t>
      </w:r>
      <w:proofErr w:type="spellStart"/>
      <w:r w:rsidRPr="005630FA">
        <w:rPr>
          <w:sz w:val="22"/>
          <w:szCs w:val="22"/>
        </w:rPr>
        <w:t>ε</w:t>
      </w:r>
      <w:r w:rsidRPr="005630FA">
        <w:rPr>
          <w:sz w:val="22"/>
          <w:szCs w:val="22"/>
          <w:vertAlign w:val="subscript"/>
        </w:rPr>
        <w:t>ij</w:t>
      </w:r>
      <w:proofErr w:type="spellEnd"/>
      <w:r w:rsidRPr="005630FA">
        <w:rPr>
          <w:sz w:val="22"/>
          <w:szCs w:val="22"/>
        </w:rPr>
        <w:t xml:space="preserve"> is a random number with mean zero and variance σ</w:t>
      </w:r>
      <w:r w:rsidRPr="005630FA">
        <w:rPr>
          <w:sz w:val="22"/>
          <w:szCs w:val="22"/>
          <w:vertAlign w:val="superscript"/>
        </w:rPr>
        <w:t>2</w:t>
      </w:r>
      <w:r w:rsidRPr="005630FA">
        <w:rPr>
          <w:sz w:val="22"/>
          <w:szCs w:val="22"/>
        </w:rPr>
        <w:t>.</w:t>
      </w:r>
    </w:p>
    <w:p w:rsidR="00FD3878" w:rsidRPr="005630FA" w:rsidRDefault="00FD3878" w:rsidP="00BA5F82">
      <w:pPr>
        <w:spacing w:after="120" w:line="480" w:lineRule="auto"/>
        <w:jc w:val="both"/>
        <w:rPr>
          <w:sz w:val="22"/>
          <w:szCs w:val="22"/>
        </w:rPr>
      </w:pPr>
      <w:r w:rsidRPr="005630FA">
        <w:rPr>
          <w:sz w:val="22"/>
          <w:szCs w:val="22"/>
        </w:rPr>
        <w:t>Nonlinear mixed-effects modeling was performed using NONMEM</w:t>
      </w:r>
      <w:r w:rsidR="00B379BF" w:rsidRPr="005630FA">
        <w:rPr>
          <w:sz w:val="22"/>
          <w:szCs w:val="22"/>
        </w:rPr>
        <w:t xml:space="preserve"> 7.4.1</w:t>
      </w:r>
      <w:r w:rsidRPr="005630FA">
        <w:rPr>
          <w:sz w:val="22"/>
          <w:szCs w:val="22"/>
        </w:rPr>
        <w:t xml:space="preserve"> </w:t>
      </w:r>
      <w:r w:rsidR="00B379BF" w:rsidRPr="005630FA">
        <w:rPr>
          <w:sz w:val="22"/>
          <w:szCs w:val="22"/>
        </w:rPr>
        <w:t>(ICON plc, Dublin, Ireland)</w:t>
      </w:r>
      <w:r w:rsidRPr="005630FA">
        <w:rPr>
          <w:sz w:val="22"/>
          <w:szCs w:val="22"/>
        </w:rPr>
        <w:t xml:space="preserve"> </w:t>
      </w:r>
      <w:proofErr w:type="gramStart"/>
      <w:r w:rsidRPr="005630FA">
        <w:rPr>
          <w:sz w:val="22"/>
          <w:szCs w:val="22"/>
        </w:rPr>
        <w:t>The</w:t>
      </w:r>
      <w:proofErr w:type="gramEnd"/>
      <w:r w:rsidRPr="005630FA">
        <w:rPr>
          <w:sz w:val="22"/>
          <w:szCs w:val="22"/>
        </w:rPr>
        <w:t xml:space="preserve"> first-order conditional estimation method with interaction (FOCE-I) was used with NONMEM subroutines ADVAN3 and ADVAN11 for remimazolam, and ADVAN6 for </w:t>
      </w:r>
      <w:r w:rsidR="00AB6EFD" w:rsidRPr="005630FA">
        <w:rPr>
          <w:sz w:val="22"/>
          <w:szCs w:val="22"/>
        </w:rPr>
        <w:t>CNS 7054</w:t>
      </w:r>
      <w:r w:rsidRPr="005630FA">
        <w:rPr>
          <w:sz w:val="22"/>
          <w:szCs w:val="22"/>
        </w:rPr>
        <w:t>, respectively.</w:t>
      </w:r>
    </w:p>
    <w:p w:rsidR="00FD3878" w:rsidRPr="005630FA" w:rsidRDefault="00FD3878" w:rsidP="00BA5F82">
      <w:pPr>
        <w:spacing w:after="120" w:line="480" w:lineRule="auto"/>
        <w:jc w:val="both"/>
        <w:rPr>
          <w:b/>
          <w:i/>
          <w:sz w:val="22"/>
          <w:szCs w:val="22"/>
        </w:rPr>
      </w:pPr>
      <w:r w:rsidRPr="005630FA">
        <w:rPr>
          <w:b/>
          <w:i/>
          <w:sz w:val="22"/>
          <w:szCs w:val="22"/>
        </w:rPr>
        <w:t>Pharmacodynamic modeling</w:t>
      </w:r>
    </w:p>
    <w:p w:rsidR="00FD3878" w:rsidRPr="005630FA" w:rsidRDefault="00FD3878" w:rsidP="00BA5F82">
      <w:pPr>
        <w:spacing w:after="120" w:line="480" w:lineRule="auto"/>
        <w:jc w:val="both"/>
        <w:rPr>
          <w:sz w:val="22"/>
          <w:szCs w:val="22"/>
        </w:rPr>
      </w:pPr>
      <w:r w:rsidRPr="005630FA">
        <w:rPr>
          <w:sz w:val="22"/>
          <w:szCs w:val="22"/>
        </w:rPr>
        <w:t>For pharmacodynamic modeling, an effect site was assumed as site of action with the effect site concentration C</w:t>
      </w:r>
      <w:r w:rsidRPr="005630FA">
        <w:rPr>
          <w:sz w:val="22"/>
          <w:szCs w:val="22"/>
          <w:vertAlign w:val="subscript"/>
        </w:rPr>
        <w:t>E</w:t>
      </w:r>
      <w:r w:rsidRPr="005630FA">
        <w:rPr>
          <w:sz w:val="22"/>
          <w:szCs w:val="22"/>
        </w:rPr>
        <w:t xml:space="preserve"> defined by </w:t>
      </w:r>
    </w:p>
    <w:p w:rsidR="00FD3878" w:rsidRPr="005630FA" w:rsidRDefault="00E4470F" w:rsidP="00BA5F82">
      <w:pPr>
        <w:spacing w:after="120" w:line="480" w:lineRule="auto"/>
        <w:jc w:val="both"/>
        <w:rPr>
          <w:sz w:val="22"/>
          <w:szCs w:val="22"/>
        </w:rPr>
      </w:pPr>
      <m:oMathPara>
        <m:oMathParaPr>
          <m:jc m:val="left"/>
        </m:oMathParaPr>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dC</m:t>
                  </m:r>
                </m:e>
                <m:sub>
                  <m:r>
                    <w:rPr>
                      <w:rFonts w:ascii="Cambria Math" w:hAnsi="Cambria Math"/>
                      <w:sz w:val="22"/>
                      <w:szCs w:val="22"/>
                    </w:rPr>
                    <m:t>E</m:t>
                  </m:r>
                </m:sub>
              </m:sSub>
            </m:num>
            <m:den>
              <m:r>
                <w:rPr>
                  <w:rFonts w:ascii="Cambria Math" w:hAnsi="Cambria Math"/>
                  <w:sz w:val="22"/>
                  <w:szCs w:val="22"/>
                </w:rPr>
                <m:t>dt</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e0</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E</m:t>
              </m:r>
            </m:sub>
          </m:sSub>
          <m:r>
            <w:rPr>
              <w:rFonts w:ascii="Cambria Math" w:hAnsi="Cambria Math"/>
              <w:sz w:val="22"/>
              <w:szCs w:val="22"/>
            </w:rPr>
            <m:t>)</m:t>
          </m:r>
        </m:oMath>
      </m:oMathPara>
    </w:p>
    <w:p w:rsidR="00FD3878" w:rsidRPr="005630FA" w:rsidRDefault="00FD3878" w:rsidP="00BA5F82">
      <w:pPr>
        <w:spacing w:after="120" w:line="480" w:lineRule="auto"/>
        <w:jc w:val="both"/>
        <w:rPr>
          <w:sz w:val="22"/>
          <w:szCs w:val="22"/>
        </w:rPr>
      </w:pPr>
      <w:proofErr w:type="gramStart"/>
      <w:r w:rsidRPr="005630FA">
        <w:rPr>
          <w:sz w:val="22"/>
          <w:szCs w:val="22"/>
        </w:rPr>
        <w:t>where</w:t>
      </w:r>
      <w:proofErr w:type="gramEnd"/>
      <w:r w:rsidRPr="005630FA">
        <w:rPr>
          <w:sz w:val="22"/>
          <w:szCs w:val="22"/>
        </w:rPr>
        <w:t xml:space="preserve"> C</w:t>
      </w:r>
      <w:r w:rsidRPr="005630FA">
        <w:rPr>
          <w:sz w:val="22"/>
          <w:szCs w:val="22"/>
          <w:vertAlign w:val="subscript"/>
        </w:rPr>
        <w:t>P</w:t>
      </w:r>
      <w:r w:rsidRPr="005630FA">
        <w:rPr>
          <w:sz w:val="22"/>
          <w:szCs w:val="22"/>
        </w:rPr>
        <w:t xml:space="preserve"> is the remimazolam plasma concentration and k</w:t>
      </w:r>
      <w:r w:rsidRPr="005630FA">
        <w:rPr>
          <w:sz w:val="22"/>
          <w:szCs w:val="22"/>
          <w:vertAlign w:val="subscript"/>
        </w:rPr>
        <w:t>e0</w:t>
      </w:r>
      <w:r w:rsidRPr="005630FA">
        <w:rPr>
          <w:sz w:val="22"/>
          <w:szCs w:val="22"/>
        </w:rPr>
        <w:t xml:space="preserve"> assesses the equilibration between C</w:t>
      </w:r>
      <w:r w:rsidRPr="005630FA">
        <w:rPr>
          <w:sz w:val="22"/>
          <w:szCs w:val="22"/>
          <w:vertAlign w:val="subscript"/>
        </w:rPr>
        <w:t>P</w:t>
      </w:r>
      <w:r w:rsidRPr="005630FA">
        <w:rPr>
          <w:sz w:val="22"/>
          <w:szCs w:val="22"/>
        </w:rPr>
        <w:t xml:space="preserve"> and C</w:t>
      </w:r>
      <w:r w:rsidRPr="005630FA">
        <w:rPr>
          <w:sz w:val="22"/>
          <w:szCs w:val="22"/>
          <w:vertAlign w:val="subscript"/>
        </w:rPr>
        <w:t>E</w:t>
      </w:r>
      <w:r w:rsidRPr="005630FA">
        <w:rPr>
          <w:sz w:val="22"/>
          <w:szCs w:val="22"/>
        </w:rPr>
        <w:t>. The individual Bayesian parameter estimates of the best remimazolam model were used to calculate C</w:t>
      </w:r>
      <w:r w:rsidRPr="005630FA">
        <w:rPr>
          <w:sz w:val="22"/>
          <w:szCs w:val="22"/>
          <w:vertAlign w:val="subscript"/>
        </w:rPr>
        <w:t>P</w:t>
      </w:r>
      <w:r w:rsidRPr="005630FA">
        <w:rPr>
          <w:sz w:val="22"/>
          <w:szCs w:val="22"/>
        </w:rPr>
        <w:t xml:space="preserve"> and C</w:t>
      </w:r>
      <w:r w:rsidRPr="005630FA">
        <w:rPr>
          <w:sz w:val="22"/>
          <w:szCs w:val="22"/>
          <w:vertAlign w:val="subscript"/>
        </w:rPr>
        <w:t>E</w:t>
      </w:r>
      <w:r w:rsidRPr="005630FA">
        <w:rPr>
          <w:sz w:val="22"/>
          <w:szCs w:val="22"/>
        </w:rPr>
        <w:t xml:space="preserve">. As the MOAA/S scale is not an interval ratio scale but an ordinal scale, probability models were used for pharmacodynamic modeling. </w:t>
      </w:r>
      <w:r w:rsidR="00B379BF" w:rsidRPr="005630FA">
        <w:rPr>
          <w:sz w:val="22"/>
          <w:szCs w:val="22"/>
        </w:rPr>
        <w:t xml:space="preserve">Two </w:t>
      </w:r>
      <w:r w:rsidRPr="005630FA">
        <w:rPr>
          <w:sz w:val="22"/>
          <w:szCs w:val="22"/>
        </w:rPr>
        <w:t>types of models</w:t>
      </w:r>
      <w:r w:rsidR="00B379BF" w:rsidRPr="005630FA">
        <w:rPr>
          <w:sz w:val="22"/>
          <w:szCs w:val="22"/>
        </w:rPr>
        <w:t xml:space="preserve"> were tested</w:t>
      </w:r>
      <w:r w:rsidRPr="005630FA">
        <w:rPr>
          <w:sz w:val="22"/>
          <w:szCs w:val="22"/>
        </w:rPr>
        <w:t>: an ordinal logistic regression and a sigmoid probability model. In the ordinal logistic regression model, the probability to achieve a MOAA/S score ≤m was defined as:</w:t>
      </w:r>
    </w:p>
    <w:p w:rsidR="00FD3878" w:rsidRPr="005630FA" w:rsidRDefault="00FD3878" w:rsidP="00BA5F82">
      <w:pPr>
        <w:spacing w:after="120" w:line="480" w:lineRule="auto"/>
        <w:jc w:val="both"/>
        <w:rPr>
          <w:sz w:val="22"/>
          <w:szCs w:val="22"/>
        </w:rPr>
      </w:pPr>
      <m:oMathPara>
        <m:oMathParaPr>
          <m:jc m:val="left"/>
        </m:oMathParaP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MOAA/S≤m</m:t>
              </m:r>
            </m:e>
          </m:d>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logit</m:t>
                      </m:r>
                    </m:e>
                    <m:sub>
                      <m:r>
                        <w:rPr>
                          <w:rFonts w:ascii="Cambria Math" w:hAnsi="Cambria Math"/>
                          <w:sz w:val="22"/>
                          <w:szCs w:val="22"/>
                        </w:rPr>
                        <m:t>m</m:t>
                      </m:r>
                    </m:sub>
                  </m:sSub>
                </m:sup>
              </m:sSup>
            </m:den>
          </m:f>
          <m:r>
            <w:rPr>
              <w:rFonts w:ascii="Cambria Math" w:hAnsi="Cambria Math"/>
              <w:sz w:val="22"/>
              <w:szCs w:val="22"/>
            </w:rPr>
            <m:t xml:space="preserve">   </m:t>
          </m:r>
          <m:r>
            <w:rPr>
              <w:rFonts w:ascii="Cambria Math" w:hAnsi="Cambria Math"/>
              <w:sz w:val="22"/>
              <w:szCs w:val="22"/>
            </w:rPr>
            <w:tab/>
            <m:t xml:space="preserve">          </m:t>
          </m:r>
          <m:r>
            <w:rPr>
              <w:rFonts w:ascii="Cambria Math" w:hAnsi="Cambria Math"/>
              <w:sz w:val="22"/>
              <w:szCs w:val="22"/>
            </w:rPr>
            <m:t>m=0, 1, 2, 3, 4</m:t>
          </m:r>
        </m:oMath>
      </m:oMathPara>
    </w:p>
    <w:p w:rsidR="00FD3878" w:rsidRPr="005630FA" w:rsidRDefault="00FD3878" w:rsidP="00BA5F82">
      <w:pPr>
        <w:spacing w:after="120" w:line="480" w:lineRule="auto"/>
        <w:jc w:val="both"/>
        <w:rPr>
          <w:sz w:val="22"/>
          <w:szCs w:val="22"/>
        </w:rPr>
      </w:pPr>
      <w:proofErr w:type="gramStart"/>
      <w:r w:rsidRPr="005630FA">
        <w:rPr>
          <w:sz w:val="22"/>
          <w:szCs w:val="22"/>
        </w:rPr>
        <w:t>with</w:t>
      </w:r>
      <w:proofErr w:type="gramEnd"/>
      <w:r w:rsidRPr="005630FA">
        <w:rPr>
          <w:sz w:val="22"/>
          <w:szCs w:val="22"/>
        </w:rPr>
        <w:t xml:space="preserve"> </w:t>
      </w:r>
    </w:p>
    <w:p w:rsidR="00FD3878" w:rsidRPr="005630FA" w:rsidRDefault="00E4470F" w:rsidP="00BA5F82">
      <w:pPr>
        <w:spacing w:after="120" w:line="480" w:lineRule="auto"/>
        <w:jc w:val="both"/>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logit</m:t>
              </m:r>
            </m:e>
            <m:sub>
              <m:r>
                <w:rPr>
                  <w:rFonts w:ascii="Cambria Math" w:hAnsi="Cambria Math"/>
                  <w:sz w:val="22"/>
                  <w:szCs w:val="22"/>
                </w:rPr>
                <m:t>m</m:t>
              </m:r>
            </m:sub>
          </m:sSub>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i=0</m:t>
              </m:r>
            </m:sub>
            <m:sup>
              <m:r>
                <w:rPr>
                  <w:rFonts w:ascii="Cambria Math" w:hAnsi="Cambria Math"/>
                  <w:sz w:val="22"/>
                  <w:szCs w:val="22"/>
                </w:rPr>
                <m:t>m</m:t>
              </m:r>
            </m:sup>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i</m:t>
                  </m:r>
                </m:sub>
              </m:sSub>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E</m:t>
                  </m:r>
                </m:sub>
              </m:sSub>
              <m:r>
                <w:rPr>
                  <w:rFonts w:ascii="Cambria Math" w:hAnsi="Cambria Math"/>
                  <w:sz w:val="22"/>
                  <w:szCs w:val="22"/>
                </w:rPr>
                <m:t>+η</m:t>
              </m:r>
            </m:e>
          </m:nary>
        </m:oMath>
      </m:oMathPara>
    </w:p>
    <w:p w:rsidR="00FD3878" w:rsidRPr="005630FA" w:rsidRDefault="00FD3878" w:rsidP="00BA5F82">
      <w:pPr>
        <w:spacing w:after="120" w:line="480" w:lineRule="auto"/>
        <w:jc w:val="both"/>
        <w:rPr>
          <w:sz w:val="22"/>
          <w:szCs w:val="22"/>
        </w:rPr>
      </w:pPr>
      <w:proofErr w:type="gramStart"/>
      <w:r w:rsidRPr="005630FA">
        <w:rPr>
          <w:sz w:val="22"/>
          <w:szCs w:val="22"/>
        </w:rPr>
        <w:lastRenderedPageBreak/>
        <w:t>where</w:t>
      </w:r>
      <w:proofErr w:type="gramEnd"/>
      <w:r w:rsidRPr="005630FA">
        <w:rPr>
          <w:sz w:val="22"/>
          <w:szCs w:val="22"/>
        </w:rPr>
        <w:t xml:space="preserve"> the </w:t>
      </w:r>
      <w:proofErr w:type="spellStart"/>
      <w:r w:rsidRPr="005630FA">
        <w:rPr>
          <w:sz w:val="22"/>
          <w:szCs w:val="22"/>
        </w:rPr>
        <w:t>a</w:t>
      </w:r>
      <w:r w:rsidRPr="005630FA">
        <w:rPr>
          <w:sz w:val="22"/>
          <w:szCs w:val="22"/>
          <w:vertAlign w:val="subscript"/>
        </w:rPr>
        <w:t>i</w:t>
      </w:r>
      <w:proofErr w:type="spellEnd"/>
      <w:r w:rsidRPr="005630FA">
        <w:rPr>
          <w:sz w:val="22"/>
          <w:szCs w:val="22"/>
        </w:rPr>
        <w:t xml:space="preserve"> define the baseline probabilities when no drug is present (C</w:t>
      </w:r>
      <w:r w:rsidRPr="005630FA">
        <w:rPr>
          <w:sz w:val="22"/>
          <w:szCs w:val="22"/>
          <w:vertAlign w:val="subscript"/>
        </w:rPr>
        <w:t>E</w:t>
      </w:r>
      <w:r w:rsidRPr="005630FA">
        <w:rPr>
          <w:sz w:val="22"/>
          <w:szCs w:val="22"/>
        </w:rPr>
        <w:t>=0), and the parameter b assesses the drug effect. Model parameters to be estimated were a</w:t>
      </w:r>
      <w:r w:rsidRPr="005630FA">
        <w:rPr>
          <w:sz w:val="22"/>
          <w:szCs w:val="22"/>
          <w:vertAlign w:val="subscript"/>
        </w:rPr>
        <w:t>0</w:t>
      </w:r>
      <w:r w:rsidRPr="005630FA">
        <w:rPr>
          <w:sz w:val="22"/>
          <w:szCs w:val="22"/>
        </w:rPr>
        <w:t>, a</w:t>
      </w:r>
      <w:r w:rsidRPr="005630FA">
        <w:rPr>
          <w:sz w:val="22"/>
          <w:szCs w:val="22"/>
          <w:vertAlign w:val="subscript"/>
        </w:rPr>
        <w:t>1</w:t>
      </w:r>
      <w:r w:rsidRPr="005630FA">
        <w:rPr>
          <w:sz w:val="22"/>
          <w:szCs w:val="22"/>
        </w:rPr>
        <w:t>, a</w:t>
      </w:r>
      <w:r w:rsidRPr="005630FA">
        <w:rPr>
          <w:sz w:val="22"/>
          <w:szCs w:val="22"/>
          <w:vertAlign w:val="subscript"/>
        </w:rPr>
        <w:t>2</w:t>
      </w:r>
      <w:r w:rsidRPr="005630FA">
        <w:rPr>
          <w:sz w:val="22"/>
          <w:szCs w:val="22"/>
        </w:rPr>
        <w:t>, a</w:t>
      </w:r>
      <w:r w:rsidRPr="005630FA">
        <w:rPr>
          <w:sz w:val="22"/>
          <w:szCs w:val="22"/>
          <w:vertAlign w:val="subscript"/>
        </w:rPr>
        <w:t>3</w:t>
      </w:r>
      <w:r w:rsidRPr="005630FA">
        <w:rPr>
          <w:sz w:val="22"/>
          <w:szCs w:val="22"/>
        </w:rPr>
        <w:t>, a</w:t>
      </w:r>
      <w:r w:rsidRPr="005630FA">
        <w:rPr>
          <w:sz w:val="22"/>
          <w:szCs w:val="22"/>
          <w:vertAlign w:val="subscript"/>
        </w:rPr>
        <w:t>4</w:t>
      </w:r>
      <w:r w:rsidRPr="005630FA">
        <w:rPr>
          <w:sz w:val="22"/>
          <w:szCs w:val="22"/>
        </w:rPr>
        <w:t>, b, and k</w:t>
      </w:r>
      <w:r w:rsidRPr="005630FA">
        <w:rPr>
          <w:sz w:val="22"/>
          <w:szCs w:val="22"/>
          <w:vertAlign w:val="subscript"/>
        </w:rPr>
        <w:t>e0</w:t>
      </w:r>
      <w:r w:rsidRPr="005630FA">
        <w:rPr>
          <w:sz w:val="22"/>
          <w:szCs w:val="22"/>
        </w:rPr>
        <w:t xml:space="preserve">. As the highest possible MOAA/S score is a value of 5, it follows that </w:t>
      </w:r>
      <w:proofErr w:type="gramStart"/>
      <w:r w:rsidRPr="005630FA">
        <w:rPr>
          <w:sz w:val="22"/>
          <w:szCs w:val="22"/>
        </w:rPr>
        <w:t>P(</w:t>
      </w:r>
      <w:proofErr w:type="gramEnd"/>
      <w:r w:rsidRPr="005630FA">
        <w:rPr>
          <w:sz w:val="22"/>
          <w:szCs w:val="22"/>
        </w:rPr>
        <w:t xml:space="preserve">MOAA/S≤5)=1. The condition </w:t>
      </w:r>
      <w:proofErr w:type="gramStart"/>
      <w:r w:rsidRPr="005630FA">
        <w:rPr>
          <w:sz w:val="22"/>
          <w:szCs w:val="22"/>
        </w:rPr>
        <w:t>P(</w:t>
      </w:r>
      <w:proofErr w:type="gramEnd"/>
      <w:r w:rsidRPr="005630FA">
        <w:rPr>
          <w:sz w:val="22"/>
          <w:szCs w:val="22"/>
        </w:rPr>
        <w:t xml:space="preserve">MOAA/S≤m+1) </w:t>
      </w:r>
      <w:r w:rsidRPr="005630FA">
        <w:rPr>
          <w:rFonts w:eastAsiaTheme="minorEastAsia"/>
          <w:sz w:val="22"/>
          <w:szCs w:val="22"/>
        </w:rPr>
        <w:t xml:space="preserve">≥ </w:t>
      </w:r>
      <w:r w:rsidRPr="005630FA">
        <w:rPr>
          <w:sz w:val="22"/>
          <w:szCs w:val="22"/>
        </w:rPr>
        <w:t>P(MOAA/</w:t>
      </w:r>
      <w:proofErr w:type="spellStart"/>
      <w:r w:rsidRPr="005630FA">
        <w:rPr>
          <w:sz w:val="22"/>
          <w:szCs w:val="22"/>
        </w:rPr>
        <w:t>S≤m</w:t>
      </w:r>
      <w:proofErr w:type="spellEnd"/>
      <w:r w:rsidRPr="005630FA">
        <w:rPr>
          <w:sz w:val="22"/>
          <w:szCs w:val="22"/>
        </w:rPr>
        <w:t xml:space="preserve">) was realized by the constraint </w:t>
      </w:r>
      <w:proofErr w:type="spellStart"/>
      <w:r w:rsidRPr="005630FA">
        <w:rPr>
          <w:sz w:val="22"/>
          <w:szCs w:val="22"/>
        </w:rPr>
        <w:t>a</w:t>
      </w:r>
      <w:r w:rsidRPr="005630FA">
        <w:rPr>
          <w:sz w:val="22"/>
          <w:szCs w:val="22"/>
          <w:vertAlign w:val="subscript"/>
        </w:rPr>
        <w:t>i</w:t>
      </w:r>
      <w:proofErr w:type="spellEnd"/>
      <w:r w:rsidRPr="005630FA">
        <w:rPr>
          <w:sz w:val="22"/>
          <w:szCs w:val="22"/>
          <w:vertAlign w:val="subscript"/>
        </w:rPr>
        <w:t xml:space="preserve"> </w:t>
      </w:r>
      <w:r w:rsidRPr="005630FA">
        <w:rPr>
          <w:sz w:val="22"/>
          <w:szCs w:val="22"/>
        </w:rPr>
        <w:t xml:space="preserve">≥ 0 for </w:t>
      </w:r>
      <w:proofErr w:type="spellStart"/>
      <w:r w:rsidRPr="005630FA">
        <w:rPr>
          <w:sz w:val="22"/>
          <w:szCs w:val="22"/>
        </w:rPr>
        <w:t>i</w:t>
      </w:r>
      <w:proofErr w:type="spellEnd"/>
      <w:r w:rsidRPr="005630FA">
        <w:rPr>
          <w:sz w:val="22"/>
          <w:szCs w:val="22"/>
        </w:rPr>
        <w:t>=1 to 4. Log-normal distributions were assumed for the interindividual variability of b and k</w:t>
      </w:r>
      <w:r w:rsidRPr="005630FA">
        <w:rPr>
          <w:sz w:val="22"/>
          <w:szCs w:val="22"/>
          <w:vertAlign w:val="subscript"/>
        </w:rPr>
        <w:t>e0</w:t>
      </w:r>
      <w:r w:rsidRPr="005630FA">
        <w:rPr>
          <w:sz w:val="22"/>
          <w:szCs w:val="22"/>
        </w:rPr>
        <w:t xml:space="preserve">. The </w:t>
      </w:r>
      <w:proofErr w:type="spellStart"/>
      <w:r w:rsidRPr="005630FA">
        <w:rPr>
          <w:sz w:val="22"/>
          <w:szCs w:val="22"/>
        </w:rPr>
        <w:t>intersubject</w:t>
      </w:r>
      <w:proofErr w:type="spellEnd"/>
      <w:r w:rsidRPr="005630FA">
        <w:rPr>
          <w:sz w:val="22"/>
          <w:szCs w:val="22"/>
        </w:rPr>
        <w:t xml:space="preserve"> variability of the </w:t>
      </w:r>
      <w:proofErr w:type="spellStart"/>
      <w:r w:rsidRPr="005630FA">
        <w:rPr>
          <w:sz w:val="22"/>
          <w:szCs w:val="22"/>
        </w:rPr>
        <w:t>a</w:t>
      </w:r>
      <w:r w:rsidRPr="005630FA">
        <w:rPr>
          <w:sz w:val="22"/>
          <w:szCs w:val="22"/>
          <w:vertAlign w:val="subscript"/>
        </w:rPr>
        <w:t>i</w:t>
      </w:r>
      <w:proofErr w:type="spellEnd"/>
      <w:r w:rsidRPr="005630FA">
        <w:rPr>
          <w:sz w:val="22"/>
          <w:szCs w:val="22"/>
        </w:rPr>
        <w:t xml:space="preserve"> was assessed with the random parameter η.</w:t>
      </w:r>
    </w:p>
    <w:p w:rsidR="00FD3878" w:rsidRPr="005630FA" w:rsidRDefault="00FD3878" w:rsidP="00BA5F82">
      <w:pPr>
        <w:spacing w:after="120" w:line="480" w:lineRule="auto"/>
        <w:jc w:val="both"/>
        <w:rPr>
          <w:rFonts w:eastAsiaTheme="minorEastAsia"/>
          <w:sz w:val="22"/>
          <w:szCs w:val="22"/>
        </w:rPr>
      </w:pPr>
      <w:r w:rsidRPr="005630FA">
        <w:rPr>
          <w:rFonts w:eastAsiaTheme="minorEastAsia"/>
          <w:sz w:val="22"/>
          <w:szCs w:val="22"/>
        </w:rPr>
        <w:t>As an alternative model, a model with sigmoid probability functions</w:t>
      </w:r>
      <w:r w:rsidR="00346AED" w:rsidRPr="005630FA">
        <w:rPr>
          <w:rFonts w:eastAsiaTheme="minorEastAsia"/>
          <w:sz w:val="22"/>
          <w:szCs w:val="22"/>
        </w:rPr>
        <w:t xml:space="preserve"> was tested</w:t>
      </w:r>
      <w:r w:rsidRPr="005630FA">
        <w:rPr>
          <w:rFonts w:eastAsiaTheme="minorEastAsia"/>
          <w:sz w:val="22"/>
          <w:szCs w:val="22"/>
        </w:rPr>
        <w:t>:</w:t>
      </w:r>
    </w:p>
    <w:p w:rsidR="00FD3878" w:rsidRPr="005630FA" w:rsidRDefault="00FD3878" w:rsidP="00BA5F82">
      <w:pPr>
        <w:spacing w:after="120" w:line="480" w:lineRule="auto"/>
        <w:jc w:val="both"/>
        <w:rPr>
          <w:rFonts w:eastAsiaTheme="minorEastAsia"/>
          <w:sz w:val="22"/>
          <w:szCs w:val="22"/>
        </w:rPr>
      </w:pPr>
      <m:oMathPara>
        <m:oMathParaPr>
          <m:jc m:val="left"/>
        </m:oMathParaP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MOAA/S≤m</m:t>
              </m:r>
            </m:e>
          </m:d>
          <m:r>
            <w:rPr>
              <w:rFonts w:ascii="Cambria Math" w:hAnsi="Cambria Math"/>
              <w:sz w:val="22"/>
              <w:szCs w:val="22"/>
            </w:rPr>
            <m:t>=</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rPr>
                    <m:t>E</m:t>
                  </m:r>
                </m:sub>
                <m:sup>
                  <m:r>
                    <w:rPr>
                      <w:rFonts w:ascii="Cambria Math" w:hAnsi="Cambria Math"/>
                      <w:sz w:val="22"/>
                      <w:szCs w:val="22"/>
                    </w:rPr>
                    <m:t>γ</m:t>
                  </m:r>
                </m:sup>
              </m:sSubSup>
            </m:num>
            <m:den>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rPr>
                    <m:t>E</m:t>
                  </m:r>
                </m:sub>
                <m:sup>
                  <m:r>
                    <w:rPr>
                      <w:rFonts w:ascii="Cambria Math" w:hAnsi="Cambria Math"/>
                      <w:sz w:val="22"/>
                      <w:szCs w:val="22"/>
                    </w:rPr>
                    <m:t>γ</m:t>
                  </m:r>
                </m:sup>
              </m:sSub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EC</m:t>
                  </m:r>
                </m:e>
                <m:sub>
                  <m:r>
                    <w:rPr>
                      <w:rFonts w:ascii="Cambria Math" w:hAnsi="Cambria Math"/>
                      <w:sz w:val="22"/>
                      <w:szCs w:val="22"/>
                    </w:rPr>
                    <m:t>50,m</m:t>
                  </m:r>
                </m:sub>
                <m:sup>
                  <m:r>
                    <w:rPr>
                      <w:rFonts w:ascii="Cambria Math" w:hAnsi="Cambria Math"/>
                      <w:sz w:val="22"/>
                      <w:szCs w:val="22"/>
                    </w:rPr>
                    <m:t>γ</m:t>
                  </m:r>
                </m:sup>
              </m:sSubSup>
            </m:den>
          </m:f>
          <m:r>
            <w:rPr>
              <w:rFonts w:ascii="Cambria Math" w:hAnsi="Cambria Math"/>
              <w:sz w:val="22"/>
              <w:szCs w:val="22"/>
            </w:rPr>
            <m:t xml:space="preserve">   </m:t>
          </m:r>
          <m:r>
            <w:rPr>
              <w:rFonts w:ascii="Cambria Math" w:hAnsi="Cambria Math"/>
              <w:sz w:val="22"/>
              <w:szCs w:val="22"/>
            </w:rPr>
            <m:t xml:space="preserve">       </m:t>
          </m:r>
          <m:r>
            <w:rPr>
              <w:rFonts w:ascii="Cambria Math" w:hAnsi="Cambria Math"/>
              <w:sz w:val="22"/>
              <w:szCs w:val="22"/>
            </w:rPr>
            <m:t>m=0, 1, 2, 3, 4</m:t>
          </m:r>
        </m:oMath>
      </m:oMathPara>
    </w:p>
    <w:p w:rsidR="00FD3878" w:rsidRPr="005630FA" w:rsidRDefault="00FD3878" w:rsidP="00BA5F82">
      <w:pPr>
        <w:spacing w:after="120" w:line="480" w:lineRule="auto"/>
        <w:jc w:val="both"/>
        <w:rPr>
          <w:sz w:val="22"/>
          <w:szCs w:val="22"/>
        </w:rPr>
      </w:pPr>
      <w:proofErr w:type="gramStart"/>
      <w:r w:rsidRPr="005630FA">
        <w:rPr>
          <w:rFonts w:eastAsiaTheme="minorEastAsia"/>
          <w:sz w:val="22"/>
          <w:szCs w:val="22"/>
        </w:rPr>
        <w:t>where</w:t>
      </w:r>
      <w:proofErr w:type="gramEnd"/>
      <w:r w:rsidRPr="005630FA">
        <w:rPr>
          <w:rFonts w:eastAsiaTheme="minorEastAsia"/>
          <w:sz w:val="22"/>
          <w:szCs w:val="22"/>
        </w:rPr>
        <w:t xml:space="preserve"> EC</w:t>
      </w:r>
      <w:r w:rsidRPr="005630FA">
        <w:rPr>
          <w:rFonts w:eastAsiaTheme="minorEastAsia"/>
          <w:sz w:val="22"/>
          <w:szCs w:val="22"/>
          <w:vertAlign w:val="subscript"/>
        </w:rPr>
        <w:t>50,m</w:t>
      </w:r>
      <w:r w:rsidRPr="005630FA">
        <w:rPr>
          <w:rFonts w:eastAsiaTheme="minorEastAsia"/>
          <w:sz w:val="22"/>
          <w:szCs w:val="22"/>
        </w:rPr>
        <w:t xml:space="preserve"> is the effect site concentrations for a 50% probability of MOAA/</w:t>
      </w:r>
      <w:proofErr w:type="spellStart"/>
      <w:r w:rsidRPr="005630FA">
        <w:rPr>
          <w:rFonts w:eastAsiaTheme="minorEastAsia"/>
          <w:sz w:val="22"/>
          <w:szCs w:val="22"/>
        </w:rPr>
        <w:t>S</w:t>
      </w:r>
      <w:r w:rsidRPr="005630FA">
        <w:rPr>
          <w:sz w:val="22"/>
          <w:szCs w:val="22"/>
        </w:rPr>
        <w:t>≤m</w:t>
      </w:r>
      <w:proofErr w:type="spellEnd"/>
      <w:r w:rsidRPr="005630FA">
        <w:rPr>
          <w:sz w:val="22"/>
          <w:szCs w:val="22"/>
        </w:rPr>
        <w:t xml:space="preserve">, and γ defines the steepness of the probability functions. From the condition </w:t>
      </w:r>
      <w:proofErr w:type="gramStart"/>
      <w:r w:rsidRPr="005630FA">
        <w:rPr>
          <w:sz w:val="22"/>
          <w:szCs w:val="22"/>
        </w:rPr>
        <w:t>P(</w:t>
      </w:r>
      <w:proofErr w:type="gramEnd"/>
      <w:r w:rsidRPr="005630FA">
        <w:rPr>
          <w:sz w:val="22"/>
          <w:szCs w:val="22"/>
        </w:rPr>
        <w:t xml:space="preserve">MOAA/S≤m+1) </w:t>
      </w:r>
      <w:r w:rsidRPr="005630FA">
        <w:rPr>
          <w:rFonts w:eastAsiaTheme="minorEastAsia"/>
          <w:sz w:val="22"/>
          <w:szCs w:val="22"/>
        </w:rPr>
        <w:t xml:space="preserve">≥ </w:t>
      </w:r>
      <w:r w:rsidRPr="005630FA">
        <w:rPr>
          <w:sz w:val="22"/>
          <w:szCs w:val="22"/>
        </w:rPr>
        <w:t>P(MOAA/</w:t>
      </w:r>
      <w:proofErr w:type="spellStart"/>
      <w:r w:rsidRPr="005630FA">
        <w:rPr>
          <w:sz w:val="22"/>
          <w:szCs w:val="22"/>
        </w:rPr>
        <w:t>S≤m</w:t>
      </w:r>
      <w:proofErr w:type="spellEnd"/>
      <w:r w:rsidRPr="005630FA">
        <w:rPr>
          <w:sz w:val="22"/>
          <w:szCs w:val="22"/>
        </w:rPr>
        <w:t xml:space="preserve">) follows the constraint </w:t>
      </w:r>
      <w:r w:rsidRPr="005630FA">
        <w:rPr>
          <w:rFonts w:eastAsiaTheme="minorEastAsia"/>
          <w:sz w:val="22"/>
          <w:szCs w:val="22"/>
        </w:rPr>
        <w:t>EC</w:t>
      </w:r>
      <w:r w:rsidRPr="005630FA">
        <w:rPr>
          <w:rFonts w:eastAsiaTheme="minorEastAsia"/>
          <w:sz w:val="22"/>
          <w:szCs w:val="22"/>
          <w:vertAlign w:val="subscript"/>
        </w:rPr>
        <w:t>50,m</w:t>
      </w:r>
      <w:r w:rsidRPr="005630FA">
        <w:rPr>
          <w:rFonts w:eastAsiaTheme="minorEastAsia"/>
          <w:sz w:val="22"/>
          <w:szCs w:val="22"/>
        </w:rPr>
        <w:t xml:space="preserve"> </w:t>
      </w:r>
      <w:r w:rsidRPr="005630FA">
        <w:rPr>
          <w:sz w:val="22"/>
          <w:szCs w:val="22"/>
        </w:rPr>
        <w:t>≥</w:t>
      </w:r>
      <w:r w:rsidRPr="005630FA">
        <w:rPr>
          <w:rFonts w:eastAsiaTheme="minorEastAsia"/>
          <w:sz w:val="22"/>
          <w:szCs w:val="22"/>
        </w:rPr>
        <w:t>EC</w:t>
      </w:r>
      <w:r w:rsidRPr="005630FA">
        <w:rPr>
          <w:rFonts w:eastAsiaTheme="minorEastAsia"/>
          <w:sz w:val="22"/>
          <w:szCs w:val="22"/>
          <w:vertAlign w:val="subscript"/>
        </w:rPr>
        <w:t>50,m+1</w:t>
      </w:r>
      <w:r w:rsidRPr="005630FA">
        <w:rPr>
          <w:rFonts w:eastAsiaTheme="minorEastAsia"/>
          <w:sz w:val="22"/>
          <w:szCs w:val="22"/>
        </w:rPr>
        <w:t xml:space="preserve">. </w:t>
      </w:r>
      <w:r w:rsidR="00346AED" w:rsidRPr="005630FA">
        <w:rPr>
          <w:rFonts w:eastAsiaTheme="minorEastAsia"/>
          <w:sz w:val="22"/>
          <w:szCs w:val="22"/>
        </w:rPr>
        <w:t>T</w:t>
      </w:r>
      <w:r w:rsidRPr="005630FA">
        <w:rPr>
          <w:rFonts w:eastAsiaTheme="minorEastAsia"/>
          <w:sz w:val="22"/>
          <w:szCs w:val="22"/>
        </w:rPr>
        <w:t>h</w:t>
      </w:r>
      <w:r w:rsidR="00346AED" w:rsidRPr="005630FA">
        <w:rPr>
          <w:rFonts w:eastAsiaTheme="minorEastAsia"/>
          <w:sz w:val="22"/>
          <w:szCs w:val="22"/>
        </w:rPr>
        <w:t xml:space="preserve">erefore, </w:t>
      </w:r>
      <w:r w:rsidRPr="005630FA">
        <w:rPr>
          <w:rFonts w:eastAsiaTheme="minorEastAsia"/>
          <w:sz w:val="22"/>
          <w:szCs w:val="22"/>
        </w:rPr>
        <w:t>the following incremental parametrization</w:t>
      </w:r>
      <w:r w:rsidR="00346AED" w:rsidRPr="005630FA">
        <w:rPr>
          <w:rFonts w:eastAsiaTheme="minorEastAsia"/>
          <w:sz w:val="22"/>
          <w:szCs w:val="22"/>
        </w:rPr>
        <w:t xml:space="preserve"> was chosen</w:t>
      </w:r>
      <w:r w:rsidRPr="005630FA">
        <w:rPr>
          <w:rFonts w:eastAsiaTheme="minorEastAsia"/>
          <w:sz w:val="22"/>
          <w:szCs w:val="22"/>
        </w:rPr>
        <w:t>: EC</w:t>
      </w:r>
      <w:r w:rsidRPr="005630FA">
        <w:rPr>
          <w:rFonts w:eastAsiaTheme="minorEastAsia"/>
          <w:sz w:val="22"/>
          <w:szCs w:val="22"/>
          <w:vertAlign w:val="subscript"/>
        </w:rPr>
        <w:t>50,4</w:t>
      </w:r>
      <w:r w:rsidRPr="005630FA">
        <w:rPr>
          <w:rFonts w:eastAsiaTheme="minorEastAsia"/>
          <w:sz w:val="22"/>
          <w:szCs w:val="22"/>
        </w:rPr>
        <w:t>=θ</w:t>
      </w:r>
      <w:r w:rsidRPr="005630FA">
        <w:rPr>
          <w:rFonts w:eastAsiaTheme="minorEastAsia"/>
          <w:sz w:val="22"/>
          <w:szCs w:val="22"/>
          <w:vertAlign w:val="subscript"/>
        </w:rPr>
        <w:t>1</w:t>
      </w:r>
      <w:r w:rsidRPr="005630FA">
        <w:rPr>
          <w:rFonts w:eastAsiaTheme="minorEastAsia"/>
          <w:sz w:val="22"/>
          <w:szCs w:val="22"/>
        </w:rPr>
        <w:t>, EC</w:t>
      </w:r>
      <w:r w:rsidRPr="005630FA">
        <w:rPr>
          <w:rFonts w:eastAsiaTheme="minorEastAsia"/>
          <w:sz w:val="22"/>
          <w:szCs w:val="22"/>
          <w:vertAlign w:val="subscript"/>
        </w:rPr>
        <w:t>50,3</w:t>
      </w:r>
      <w:r w:rsidRPr="005630FA">
        <w:rPr>
          <w:rFonts w:eastAsiaTheme="minorEastAsia"/>
          <w:sz w:val="22"/>
          <w:szCs w:val="22"/>
        </w:rPr>
        <w:t>=EC</w:t>
      </w:r>
      <w:r w:rsidRPr="005630FA">
        <w:rPr>
          <w:rFonts w:eastAsiaTheme="minorEastAsia"/>
          <w:sz w:val="22"/>
          <w:szCs w:val="22"/>
          <w:vertAlign w:val="subscript"/>
        </w:rPr>
        <w:t>50,4</w:t>
      </w:r>
      <w:r w:rsidRPr="005630FA">
        <w:rPr>
          <w:rFonts w:eastAsiaTheme="minorEastAsia"/>
          <w:sz w:val="22"/>
          <w:szCs w:val="22"/>
        </w:rPr>
        <w:t>+θ</w:t>
      </w:r>
      <w:r w:rsidRPr="005630FA">
        <w:rPr>
          <w:rFonts w:eastAsiaTheme="minorEastAsia"/>
          <w:sz w:val="22"/>
          <w:szCs w:val="22"/>
          <w:vertAlign w:val="subscript"/>
        </w:rPr>
        <w:t>2</w:t>
      </w:r>
      <w:r w:rsidRPr="005630FA">
        <w:rPr>
          <w:rFonts w:eastAsiaTheme="minorEastAsia"/>
          <w:sz w:val="22"/>
          <w:szCs w:val="22"/>
        </w:rPr>
        <w:t>, EC</w:t>
      </w:r>
      <w:r w:rsidRPr="005630FA">
        <w:rPr>
          <w:rFonts w:eastAsiaTheme="minorEastAsia"/>
          <w:sz w:val="22"/>
          <w:szCs w:val="22"/>
          <w:vertAlign w:val="subscript"/>
        </w:rPr>
        <w:t>50,2</w:t>
      </w:r>
      <w:r w:rsidRPr="005630FA">
        <w:rPr>
          <w:rFonts w:eastAsiaTheme="minorEastAsia"/>
          <w:sz w:val="22"/>
          <w:szCs w:val="22"/>
        </w:rPr>
        <w:t>=EC</w:t>
      </w:r>
      <w:r w:rsidRPr="005630FA">
        <w:rPr>
          <w:rFonts w:eastAsiaTheme="minorEastAsia"/>
          <w:sz w:val="22"/>
          <w:szCs w:val="22"/>
          <w:vertAlign w:val="subscript"/>
        </w:rPr>
        <w:t>50,3</w:t>
      </w:r>
      <w:r w:rsidRPr="005630FA">
        <w:rPr>
          <w:rFonts w:eastAsiaTheme="minorEastAsia"/>
          <w:sz w:val="22"/>
          <w:szCs w:val="22"/>
        </w:rPr>
        <w:t>+θ</w:t>
      </w:r>
      <w:r w:rsidRPr="005630FA">
        <w:rPr>
          <w:rFonts w:eastAsiaTheme="minorEastAsia"/>
          <w:sz w:val="22"/>
          <w:szCs w:val="22"/>
          <w:vertAlign w:val="subscript"/>
        </w:rPr>
        <w:t>3</w:t>
      </w:r>
      <w:r w:rsidRPr="005630FA">
        <w:rPr>
          <w:rFonts w:eastAsiaTheme="minorEastAsia"/>
          <w:sz w:val="22"/>
          <w:szCs w:val="22"/>
        </w:rPr>
        <w:t>, EC</w:t>
      </w:r>
      <w:r w:rsidRPr="005630FA">
        <w:rPr>
          <w:rFonts w:eastAsiaTheme="minorEastAsia"/>
          <w:sz w:val="22"/>
          <w:szCs w:val="22"/>
          <w:vertAlign w:val="subscript"/>
        </w:rPr>
        <w:t>50,1</w:t>
      </w:r>
      <w:r w:rsidRPr="005630FA">
        <w:rPr>
          <w:rFonts w:eastAsiaTheme="minorEastAsia"/>
          <w:sz w:val="22"/>
          <w:szCs w:val="22"/>
        </w:rPr>
        <w:t>=EC</w:t>
      </w:r>
      <w:r w:rsidRPr="005630FA">
        <w:rPr>
          <w:rFonts w:eastAsiaTheme="minorEastAsia"/>
          <w:sz w:val="22"/>
          <w:szCs w:val="22"/>
          <w:vertAlign w:val="subscript"/>
        </w:rPr>
        <w:t>50,2</w:t>
      </w:r>
      <w:r w:rsidRPr="005630FA">
        <w:rPr>
          <w:rFonts w:eastAsiaTheme="minorEastAsia"/>
          <w:sz w:val="22"/>
          <w:szCs w:val="22"/>
        </w:rPr>
        <w:t>+θ</w:t>
      </w:r>
      <w:r w:rsidRPr="005630FA">
        <w:rPr>
          <w:rFonts w:eastAsiaTheme="minorEastAsia"/>
          <w:sz w:val="22"/>
          <w:szCs w:val="22"/>
          <w:vertAlign w:val="subscript"/>
        </w:rPr>
        <w:t>4</w:t>
      </w:r>
      <w:r w:rsidRPr="005630FA">
        <w:rPr>
          <w:rFonts w:eastAsiaTheme="minorEastAsia"/>
          <w:sz w:val="22"/>
          <w:szCs w:val="22"/>
        </w:rPr>
        <w:t>, EC</w:t>
      </w:r>
      <w:r w:rsidRPr="005630FA">
        <w:rPr>
          <w:rFonts w:eastAsiaTheme="minorEastAsia"/>
          <w:sz w:val="22"/>
          <w:szCs w:val="22"/>
          <w:vertAlign w:val="subscript"/>
        </w:rPr>
        <w:t>50,0</w:t>
      </w:r>
      <w:r w:rsidRPr="005630FA">
        <w:rPr>
          <w:rFonts w:eastAsiaTheme="minorEastAsia"/>
          <w:sz w:val="22"/>
          <w:szCs w:val="22"/>
        </w:rPr>
        <w:t>=EC</w:t>
      </w:r>
      <w:r w:rsidRPr="005630FA">
        <w:rPr>
          <w:rFonts w:eastAsiaTheme="minorEastAsia"/>
          <w:sz w:val="22"/>
          <w:szCs w:val="22"/>
          <w:vertAlign w:val="subscript"/>
        </w:rPr>
        <w:t>50,1</w:t>
      </w:r>
      <w:r w:rsidRPr="005630FA">
        <w:rPr>
          <w:rFonts w:eastAsiaTheme="minorEastAsia"/>
          <w:sz w:val="22"/>
          <w:szCs w:val="22"/>
        </w:rPr>
        <w:t>+θ</w:t>
      </w:r>
      <w:r w:rsidRPr="005630FA">
        <w:rPr>
          <w:rFonts w:eastAsiaTheme="minorEastAsia"/>
          <w:sz w:val="22"/>
          <w:szCs w:val="22"/>
          <w:vertAlign w:val="subscript"/>
        </w:rPr>
        <w:t>5</w:t>
      </w:r>
      <w:r w:rsidRPr="005630FA">
        <w:rPr>
          <w:rFonts w:eastAsiaTheme="minorEastAsia"/>
          <w:sz w:val="22"/>
          <w:szCs w:val="22"/>
        </w:rPr>
        <w:t>, with θ</w:t>
      </w:r>
      <w:r w:rsidR="002A0486" w:rsidRPr="005630FA">
        <w:rPr>
          <w:rFonts w:eastAsiaTheme="minorEastAsia"/>
          <w:sz w:val="22"/>
          <w:szCs w:val="22"/>
          <w:vertAlign w:val="subscript"/>
        </w:rPr>
        <w:t>1</w:t>
      </w:r>
      <w:r w:rsidR="002A0486" w:rsidRPr="005630FA">
        <w:rPr>
          <w:rFonts w:eastAsiaTheme="minorEastAsia"/>
          <w:sz w:val="22"/>
          <w:szCs w:val="22"/>
        </w:rPr>
        <w:t>,</w:t>
      </w:r>
      <w:r w:rsidRPr="005630FA">
        <w:rPr>
          <w:rFonts w:eastAsiaTheme="minorEastAsia"/>
          <w:sz w:val="22"/>
          <w:szCs w:val="22"/>
          <w:vertAlign w:val="subscript"/>
        </w:rPr>
        <w:t xml:space="preserve">2,3,4,5 </w:t>
      </w:r>
      <w:r w:rsidRPr="005630FA">
        <w:rPr>
          <w:rFonts w:eastAsiaTheme="minorEastAsia"/>
          <w:sz w:val="22"/>
          <w:szCs w:val="22"/>
        </w:rPr>
        <w:t xml:space="preserve">≥0. Further </w:t>
      </w:r>
      <w:r w:rsidRPr="005630FA">
        <w:rPr>
          <w:sz w:val="22"/>
          <w:szCs w:val="22"/>
        </w:rPr>
        <w:t>model parameters to be estimated were γ=</w:t>
      </w:r>
      <w:r w:rsidRPr="005630FA">
        <w:rPr>
          <w:rFonts w:eastAsiaTheme="minorEastAsia"/>
          <w:sz w:val="22"/>
          <w:szCs w:val="22"/>
        </w:rPr>
        <w:t>θ</w:t>
      </w:r>
      <w:r w:rsidRPr="005630FA">
        <w:rPr>
          <w:rFonts w:eastAsiaTheme="minorEastAsia"/>
          <w:sz w:val="22"/>
          <w:szCs w:val="22"/>
          <w:vertAlign w:val="subscript"/>
        </w:rPr>
        <w:t>6</w:t>
      </w:r>
      <w:r w:rsidRPr="005630FA">
        <w:rPr>
          <w:sz w:val="22"/>
          <w:szCs w:val="22"/>
        </w:rPr>
        <w:t xml:space="preserve"> and k</w:t>
      </w:r>
      <w:r w:rsidRPr="005630FA">
        <w:rPr>
          <w:sz w:val="22"/>
          <w:szCs w:val="22"/>
          <w:vertAlign w:val="subscript"/>
        </w:rPr>
        <w:t>e0</w:t>
      </w:r>
      <w:r w:rsidRPr="005630FA">
        <w:rPr>
          <w:sz w:val="22"/>
          <w:szCs w:val="22"/>
        </w:rPr>
        <w:t>=</w:t>
      </w:r>
      <w:r w:rsidRPr="005630FA">
        <w:rPr>
          <w:rFonts w:eastAsiaTheme="minorEastAsia"/>
          <w:sz w:val="22"/>
          <w:szCs w:val="22"/>
        </w:rPr>
        <w:t>θ</w:t>
      </w:r>
      <w:r w:rsidRPr="005630FA">
        <w:rPr>
          <w:rFonts w:eastAsiaTheme="minorEastAsia"/>
          <w:sz w:val="22"/>
          <w:szCs w:val="22"/>
          <w:vertAlign w:val="subscript"/>
        </w:rPr>
        <w:t>7</w:t>
      </w:r>
      <w:r w:rsidRPr="005630FA">
        <w:rPr>
          <w:sz w:val="22"/>
          <w:szCs w:val="22"/>
        </w:rPr>
        <w:t>. Log-normal distributions were assumed for the interindividual variability of all model parameters. Residual intraindividual variability is not defined for probability models. For both pharmacodynamic models, the probability to achieve exactly a particular MOAA/S score was calculated as following:</w:t>
      </w:r>
    </w:p>
    <w:p w:rsidR="00FD3878" w:rsidRPr="005630FA" w:rsidRDefault="00FD3878" w:rsidP="00BA5F82">
      <w:pPr>
        <w:spacing w:after="120" w:line="480" w:lineRule="auto"/>
        <w:jc w:val="both"/>
        <w:rPr>
          <w:rFonts w:eastAsiaTheme="minorEastAsia"/>
          <w:sz w:val="22"/>
          <w:szCs w:val="22"/>
        </w:rPr>
      </w:pPr>
      <m:oMathPara>
        <m:oMathParaPr>
          <m:jc m:val="left"/>
        </m:oMathParaP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MOAA/S=0</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MOAA/S≤0</m:t>
              </m:r>
            </m:e>
          </m:d>
        </m:oMath>
      </m:oMathPara>
    </w:p>
    <w:p w:rsidR="00FD3878" w:rsidRPr="005630FA" w:rsidRDefault="00FD3878" w:rsidP="00BA5F82">
      <w:pPr>
        <w:spacing w:after="120" w:line="480" w:lineRule="auto"/>
        <w:jc w:val="both"/>
        <w:rPr>
          <w:rFonts w:eastAsiaTheme="minorEastAsia"/>
          <w:sz w:val="22"/>
          <w:szCs w:val="22"/>
        </w:rPr>
      </w:pPr>
      <m:oMathPara>
        <m:oMathParaPr>
          <m:jc m:val="left"/>
        </m:oMathParaP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MOAA/S=1</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MOAA/S≤1</m:t>
              </m:r>
            </m:e>
          </m:d>
          <m:r>
            <w:rPr>
              <w:rFonts w:ascii="Cambria Math" w:hAnsi="Cambria Math"/>
              <w:sz w:val="22"/>
              <w:szCs w:val="22"/>
            </w:rPr>
            <m:t>-P(MOAA/S≤0)</m:t>
          </m:r>
        </m:oMath>
      </m:oMathPara>
    </w:p>
    <w:p w:rsidR="00FD3878" w:rsidRPr="005630FA" w:rsidRDefault="00FD3878" w:rsidP="00BA5F82">
      <w:pPr>
        <w:spacing w:after="120" w:line="480" w:lineRule="auto"/>
        <w:jc w:val="both"/>
        <w:rPr>
          <w:rFonts w:eastAsiaTheme="minorEastAsia"/>
          <w:sz w:val="22"/>
          <w:szCs w:val="22"/>
        </w:rPr>
      </w:pPr>
      <m:oMathPara>
        <m:oMathParaPr>
          <m:jc m:val="left"/>
        </m:oMathParaP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MOAA/S=2</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MOAA/S≤2</m:t>
              </m:r>
            </m:e>
          </m:d>
          <m:r>
            <w:rPr>
              <w:rFonts w:ascii="Cambria Math" w:hAnsi="Cambria Math"/>
              <w:sz w:val="22"/>
              <w:szCs w:val="22"/>
            </w:rPr>
            <m:t>-P(MOAA/S≤1)</m:t>
          </m:r>
        </m:oMath>
      </m:oMathPara>
    </w:p>
    <w:p w:rsidR="00FD3878" w:rsidRPr="005630FA" w:rsidRDefault="00FD3878" w:rsidP="00BA5F82">
      <w:pPr>
        <w:spacing w:after="120" w:line="480" w:lineRule="auto"/>
        <w:jc w:val="both"/>
        <w:rPr>
          <w:rFonts w:eastAsiaTheme="minorEastAsia"/>
          <w:sz w:val="22"/>
          <w:szCs w:val="22"/>
        </w:rPr>
      </w:pPr>
      <m:oMathPara>
        <m:oMathParaPr>
          <m:jc m:val="left"/>
        </m:oMathParaP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MOAA/S=3</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MOAA/S≤3</m:t>
              </m:r>
            </m:e>
          </m:d>
          <m:r>
            <w:rPr>
              <w:rFonts w:ascii="Cambria Math" w:hAnsi="Cambria Math"/>
              <w:sz w:val="22"/>
              <w:szCs w:val="22"/>
            </w:rPr>
            <m:t>-P(MOAA/S≤2)</m:t>
          </m:r>
        </m:oMath>
      </m:oMathPara>
    </w:p>
    <w:p w:rsidR="00FD3878" w:rsidRPr="005630FA" w:rsidRDefault="00FD3878" w:rsidP="00BA5F82">
      <w:pPr>
        <w:spacing w:after="120" w:line="480" w:lineRule="auto"/>
        <w:jc w:val="both"/>
        <w:rPr>
          <w:rFonts w:eastAsiaTheme="minorEastAsia"/>
          <w:sz w:val="22"/>
          <w:szCs w:val="22"/>
        </w:rPr>
      </w:pPr>
      <m:oMathPara>
        <m:oMathParaPr>
          <m:jc m:val="left"/>
        </m:oMathParaP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MOAA/S=4</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MOAA/S≤4</m:t>
              </m:r>
            </m:e>
          </m:d>
          <m:r>
            <w:rPr>
              <w:rFonts w:ascii="Cambria Math" w:hAnsi="Cambria Math"/>
              <w:sz w:val="22"/>
              <w:szCs w:val="22"/>
            </w:rPr>
            <m:t>-P(MOAA/S≤3)</m:t>
          </m:r>
        </m:oMath>
      </m:oMathPara>
    </w:p>
    <w:p w:rsidR="00FD3878" w:rsidRPr="005630FA" w:rsidRDefault="00FD3878" w:rsidP="00BA5F82">
      <w:pPr>
        <w:spacing w:after="120" w:line="480" w:lineRule="auto"/>
        <w:jc w:val="both"/>
        <w:rPr>
          <w:rFonts w:eastAsiaTheme="minorEastAsia"/>
          <w:sz w:val="22"/>
          <w:szCs w:val="22"/>
        </w:rPr>
      </w:pPr>
      <m:oMathPara>
        <m:oMathParaPr>
          <m:jc m:val="left"/>
        </m:oMathParaP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MOAA/S=5</m:t>
              </m:r>
            </m:e>
          </m:d>
          <m:r>
            <w:rPr>
              <w:rFonts w:ascii="Cambria Math" w:hAnsi="Cambria Math"/>
              <w:sz w:val="22"/>
              <w:szCs w:val="22"/>
            </w:rPr>
            <m:t>=1-P</m:t>
          </m:r>
          <m:d>
            <m:dPr>
              <m:ctrlPr>
                <w:rPr>
                  <w:rFonts w:ascii="Cambria Math" w:hAnsi="Cambria Math"/>
                  <w:i/>
                  <w:sz w:val="22"/>
                  <w:szCs w:val="22"/>
                </w:rPr>
              </m:ctrlPr>
            </m:dPr>
            <m:e>
              <m:r>
                <w:rPr>
                  <w:rFonts w:ascii="Cambria Math" w:hAnsi="Cambria Math"/>
                  <w:sz w:val="22"/>
                  <w:szCs w:val="22"/>
                </w:rPr>
                <m:t>MOAA/S≤4</m:t>
              </m:r>
            </m:e>
          </m:d>
        </m:oMath>
      </m:oMathPara>
    </w:p>
    <w:p w:rsidR="00FD3878" w:rsidRPr="005630FA" w:rsidRDefault="00FD3878" w:rsidP="00BA5F82">
      <w:pPr>
        <w:spacing w:after="120" w:line="480" w:lineRule="auto"/>
        <w:rPr>
          <w:sz w:val="22"/>
          <w:szCs w:val="22"/>
        </w:rPr>
      </w:pPr>
      <w:r w:rsidRPr="005630FA">
        <w:rPr>
          <w:sz w:val="22"/>
          <w:szCs w:val="22"/>
        </w:rPr>
        <w:lastRenderedPageBreak/>
        <w:t>Parameters were estimated using the Laplacian estimation method and NONMEM subroutine ADVAN6.</w:t>
      </w:r>
    </w:p>
    <w:p w:rsidR="00FD3878" w:rsidRPr="005630FA" w:rsidRDefault="00FD3878" w:rsidP="00BA5F82">
      <w:pPr>
        <w:pStyle w:val="berschrift4"/>
        <w:spacing w:before="0" w:after="120" w:line="480" w:lineRule="auto"/>
        <w:rPr>
          <w:rFonts w:ascii="Times New Roman" w:hAnsi="Times New Roman"/>
          <w:color w:val="auto"/>
          <w:sz w:val="22"/>
          <w:szCs w:val="22"/>
        </w:rPr>
      </w:pPr>
      <w:r w:rsidRPr="005630FA">
        <w:rPr>
          <w:rFonts w:ascii="Times New Roman" w:hAnsi="Times New Roman"/>
          <w:color w:val="auto"/>
          <w:sz w:val="22"/>
          <w:szCs w:val="22"/>
        </w:rPr>
        <w:t>Model Development</w:t>
      </w:r>
    </w:p>
    <w:p w:rsidR="00FD3878" w:rsidRPr="005630FA" w:rsidRDefault="00FD3878" w:rsidP="00BA5F82">
      <w:pPr>
        <w:spacing w:after="120" w:line="480" w:lineRule="auto"/>
        <w:rPr>
          <w:sz w:val="22"/>
          <w:szCs w:val="22"/>
        </w:rPr>
      </w:pPr>
      <w:r w:rsidRPr="005630FA">
        <w:rPr>
          <w:sz w:val="22"/>
          <w:szCs w:val="22"/>
        </w:rPr>
        <w:t>Modeling was performed sequentially: The basic structural model (i.e. two- or three-compartment model for pharmacokinetics, ordinal logistic or sigmoid probability model for pharmacodynamics) was determined first, followed by covariate analysis. Selection of the best structural model was primarily based on the Bayes information crit</w:t>
      </w:r>
      <w:r w:rsidR="004E572E">
        <w:rPr>
          <w:sz w:val="22"/>
          <w:szCs w:val="22"/>
        </w:rPr>
        <w:t>erion (BIC) defined as BIC=</w:t>
      </w:r>
      <w:proofErr w:type="spellStart"/>
      <w:r w:rsidR="004E572E">
        <w:rPr>
          <w:sz w:val="22"/>
          <w:szCs w:val="22"/>
        </w:rPr>
        <w:t>OFV+L</w:t>
      </w:r>
      <w:r w:rsidRPr="005630FA">
        <w:rPr>
          <w:sz w:val="22"/>
          <w:szCs w:val="22"/>
        </w:rPr>
        <w:t>n</w:t>
      </w:r>
      <w:proofErr w:type="spellEnd"/>
      <w:r w:rsidRPr="005630FA">
        <w:rPr>
          <w:sz w:val="22"/>
          <w:szCs w:val="22"/>
        </w:rPr>
        <w:t>(Nobs)*</w:t>
      </w:r>
      <w:proofErr w:type="spellStart"/>
      <w:r w:rsidRPr="005630FA">
        <w:rPr>
          <w:sz w:val="22"/>
          <w:szCs w:val="22"/>
        </w:rPr>
        <w:t>Npar</w:t>
      </w:r>
      <w:proofErr w:type="spellEnd"/>
      <w:r w:rsidRPr="005630FA">
        <w:rPr>
          <w:sz w:val="22"/>
          <w:szCs w:val="22"/>
        </w:rPr>
        <w:t xml:space="preserve">, where OFV is the NONMEM objective function value to be minimized, Nobs is the number of observations and </w:t>
      </w:r>
      <w:proofErr w:type="spellStart"/>
      <w:r w:rsidRPr="005630FA">
        <w:rPr>
          <w:sz w:val="22"/>
          <w:szCs w:val="22"/>
        </w:rPr>
        <w:t>Npar</w:t>
      </w:r>
      <w:proofErr w:type="spellEnd"/>
      <w:r w:rsidRPr="005630FA">
        <w:rPr>
          <w:sz w:val="22"/>
          <w:szCs w:val="22"/>
        </w:rPr>
        <w:t xml:space="preserve"> is the number of parameters to be estimated. The model with the lowest BIC was selected as best model. </w:t>
      </w:r>
    </w:p>
    <w:p w:rsidR="00FD3878" w:rsidRPr="005630FA" w:rsidRDefault="00FD3878" w:rsidP="00BA5F82">
      <w:pPr>
        <w:spacing w:after="120" w:line="480" w:lineRule="auto"/>
        <w:rPr>
          <w:sz w:val="22"/>
          <w:szCs w:val="22"/>
        </w:rPr>
      </w:pPr>
      <w:r w:rsidRPr="005630FA">
        <w:rPr>
          <w:sz w:val="22"/>
          <w:szCs w:val="22"/>
        </w:rPr>
        <w:t xml:space="preserve">After the structural model had been selected, the individual Bayesian estimates of the model parameters were used for the detection of covariate effects. The </w:t>
      </w:r>
      <w:proofErr w:type="spellStart"/>
      <w:r w:rsidRPr="005630FA">
        <w:rPr>
          <w:sz w:val="22"/>
          <w:szCs w:val="22"/>
        </w:rPr>
        <w:t>informativeness</w:t>
      </w:r>
      <w:proofErr w:type="spellEnd"/>
      <w:r w:rsidRPr="005630FA">
        <w:rPr>
          <w:sz w:val="22"/>
          <w:szCs w:val="22"/>
        </w:rPr>
        <w:t xml:space="preserve"> of the individual Bayesian estimates was assessed by the η</w:t>
      </w:r>
      <w:r w:rsidRPr="005630FA">
        <w:rPr>
          <w:sz w:val="22"/>
          <w:szCs w:val="22"/>
        </w:rPr>
        <w:noBreakHyphen/>
        <w:t>shrinkage of the model parameters, defined as 1</w:t>
      </w:r>
      <w:r w:rsidR="00896EAE">
        <w:rPr>
          <w:sz w:val="22"/>
          <w:szCs w:val="22"/>
        </w:rPr>
        <w:noBreakHyphen/>
      </w:r>
      <w:r w:rsidRPr="005630FA">
        <w:rPr>
          <w:sz w:val="22"/>
          <w:szCs w:val="22"/>
        </w:rPr>
        <w:t>SD(</w:t>
      </w:r>
      <w:proofErr w:type="spellStart"/>
      <w:r w:rsidRPr="005630FA">
        <w:rPr>
          <w:sz w:val="22"/>
          <w:szCs w:val="22"/>
        </w:rPr>
        <w:t>η</w:t>
      </w:r>
      <w:r w:rsidRPr="005630FA">
        <w:rPr>
          <w:sz w:val="22"/>
          <w:szCs w:val="22"/>
          <w:vertAlign w:val="subscript"/>
        </w:rPr>
        <w:t>i</w:t>
      </w:r>
      <w:proofErr w:type="spellEnd"/>
      <w:r w:rsidRPr="005630FA">
        <w:rPr>
          <w:sz w:val="22"/>
          <w:szCs w:val="22"/>
        </w:rPr>
        <w:t xml:space="preserve">)/ω where </w:t>
      </w:r>
      <w:proofErr w:type="spellStart"/>
      <w:r w:rsidRPr="005630FA">
        <w:rPr>
          <w:sz w:val="22"/>
          <w:szCs w:val="22"/>
        </w:rPr>
        <w:t>η</w:t>
      </w:r>
      <w:r w:rsidRPr="005630FA">
        <w:rPr>
          <w:sz w:val="22"/>
          <w:szCs w:val="22"/>
          <w:vertAlign w:val="subscript"/>
        </w:rPr>
        <w:t>i</w:t>
      </w:r>
      <w:proofErr w:type="spellEnd"/>
      <w:r w:rsidRPr="005630FA">
        <w:rPr>
          <w:sz w:val="22"/>
          <w:szCs w:val="22"/>
        </w:rPr>
        <w:t xml:space="preserve"> are the individual Bayesian estimates of </w:t>
      </w:r>
      <w:r w:rsidR="00DA17BB" w:rsidRPr="005630FA">
        <w:rPr>
          <w:sz w:val="22"/>
          <w:szCs w:val="22"/>
        </w:rPr>
        <w:t xml:space="preserve">the </w:t>
      </w:r>
      <w:r w:rsidRPr="005630FA">
        <w:rPr>
          <w:sz w:val="22"/>
          <w:szCs w:val="22"/>
        </w:rPr>
        <w:t xml:space="preserve">interindividual </w:t>
      </w:r>
      <w:r w:rsidR="00DA17BB" w:rsidRPr="005630FA">
        <w:rPr>
          <w:sz w:val="22"/>
          <w:szCs w:val="22"/>
        </w:rPr>
        <w:t xml:space="preserve">random variable η </w:t>
      </w:r>
      <w:r w:rsidRPr="005630FA">
        <w:rPr>
          <w:sz w:val="22"/>
          <w:szCs w:val="22"/>
        </w:rPr>
        <w:t xml:space="preserve">and ω is the population model estimate of the corresponding standard deviation. For detection of covariate effects, the individual Bayesian estimates of the model parameters were plotted independently against age and weight. Linear regression analysis was used as a first test for covariate effects. Subsequently, selected covariates were incorporated into the basic structural model using linear relationships with centering on the median value of the covariate (COV) within the population: </w:t>
      </w:r>
    </w:p>
    <w:p w:rsidR="00FD3878" w:rsidRPr="005630FA" w:rsidRDefault="00E4470F" w:rsidP="00BA5F82">
      <w:pPr>
        <w:spacing w:after="120" w:line="480" w:lineRule="auto"/>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TV</m:t>
              </m:r>
            </m:sub>
          </m:sSub>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COV</m:t>
              </m:r>
            </m:sub>
          </m:sSub>
          <m:r>
            <w:rPr>
              <w:rFonts w:ascii="Cambria Math" w:hAnsi="Cambria Math"/>
              <w:sz w:val="22"/>
              <w:szCs w:val="22"/>
            </w:rPr>
            <m:t>∙(COV-Median</m:t>
          </m:r>
          <m:d>
            <m:dPr>
              <m:ctrlPr>
                <w:rPr>
                  <w:rFonts w:ascii="Cambria Math" w:hAnsi="Cambria Math"/>
                  <w:i/>
                  <w:sz w:val="22"/>
                  <w:szCs w:val="22"/>
                </w:rPr>
              </m:ctrlPr>
            </m:dPr>
            <m:e>
              <m:r>
                <w:rPr>
                  <w:rFonts w:ascii="Cambria Math" w:hAnsi="Cambria Math"/>
                  <w:sz w:val="22"/>
                  <w:szCs w:val="22"/>
                </w:rPr>
                <m:t>CO</m:t>
              </m:r>
              <m:r>
                <w:rPr>
                  <w:rFonts w:ascii="Cambria Math" w:hAnsi="Cambria Math"/>
                  <w:sz w:val="22"/>
                  <w:szCs w:val="22"/>
                </w:rPr>
                <m:t>V</m:t>
              </m:r>
            </m:e>
          </m:d>
          <m:r>
            <w:rPr>
              <w:rFonts w:ascii="Cambria Math" w:hAnsi="Cambria Math"/>
              <w:sz w:val="22"/>
              <w:szCs w:val="22"/>
            </w:rPr>
            <m:t>)</m:t>
          </m:r>
        </m:oMath>
      </m:oMathPara>
    </w:p>
    <w:p w:rsidR="00FD3878" w:rsidRPr="005630FA" w:rsidRDefault="00FD3878" w:rsidP="00BA5F82">
      <w:pPr>
        <w:spacing w:after="120" w:line="480" w:lineRule="auto"/>
        <w:jc w:val="both"/>
        <w:rPr>
          <w:sz w:val="22"/>
          <w:szCs w:val="22"/>
        </w:rPr>
      </w:pPr>
      <w:proofErr w:type="gramStart"/>
      <w:r w:rsidRPr="005630FA">
        <w:rPr>
          <w:sz w:val="22"/>
          <w:szCs w:val="22"/>
        </w:rPr>
        <w:t>where</w:t>
      </w:r>
      <w:proofErr w:type="gramEnd"/>
      <w:r w:rsidRPr="005630FA">
        <w:rPr>
          <w:sz w:val="22"/>
          <w:szCs w:val="22"/>
        </w:rPr>
        <w:t xml:space="preserve"> </w:t>
      </w:r>
      <w:r w:rsidRPr="005630FA">
        <w:rPr>
          <w:sz w:val="22"/>
          <w:szCs w:val="22"/>
        </w:rPr>
        <w:sym w:font="Symbol" w:char="F071"/>
      </w:r>
      <w:r w:rsidRPr="005630FA">
        <w:rPr>
          <w:sz w:val="22"/>
          <w:szCs w:val="22"/>
          <w:vertAlign w:val="subscript"/>
        </w:rPr>
        <w:t>TV</w:t>
      </w:r>
      <w:r w:rsidRPr="005630FA">
        <w:rPr>
          <w:sz w:val="22"/>
          <w:szCs w:val="22"/>
        </w:rPr>
        <w:t xml:space="preserve"> is the typical value of the parameter in the population and </w:t>
      </w:r>
      <w:r w:rsidRPr="005630FA">
        <w:rPr>
          <w:sz w:val="22"/>
          <w:szCs w:val="22"/>
        </w:rPr>
        <w:sym w:font="Symbol" w:char="F071"/>
      </w:r>
      <w:r w:rsidRPr="005630FA">
        <w:rPr>
          <w:sz w:val="22"/>
          <w:szCs w:val="22"/>
          <w:vertAlign w:val="subscript"/>
        </w:rPr>
        <w:t>COV</w:t>
      </w:r>
      <w:r w:rsidRPr="005630FA">
        <w:rPr>
          <w:sz w:val="22"/>
          <w:szCs w:val="22"/>
        </w:rPr>
        <w:t xml:space="preserve"> quantifies the covariate effect. For the effect of body weight, </w:t>
      </w:r>
      <w:r w:rsidR="00187030" w:rsidRPr="005630FA">
        <w:rPr>
          <w:sz w:val="22"/>
          <w:szCs w:val="22"/>
        </w:rPr>
        <w:t xml:space="preserve">we tested linear relationships as well as </w:t>
      </w:r>
      <w:r w:rsidRPr="005630FA">
        <w:rPr>
          <w:sz w:val="22"/>
          <w:szCs w:val="22"/>
        </w:rPr>
        <w:t>power models:</w:t>
      </w:r>
    </w:p>
    <w:p w:rsidR="00FD3878" w:rsidRPr="005630FA" w:rsidRDefault="00E4470F" w:rsidP="00BA5F82">
      <w:pPr>
        <w:spacing w:after="120" w:line="480" w:lineRule="auto"/>
        <w:jc w:val="both"/>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TV</m:t>
              </m:r>
            </m:sub>
          </m:sSub>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BW</m:t>
                  </m:r>
                </m:num>
                <m:den>
                  <m:r>
                    <w:rPr>
                      <w:rFonts w:ascii="Cambria Math" w:hAnsi="Cambria Math"/>
                      <w:sz w:val="22"/>
                      <w:szCs w:val="22"/>
                    </w:rPr>
                    <m:t>Median(BW)</m:t>
                  </m:r>
                </m:den>
              </m:f>
              <m:r>
                <w:rPr>
                  <w:rFonts w:ascii="Cambria Math" w:hAnsi="Cambria Math"/>
                  <w:sz w:val="22"/>
                  <w:szCs w:val="22"/>
                </w:rPr>
                <m:t>)</m:t>
              </m:r>
            </m:e>
            <m:sup>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BW</m:t>
                  </m:r>
                </m:sub>
              </m:sSub>
            </m:sup>
          </m:sSup>
        </m:oMath>
      </m:oMathPara>
    </w:p>
    <w:p w:rsidR="00FD3878" w:rsidRPr="005630FA" w:rsidRDefault="00FD3878" w:rsidP="00BA5F82">
      <w:pPr>
        <w:spacing w:after="120" w:line="480" w:lineRule="auto"/>
        <w:rPr>
          <w:sz w:val="22"/>
          <w:szCs w:val="22"/>
        </w:rPr>
      </w:pPr>
      <w:r w:rsidRPr="005630FA">
        <w:rPr>
          <w:sz w:val="22"/>
          <w:szCs w:val="22"/>
        </w:rPr>
        <w:lastRenderedPageBreak/>
        <w:t xml:space="preserve"> </w:t>
      </w:r>
      <w:proofErr w:type="gramStart"/>
      <w:r w:rsidRPr="005630FA">
        <w:rPr>
          <w:sz w:val="22"/>
          <w:szCs w:val="22"/>
        </w:rPr>
        <w:t>with</w:t>
      </w:r>
      <w:proofErr w:type="gramEnd"/>
      <w:r w:rsidRPr="005630FA">
        <w:rPr>
          <w:sz w:val="22"/>
          <w:szCs w:val="22"/>
        </w:rPr>
        <w:t xml:space="preserve"> the exponent </w:t>
      </w:r>
      <w:proofErr w:type="spellStart"/>
      <w:r w:rsidRPr="005630FA">
        <w:rPr>
          <w:sz w:val="22"/>
          <w:szCs w:val="22"/>
        </w:rPr>
        <w:t>θ</w:t>
      </w:r>
      <w:r w:rsidRPr="005630FA">
        <w:rPr>
          <w:sz w:val="22"/>
          <w:szCs w:val="22"/>
          <w:vertAlign w:val="subscript"/>
        </w:rPr>
        <w:t>BW</w:t>
      </w:r>
      <w:proofErr w:type="spellEnd"/>
      <w:r w:rsidRPr="005630FA">
        <w:rPr>
          <w:sz w:val="22"/>
          <w:szCs w:val="22"/>
        </w:rPr>
        <w:t xml:space="preserve"> fixed to 1 (proportional weight scaling) or estimated from the data.</w:t>
      </w:r>
      <w:r w:rsidR="00187030" w:rsidRPr="005630FA">
        <w:rPr>
          <w:sz w:val="22"/>
          <w:szCs w:val="22"/>
        </w:rPr>
        <w:t xml:space="preserve"> An allometric model with the exponent </w:t>
      </w:r>
      <w:proofErr w:type="spellStart"/>
      <w:r w:rsidR="00900AA0" w:rsidRPr="005630FA">
        <w:rPr>
          <w:sz w:val="22"/>
          <w:szCs w:val="22"/>
        </w:rPr>
        <w:t>θ</w:t>
      </w:r>
      <w:r w:rsidR="00900AA0" w:rsidRPr="005630FA">
        <w:rPr>
          <w:sz w:val="22"/>
          <w:szCs w:val="22"/>
          <w:vertAlign w:val="subscript"/>
        </w:rPr>
        <w:t>BW</w:t>
      </w:r>
      <w:proofErr w:type="spellEnd"/>
      <w:r w:rsidR="00900AA0" w:rsidRPr="005630FA">
        <w:rPr>
          <w:sz w:val="22"/>
          <w:szCs w:val="22"/>
        </w:rPr>
        <w:t xml:space="preserve"> </w:t>
      </w:r>
      <w:r w:rsidR="00187030" w:rsidRPr="005630FA">
        <w:rPr>
          <w:sz w:val="22"/>
          <w:szCs w:val="22"/>
        </w:rPr>
        <w:t>fixed to1 for volumes and fixed to 0.75 for clearances was also tested.</w:t>
      </w:r>
    </w:p>
    <w:p w:rsidR="00FD3878" w:rsidRPr="005630FA" w:rsidRDefault="00FD3878" w:rsidP="00BA5F82">
      <w:pPr>
        <w:spacing w:after="120" w:line="480" w:lineRule="auto"/>
        <w:rPr>
          <w:sz w:val="22"/>
          <w:szCs w:val="22"/>
        </w:rPr>
      </w:pPr>
      <w:r w:rsidRPr="005630FA">
        <w:rPr>
          <w:sz w:val="22"/>
          <w:szCs w:val="22"/>
        </w:rPr>
        <w:t xml:space="preserve">Covariate analysis was also primarily based on the BIC. A model with additional covariates was favored if the BIC was lower than for the model without covariates. The likelihood ratio test (LRT) was also performed: the difference in the OFV was tested for significance by the chi-square test with the degree of freedom being equal to the difference in the number of model parameters. If the covariate model has one additional parameter more than the basic model, a decrease of OFV by more than 3.84 is significant with p&lt;0.05. If a covariate model included additional parameters, it was also tested whether the 95% confidence interval of the additional parameters included the null hypothesis value. Covariates were included step-by-step starting from the basic structural model. Subsequently, backward deletion analysis was performed, testing each covariate effect for signiﬁcance by ﬁxing the corresponding parameter at </w:t>
      </w:r>
      <w:r w:rsidRPr="005630FA">
        <w:rPr>
          <w:i/>
          <w:sz w:val="22"/>
          <w:szCs w:val="22"/>
        </w:rPr>
        <w:sym w:font="Symbol" w:char="F071"/>
      </w:r>
      <w:r w:rsidRPr="005630FA">
        <w:rPr>
          <w:i/>
          <w:sz w:val="22"/>
          <w:szCs w:val="22"/>
          <w:vertAlign w:val="subscript"/>
        </w:rPr>
        <w:t>COV</w:t>
      </w:r>
      <w:r w:rsidRPr="005630FA">
        <w:rPr>
          <w:sz w:val="22"/>
          <w:szCs w:val="22"/>
        </w:rPr>
        <w:t xml:space="preserve">=0. </w:t>
      </w:r>
    </w:p>
    <w:p w:rsidR="00FD3878" w:rsidRPr="005630FA" w:rsidRDefault="00FD3878" w:rsidP="00BA5F82">
      <w:pPr>
        <w:pStyle w:val="berschrift4"/>
        <w:spacing w:before="0" w:after="120" w:line="480" w:lineRule="auto"/>
        <w:rPr>
          <w:rFonts w:ascii="Times New Roman" w:hAnsi="Times New Roman"/>
          <w:color w:val="auto"/>
          <w:sz w:val="22"/>
          <w:szCs w:val="22"/>
        </w:rPr>
      </w:pPr>
      <w:r w:rsidRPr="005630FA">
        <w:rPr>
          <w:rFonts w:ascii="Times New Roman" w:hAnsi="Times New Roman"/>
          <w:color w:val="auto"/>
          <w:sz w:val="22"/>
          <w:szCs w:val="22"/>
        </w:rPr>
        <w:t>Model Evaluation and Validation</w:t>
      </w:r>
    </w:p>
    <w:p w:rsidR="00FD3878" w:rsidRPr="005630FA" w:rsidRDefault="00FD3878" w:rsidP="00BA5F82">
      <w:pPr>
        <w:spacing w:after="120" w:line="480" w:lineRule="auto"/>
        <w:rPr>
          <w:sz w:val="22"/>
          <w:szCs w:val="22"/>
        </w:rPr>
      </w:pPr>
      <w:r w:rsidRPr="005630FA">
        <w:rPr>
          <w:sz w:val="22"/>
          <w:szCs w:val="22"/>
        </w:rPr>
        <w:t xml:space="preserve">For pharmacokinetic modeling, diagnostic plots (measured concentrations vs. population predictions and vs. individual predictions, conditional weighted residuals vs. time and vs. population predictions) were used to assess goodness of fit. Additionally, </w:t>
      </w:r>
      <w:r w:rsidR="00423E14" w:rsidRPr="005630FA">
        <w:rPr>
          <w:sz w:val="22"/>
          <w:szCs w:val="22"/>
        </w:rPr>
        <w:t>the prediction error (</w:t>
      </w:r>
      <w:proofErr w:type="spellStart"/>
      <w:r w:rsidR="00423E14" w:rsidRPr="005630FA">
        <w:rPr>
          <w:sz w:val="22"/>
          <w:szCs w:val="22"/>
        </w:rPr>
        <w:t>PE</w:t>
      </w:r>
      <w:r w:rsidR="00423E14" w:rsidRPr="005630FA">
        <w:rPr>
          <w:i/>
          <w:sz w:val="22"/>
          <w:szCs w:val="22"/>
          <w:vertAlign w:val="subscript"/>
        </w:rPr>
        <w:t>ij</w:t>
      </w:r>
      <w:proofErr w:type="spellEnd"/>
      <w:r w:rsidR="00423E14" w:rsidRPr="005630FA">
        <w:rPr>
          <w:sz w:val="22"/>
          <w:szCs w:val="22"/>
        </w:rPr>
        <w:t>) and the absolute prediction error (</w:t>
      </w:r>
      <w:proofErr w:type="spellStart"/>
      <w:r w:rsidR="00423E14" w:rsidRPr="005630FA">
        <w:rPr>
          <w:sz w:val="22"/>
          <w:szCs w:val="22"/>
        </w:rPr>
        <w:t>APE</w:t>
      </w:r>
      <w:r w:rsidR="00423E14" w:rsidRPr="005630FA">
        <w:rPr>
          <w:i/>
          <w:sz w:val="22"/>
          <w:szCs w:val="22"/>
          <w:vertAlign w:val="subscript"/>
        </w:rPr>
        <w:t>ij</w:t>
      </w:r>
      <w:proofErr w:type="spellEnd"/>
      <w:r w:rsidR="00423E14" w:rsidRPr="005630FA">
        <w:rPr>
          <w:sz w:val="22"/>
          <w:szCs w:val="22"/>
        </w:rPr>
        <w:t xml:space="preserve">) </w:t>
      </w:r>
      <w:r w:rsidRPr="005630FA">
        <w:rPr>
          <w:sz w:val="22"/>
          <w:szCs w:val="22"/>
        </w:rPr>
        <w:t>we</w:t>
      </w:r>
      <w:r w:rsidR="00423E14" w:rsidRPr="005630FA">
        <w:rPr>
          <w:sz w:val="22"/>
          <w:szCs w:val="22"/>
        </w:rPr>
        <w:t>re</w:t>
      </w:r>
      <w:r w:rsidRPr="005630FA">
        <w:rPr>
          <w:sz w:val="22"/>
          <w:szCs w:val="22"/>
        </w:rPr>
        <w:t xml:space="preserve"> calculated for each plasma concentration: </w:t>
      </w:r>
      <w:r w:rsidRPr="005630FA">
        <w:rPr>
          <w:sz w:val="22"/>
          <w:szCs w:val="22"/>
        </w:rPr>
        <w:br/>
      </w:r>
      <m:oMathPara>
        <m:oMathParaPr>
          <m:jc m:val="left"/>
        </m:oMathParaPr>
        <m:oMath>
          <m:sSub>
            <m:sSubPr>
              <m:ctrlPr>
                <w:rPr>
                  <w:rFonts w:ascii="Cambria Math" w:hAnsi="Cambria Math"/>
                  <w:i/>
                  <w:sz w:val="22"/>
                  <w:szCs w:val="22"/>
                </w:rPr>
              </m:ctrlPr>
            </m:sSubPr>
            <m:e>
              <m:r>
                <w:rPr>
                  <w:rFonts w:ascii="Cambria Math" w:hAnsi="Cambria Math"/>
                  <w:sz w:val="22"/>
                  <w:szCs w:val="22"/>
                </w:rPr>
                <m:t>PE</m:t>
              </m:r>
            </m:e>
            <m:sub>
              <m:r>
                <w:rPr>
                  <w:rFonts w:ascii="Cambria Math" w:hAnsi="Cambria Math"/>
                  <w:sz w:val="22"/>
                  <w:szCs w:val="22"/>
                </w:rPr>
                <m:t>ij</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m:t>
                  </m:r>
                </m:e>
                <m:sub>
                  <m:r>
                    <w:rPr>
                      <w:rFonts w:ascii="Cambria Math" w:hAnsi="Cambria Math"/>
                      <w:sz w:val="22"/>
                      <w:szCs w:val="22"/>
                    </w:rPr>
                    <m:t>ij</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Cp</m:t>
                  </m:r>
                </m:e>
                <m:sub>
                  <m:r>
                    <w:rPr>
                      <w:rFonts w:ascii="Cambria Math" w:hAnsi="Cambria Math"/>
                      <w:sz w:val="22"/>
                      <w:szCs w:val="22"/>
                    </w:rPr>
                    <m:t>ij</m:t>
                  </m:r>
                </m:sub>
              </m:sSub>
            </m:num>
            <m:den>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p,ij</m:t>
                  </m:r>
                </m:sub>
              </m:sSub>
            </m:den>
          </m:f>
          <m:r>
            <w:rPr>
              <w:rFonts w:ascii="Cambria Math" w:hAnsi="Cambria Math"/>
              <w:sz w:val="22"/>
              <w:szCs w:val="22"/>
            </w:rPr>
            <m:t>∙100%</m:t>
          </m:r>
        </m:oMath>
      </m:oMathPara>
    </w:p>
    <w:p w:rsidR="00FD3878" w:rsidRPr="005630FA" w:rsidRDefault="00E4470F" w:rsidP="00BA5F82">
      <w:pPr>
        <w:spacing w:after="120" w:line="480" w:lineRule="auto"/>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APE</m:t>
              </m:r>
            </m:e>
            <m:sub>
              <m:r>
                <w:rPr>
                  <w:rFonts w:ascii="Cambria Math" w:hAnsi="Cambria Math"/>
                  <w:sz w:val="22"/>
                  <w:szCs w:val="22"/>
                </w:rPr>
                <m:t>ij</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m:t>
                  </m:r>
                </m:e>
                <m:sub>
                  <m:r>
                    <w:rPr>
                      <w:rFonts w:ascii="Cambria Math" w:hAnsi="Cambria Math"/>
                      <w:sz w:val="22"/>
                      <w:szCs w:val="22"/>
                    </w:rPr>
                    <m:t>ij</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Cp</m:t>
                  </m:r>
                </m:e>
                <m:sub>
                  <m:r>
                    <w:rPr>
                      <w:rFonts w:ascii="Cambria Math" w:hAnsi="Cambria Math"/>
                      <w:sz w:val="22"/>
                      <w:szCs w:val="22"/>
                    </w:rPr>
                    <m:t>ij</m:t>
                  </m:r>
                </m:sub>
              </m:sSub>
              <m:r>
                <w:rPr>
                  <w:rFonts w:ascii="Cambria Math" w:hAnsi="Cambria Math"/>
                  <w:sz w:val="22"/>
                  <w:szCs w:val="22"/>
                </w:rPr>
                <m:t>|</m:t>
              </m:r>
            </m:num>
            <m:den>
              <m:sSub>
                <m:sSubPr>
                  <m:ctrlPr>
                    <w:rPr>
                      <w:rFonts w:ascii="Cambria Math" w:hAnsi="Cambria Math"/>
                      <w:i/>
                      <w:sz w:val="22"/>
                      <w:szCs w:val="22"/>
                    </w:rPr>
                  </m:ctrlPr>
                </m:sSubPr>
                <m:e>
                  <m:r>
                    <w:rPr>
                      <w:rFonts w:ascii="Cambria Math" w:hAnsi="Cambria Math"/>
                      <w:sz w:val="22"/>
                      <w:szCs w:val="22"/>
                    </w:rPr>
                    <m:t>Cp</m:t>
                  </m:r>
                </m:e>
                <m:sub>
                  <m:r>
                    <w:rPr>
                      <w:rFonts w:ascii="Cambria Math" w:hAnsi="Cambria Math"/>
                      <w:sz w:val="22"/>
                      <w:szCs w:val="22"/>
                    </w:rPr>
                    <m:t>ij</m:t>
                  </m:r>
                </m:sub>
              </m:sSub>
            </m:den>
          </m:f>
          <m:r>
            <w:rPr>
              <w:rFonts w:ascii="Cambria Math" w:hAnsi="Cambria Math"/>
              <w:sz w:val="22"/>
              <w:szCs w:val="22"/>
            </w:rPr>
            <m:t>∙100%</m:t>
          </m:r>
        </m:oMath>
      </m:oMathPara>
    </w:p>
    <w:p w:rsidR="00FD3878" w:rsidRPr="005630FA" w:rsidRDefault="00FD3878" w:rsidP="00BA5F82">
      <w:pPr>
        <w:spacing w:after="120" w:line="480" w:lineRule="auto"/>
        <w:jc w:val="both"/>
        <w:rPr>
          <w:sz w:val="22"/>
          <w:szCs w:val="22"/>
        </w:rPr>
      </w:pPr>
      <w:proofErr w:type="gramStart"/>
      <w:r w:rsidRPr="005630FA">
        <w:rPr>
          <w:sz w:val="22"/>
          <w:szCs w:val="22"/>
        </w:rPr>
        <w:lastRenderedPageBreak/>
        <w:t>where</w:t>
      </w:r>
      <w:proofErr w:type="gramEnd"/>
      <w:r w:rsidRPr="005630FA">
        <w:rPr>
          <w:sz w:val="22"/>
          <w:szCs w:val="22"/>
        </w:rPr>
        <w:t xml:space="preserve"> </w:t>
      </w:r>
      <w:proofErr w:type="spellStart"/>
      <w:r w:rsidRPr="005630FA">
        <w:rPr>
          <w:sz w:val="22"/>
          <w:szCs w:val="22"/>
        </w:rPr>
        <w:t>Cm</w:t>
      </w:r>
      <w:r w:rsidRPr="005630FA">
        <w:rPr>
          <w:sz w:val="22"/>
          <w:szCs w:val="22"/>
          <w:vertAlign w:val="subscript"/>
        </w:rPr>
        <w:t>ij</w:t>
      </w:r>
      <w:proofErr w:type="spellEnd"/>
      <w:r w:rsidRPr="005630FA">
        <w:rPr>
          <w:sz w:val="22"/>
          <w:szCs w:val="22"/>
        </w:rPr>
        <w:t xml:space="preserve"> is the </w:t>
      </w:r>
      <w:proofErr w:type="spellStart"/>
      <w:r w:rsidRPr="005630FA">
        <w:rPr>
          <w:i/>
          <w:sz w:val="22"/>
          <w:szCs w:val="22"/>
        </w:rPr>
        <w:t>j</w:t>
      </w:r>
      <w:r w:rsidRPr="005630FA">
        <w:rPr>
          <w:i/>
          <w:sz w:val="22"/>
          <w:szCs w:val="22"/>
          <w:vertAlign w:val="superscript"/>
        </w:rPr>
        <w:t>th</w:t>
      </w:r>
      <w:proofErr w:type="spellEnd"/>
      <w:r w:rsidRPr="005630FA">
        <w:rPr>
          <w:sz w:val="22"/>
          <w:szCs w:val="22"/>
        </w:rPr>
        <w:t xml:space="preserve"> measured concentration of the </w:t>
      </w:r>
      <w:proofErr w:type="spellStart"/>
      <w:r w:rsidRPr="005630FA">
        <w:rPr>
          <w:i/>
          <w:sz w:val="22"/>
          <w:szCs w:val="22"/>
        </w:rPr>
        <w:t>i</w:t>
      </w:r>
      <w:r w:rsidRPr="005630FA">
        <w:rPr>
          <w:i/>
          <w:sz w:val="22"/>
          <w:szCs w:val="22"/>
          <w:vertAlign w:val="superscript"/>
        </w:rPr>
        <w:t>th</w:t>
      </w:r>
      <w:proofErr w:type="spellEnd"/>
      <w:r w:rsidRPr="005630FA">
        <w:rPr>
          <w:sz w:val="22"/>
          <w:szCs w:val="22"/>
        </w:rPr>
        <w:t xml:space="preserve"> individual, and </w:t>
      </w:r>
      <w:proofErr w:type="spellStart"/>
      <w:r w:rsidRPr="005630FA">
        <w:rPr>
          <w:sz w:val="22"/>
          <w:szCs w:val="22"/>
        </w:rPr>
        <w:t>Cp</w:t>
      </w:r>
      <w:r w:rsidRPr="005630FA">
        <w:rPr>
          <w:sz w:val="22"/>
          <w:szCs w:val="22"/>
          <w:vertAlign w:val="subscript"/>
        </w:rPr>
        <w:t>ij</w:t>
      </w:r>
      <w:proofErr w:type="spellEnd"/>
      <w:r w:rsidRPr="005630FA">
        <w:rPr>
          <w:sz w:val="22"/>
          <w:szCs w:val="22"/>
        </w:rPr>
        <w:t xml:space="preserve"> is the corresponding predicted concentration. Prediction errors were calculated for individual and population predictions, and goodness of fit was assessed by the median values of </w:t>
      </w:r>
      <w:proofErr w:type="spellStart"/>
      <w:r w:rsidRPr="005630FA">
        <w:rPr>
          <w:sz w:val="22"/>
          <w:szCs w:val="22"/>
        </w:rPr>
        <w:t>PE</w:t>
      </w:r>
      <w:r w:rsidRPr="005630FA">
        <w:rPr>
          <w:sz w:val="22"/>
          <w:szCs w:val="22"/>
          <w:vertAlign w:val="subscript"/>
        </w:rPr>
        <w:t>ij</w:t>
      </w:r>
      <w:proofErr w:type="spellEnd"/>
      <w:r w:rsidRPr="005630FA">
        <w:rPr>
          <w:sz w:val="22"/>
          <w:szCs w:val="22"/>
        </w:rPr>
        <w:t xml:space="preserve"> (MDPE) and </w:t>
      </w:r>
      <w:proofErr w:type="spellStart"/>
      <w:r w:rsidRPr="005630FA">
        <w:rPr>
          <w:sz w:val="22"/>
          <w:szCs w:val="22"/>
        </w:rPr>
        <w:t>APE</w:t>
      </w:r>
      <w:r w:rsidRPr="005630FA">
        <w:rPr>
          <w:sz w:val="22"/>
          <w:szCs w:val="22"/>
          <w:vertAlign w:val="subscript"/>
        </w:rPr>
        <w:t>ij</w:t>
      </w:r>
      <w:proofErr w:type="spellEnd"/>
      <w:r w:rsidRPr="005630FA">
        <w:rPr>
          <w:sz w:val="22"/>
          <w:szCs w:val="22"/>
        </w:rPr>
        <w:t xml:space="preserve"> (MDAPE). </w:t>
      </w:r>
    </w:p>
    <w:p w:rsidR="00FD3878" w:rsidRPr="005630FA" w:rsidRDefault="00FD3878" w:rsidP="00BA5F82">
      <w:pPr>
        <w:spacing w:after="120" w:line="480" w:lineRule="auto"/>
        <w:jc w:val="both"/>
        <w:rPr>
          <w:sz w:val="22"/>
          <w:szCs w:val="22"/>
        </w:rPr>
      </w:pPr>
      <w:r w:rsidRPr="005630FA">
        <w:rPr>
          <w:sz w:val="22"/>
          <w:szCs w:val="22"/>
        </w:rPr>
        <w:t xml:space="preserve">Models were further validated by visual predictive check with 1000 simulated datasets using the doses and sampling times of the original data set, and model parameters with distributions as determined in the final pharmacokinetic model. Bootstrap analysis was performed to analyze the stability of the model and to obtain nonparametric confidence intervals of the final population model parameters. From the observed data, 1000 new data sets with the same number of individuals as the original data set were generated by resampling with replacement, and the final model was fitted to these new data sets. </w:t>
      </w:r>
      <w:r w:rsidR="00AE4A2D" w:rsidRPr="005630FA">
        <w:rPr>
          <w:sz w:val="22"/>
          <w:szCs w:val="22"/>
        </w:rPr>
        <w:t xml:space="preserve">Median and confidence intervals of the bootstrap estimates were determined from successful bootstrap runs only, omitting runs with estimates near a boundary and runs which did not converge. </w:t>
      </w:r>
      <w:r w:rsidRPr="005630FA">
        <w:rPr>
          <w:sz w:val="22"/>
          <w:szCs w:val="22"/>
        </w:rPr>
        <w:t>The reliability of the parameter estimates was further assessed by log-likelihood profiling (LLP). For this purpose, the parameter to be assessed was fixed at particular values around its final population estimate, and the corresponding OFV values were plotted vs. the parameter values. This profile should have a clear minimum at the final estimate and its shape should not be too flat. As the change of the OFV follows approximately a chi-square distribution with one degree of freedom, nonparametric 95% and 99% confidence intervals of the parameter are defined by those areas of the likelihood profile where ΔOFV&lt; 3.84 and &lt;6.63, respectively.</w:t>
      </w:r>
    </w:p>
    <w:p w:rsidR="00FD3878" w:rsidRPr="005630FA" w:rsidRDefault="00FD3878" w:rsidP="00BA5F82">
      <w:pPr>
        <w:spacing w:after="120" w:line="480" w:lineRule="auto"/>
        <w:jc w:val="both"/>
        <w:rPr>
          <w:sz w:val="22"/>
          <w:szCs w:val="22"/>
        </w:rPr>
      </w:pPr>
      <w:r w:rsidRPr="005630FA">
        <w:rPr>
          <w:sz w:val="22"/>
          <w:szCs w:val="22"/>
        </w:rPr>
        <w:t xml:space="preserve">For pharmacodynamic modeling, the diagnostic plots, visual predictive check and prediction errors used in pharmacokinetic modeling were not available, as the model prediction was not a MOAA/S score but probabilities </w:t>
      </w:r>
      <w:r w:rsidR="00423E14" w:rsidRPr="005630FA">
        <w:rPr>
          <w:sz w:val="22"/>
          <w:szCs w:val="22"/>
        </w:rPr>
        <w:t>to observe</w:t>
      </w:r>
      <w:r w:rsidRPr="005630FA">
        <w:rPr>
          <w:sz w:val="22"/>
          <w:szCs w:val="22"/>
        </w:rPr>
        <w:t xml:space="preserve"> the different MOAA/S scores. Therefore, concentration-effect curves were generated by plotting the predicted probabilities </w:t>
      </w:r>
      <w:proofErr w:type="gramStart"/>
      <w:r w:rsidRPr="005630FA">
        <w:rPr>
          <w:sz w:val="22"/>
          <w:szCs w:val="22"/>
        </w:rPr>
        <w:t>P(</w:t>
      </w:r>
      <w:proofErr w:type="gramEnd"/>
      <w:r w:rsidRPr="005630FA">
        <w:rPr>
          <w:sz w:val="22"/>
          <w:szCs w:val="22"/>
        </w:rPr>
        <w:t>MOOA/</w:t>
      </w:r>
      <w:proofErr w:type="spellStart"/>
      <w:r w:rsidRPr="005630FA">
        <w:rPr>
          <w:sz w:val="22"/>
          <w:szCs w:val="22"/>
        </w:rPr>
        <w:t>S≤m</w:t>
      </w:r>
      <w:proofErr w:type="spellEnd"/>
      <w:r w:rsidRPr="005630FA">
        <w:rPr>
          <w:sz w:val="22"/>
          <w:szCs w:val="22"/>
        </w:rPr>
        <w:t xml:space="preserve">) vs. the effect site concentrations. The corresponding observed probabilities were determined as the incidence of </w:t>
      </w:r>
      <w:r w:rsidRPr="005630FA">
        <w:rPr>
          <w:sz w:val="22"/>
          <w:szCs w:val="22"/>
        </w:rPr>
        <w:lastRenderedPageBreak/>
        <w:t>MOOA/</w:t>
      </w:r>
      <w:proofErr w:type="spellStart"/>
      <w:r w:rsidRPr="005630FA">
        <w:rPr>
          <w:sz w:val="22"/>
          <w:szCs w:val="22"/>
        </w:rPr>
        <w:t>S≤m</w:t>
      </w:r>
      <w:proofErr w:type="spellEnd"/>
      <w:r w:rsidRPr="005630FA">
        <w:rPr>
          <w:sz w:val="22"/>
          <w:szCs w:val="22"/>
        </w:rPr>
        <w:t xml:space="preserve"> within discrete concentration ranges. Bootstrap analysis and log-likelihood profiling were also performed for the pharmacodynamic models.</w:t>
      </w:r>
    </w:p>
    <w:p w:rsidR="00FD3878" w:rsidRPr="005630FA" w:rsidRDefault="00FD3878" w:rsidP="00BA5F82">
      <w:pPr>
        <w:spacing w:after="120" w:line="480" w:lineRule="auto"/>
        <w:jc w:val="both"/>
        <w:rPr>
          <w:b/>
          <w:sz w:val="22"/>
          <w:szCs w:val="22"/>
        </w:rPr>
      </w:pPr>
    </w:p>
    <w:p w:rsidR="00FD3878" w:rsidRPr="005630FA" w:rsidRDefault="00FD3878" w:rsidP="00BA5F82">
      <w:pPr>
        <w:spacing w:after="200" w:line="480" w:lineRule="auto"/>
        <w:rPr>
          <w:b/>
          <w:sz w:val="22"/>
          <w:szCs w:val="22"/>
        </w:rPr>
      </w:pPr>
      <w:r w:rsidRPr="005630FA">
        <w:rPr>
          <w:b/>
          <w:sz w:val="22"/>
          <w:szCs w:val="22"/>
        </w:rPr>
        <w:br w:type="page"/>
      </w:r>
    </w:p>
    <w:p w:rsidR="00FD3878" w:rsidRPr="005630FA" w:rsidRDefault="00423E14" w:rsidP="00BA5F82">
      <w:pPr>
        <w:spacing w:after="200" w:line="480" w:lineRule="auto"/>
        <w:rPr>
          <w:b/>
          <w:sz w:val="22"/>
          <w:szCs w:val="22"/>
        </w:rPr>
      </w:pPr>
      <w:r w:rsidRPr="005630FA">
        <w:rPr>
          <w:b/>
          <w:sz w:val="22"/>
          <w:szCs w:val="22"/>
        </w:rPr>
        <w:lastRenderedPageBreak/>
        <w:t>S2</w:t>
      </w:r>
      <w:r w:rsidR="00FD3878" w:rsidRPr="005630FA">
        <w:rPr>
          <w:b/>
          <w:sz w:val="22"/>
          <w:szCs w:val="22"/>
        </w:rPr>
        <w:t>: Methods of ECG analysis</w:t>
      </w:r>
    </w:p>
    <w:p w:rsidR="00FD3878" w:rsidRPr="005630FA" w:rsidRDefault="00FD3878" w:rsidP="00BA5F82">
      <w:pPr>
        <w:pStyle w:val="Textkrper"/>
        <w:spacing w:after="120" w:line="480" w:lineRule="auto"/>
        <w:rPr>
          <w:sz w:val="22"/>
          <w:szCs w:val="22"/>
        </w:rPr>
      </w:pPr>
      <w:r w:rsidRPr="005630FA">
        <w:rPr>
          <w:sz w:val="22"/>
          <w:szCs w:val="22"/>
        </w:rPr>
        <w:t>The 12-lead digital continuous ECGs were assessed by a central cardiologist blinded to the trial treatment. A 10-second, 12-lead digital ECG was extracted at each time point specified in the protocol.</w:t>
      </w:r>
      <w:r w:rsidR="006C39AB" w:rsidRPr="005630FA">
        <w:rPr>
          <w:sz w:val="22"/>
          <w:szCs w:val="22"/>
        </w:rPr>
        <w:t xml:space="preserve"> </w:t>
      </w:r>
      <w:r w:rsidRPr="005630FA">
        <w:rPr>
          <w:sz w:val="22"/>
          <w:szCs w:val="22"/>
        </w:rPr>
        <w:t>If targeted ECG time points were artifactual and of poor quality, analyzable 10-second ECGs were captured as close as possible to the targeted time points. Interval duration measurements were collected using computer assisted caliper placements on three consecutive beats.</w:t>
      </w:r>
      <w:r w:rsidR="006C39AB" w:rsidRPr="005630FA">
        <w:rPr>
          <w:sz w:val="22"/>
          <w:szCs w:val="22"/>
        </w:rPr>
        <w:t xml:space="preserve"> </w:t>
      </w:r>
      <w:r w:rsidRPr="005630FA">
        <w:rPr>
          <w:sz w:val="22"/>
          <w:szCs w:val="22"/>
        </w:rPr>
        <w:t>Trained analysts reviewed all ECGs for correct lead and beat placement and adjudicated the pre-placed algorithm calipers as necessary using the proprietary validated electronic caliper system applied on a computer screen.</w:t>
      </w:r>
      <w:r w:rsidR="006C39AB" w:rsidRPr="005630FA">
        <w:rPr>
          <w:sz w:val="22"/>
          <w:szCs w:val="22"/>
        </w:rPr>
        <w:t xml:space="preserve"> </w:t>
      </w:r>
      <w:r w:rsidRPr="005630FA">
        <w:rPr>
          <w:sz w:val="22"/>
          <w:szCs w:val="22"/>
        </w:rPr>
        <w:t xml:space="preserve">A cardiologist then verified the interval durations and performed the morphology analysis, noting any T-U wave complex that was compatible with an effect on cardiac repolarization. The ECG analysis was conducted in Lead </w:t>
      </w:r>
      <w:proofErr w:type="gramStart"/>
      <w:r w:rsidRPr="005630FA">
        <w:rPr>
          <w:sz w:val="22"/>
          <w:szCs w:val="22"/>
        </w:rPr>
        <w:t>II,</w:t>
      </w:r>
      <w:proofErr w:type="gramEnd"/>
      <w:r w:rsidRPr="005630FA">
        <w:rPr>
          <w:sz w:val="22"/>
          <w:szCs w:val="22"/>
        </w:rPr>
        <w:t xml:space="preserve"> or in Lead V5 if Lead II was not analyzable.</w:t>
      </w:r>
      <w:r w:rsidR="006C39AB" w:rsidRPr="005630FA">
        <w:rPr>
          <w:sz w:val="22"/>
          <w:szCs w:val="22"/>
        </w:rPr>
        <w:t xml:space="preserve"> </w:t>
      </w:r>
      <w:r w:rsidRPr="005630FA">
        <w:rPr>
          <w:sz w:val="22"/>
          <w:szCs w:val="22"/>
        </w:rPr>
        <w:t>If Lead V5 was not analyzable then Lead V2 was used, followed by the most appropriate lead if necessary.</w:t>
      </w:r>
      <w:r w:rsidR="006C39AB" w:rsidRPr="005630FA">
        <w:rPr>
          <w:sz w:val="22"/>
          <w:szCs w:val="22"/>
        </w:rPr>
        <w:t xml:space="preserve"> </w:t>
      </w:r>
      <w:r w:rsidRPr="005630FA">
        <w:rPr>
          <w:sz w:val="22"/>
          <w:szCs w:val="22"/>
        </w:rPr>
        <w:t>ECG readers were blinded to subject identifiers, treatment, and visit. All ECGs for a given subject were analyzed by the same reader. On-screen measurements of the RR, PR, QRS, and QT interval durations were performed, and heart rate was determined as HR=60</w:t>
      </w:r>
      <w:proofErr w:type="gramStart"/>
      <w:r w:rsidRPr="005630FA">
        <w:rPr>
          <w:sz w:val="22"/>
          <w:szCs w:val="22"/>
        </w:rPr>
        <w:t>/</w:t>
      </w:r>
      <w:r w:rsidR="00330EE3" w:rsidRPr="005630FA">
        <w:rPr>
          <w:sz w:val="22"/>
          <w:szCs w:val="22"/>
        </w:rPr>
        <w:t>(</w:t>
      </w:r>
      <w:proofErr w:type="gramEnd"/>
      <w:r w:rsidRPr="005630FA">
        <w:rPr>
          <w:sz w:val="22"/>
          <w:szCs w:val="22"/>
        </w:rPr>
        <w:t>RR</w:t>
      </w:r>
      <w:r w:rsidR="00330EE3" w:rsidRPr="005630FA">
        <w:rPr>
          <w:sz w:val="22"/>
          <w:szCs w:val="22"/>
        </w:rPr>
        <w:t xml:space="preserve"> interval)</w:t>
      </w:r>
      <w:r w:rsidRPr="005630FA">
        <w:rPr>
          <w:sz w:val="22"/>
          <w:szCs w:val="22"/>
        </w:rPr>
        <w:t>.</w:t>
      </w:r>
    </w:p>
    <w:p w:rsidR="00FD3878" w:rsidRPr="005630FA" w:rsidRDefault="00FD3878" w:rsidP="00BA5F82">
      <w:pPr>
        <w:spacing w:line="480" w:lineRule="auto"/>
        <w:rPr>
          <w:sz w:val="22"/>
          <w:szCs w:val="22"/>
        </w:rPr>
      </w:pPr>
      <w:r w:rsidRPr="005630FA">
        <w:rPr>
          <w:sz w:val="22"/>
          <w:szCs w:val="22"/>
        </w:rPr>
        <w:t>The physiologically inverse relationship between HR and QT interval require</w:t>
      </w:r>
      <w:r w:rsidR="00D32B86" w:rsidRPr="005630FA">
        <w:rPr>
          <w:sz w:val="22"/>
          <w:szCs w:val="22"/>
        </w:rPr>
        <w:t>d</w:t>
      </w:r>
      <w:r w:rsidRPr="005630FA">
        <w:rPr>
          <w:sz w:val="22"/>
          <w:szCs w:val="22"/>
        </w:rPr>
        <w:t xml:space="preserve"> an adjustment process to ‘correct’, or ‘normalize’, the QT interval to the HR.</w:t>
      </w:r>
      <w:r w:rsidR="006C39AB" w:rsidRPr="005630FA">
        <w:rPr>
          <w:sz w:val="22"/>
          <w:szCs w:val="22"/>
        </w:rPr>
        <w:t xml:space="preserve"> </w:t>
      </w:r>
      <w:r w:rsidRPr="005630FA">
        <w:rPr>
          <w:sz w:val="22"/>
          <w:szCs w:val="22"/>
        </w:rPr>
        <w:t>This corrected QT interval (</w:t>
      </w:r>
      <w:proofErr w:type="spellStart"/>
      <w:r w:rsidRPr="005630FA">
        <w:rPr>
          <w:sz w:val="22"/>
          <w:szCs w:val="22"/>
        </w:rPr>
        <w:t>QTc</w:t>
      </w:r>
      <w:proofErr w:type="spellEnd"/>
      <w:r w:rsidRPr="005630FA">
        <w:rPr>
          <w:sz w:val="22"/>
          <w:szCs w:val="22"/>
        </w:rPr>
        <w:t xml:space="preserve">) allows comparisons of </w:t>
      </w:r>
      <w:proofErr w:type="spellStart"/>
      <w:r w:rsidRPr="005630FA">
        <w:rPr>
          <w:sz w:val="22"/>
          <w:szCs w:val="22"/>
        </w:rPr>
        <w:t>QTc</w:t>
      </w:r>
      <w:proofErr w:type="spellEnd"/>
      <w:r w:rsidRPr="005630FA">
        <w:rPr>
          <w:sz w:val="22"/>
          <w:szCs w:val="22"/>
        </w:rPr>
        <w:t xml:space="preserve"> intervals across a range of </w:t>
      </w:r>
      <w:proofErr w:type="spellStart"/>
      <w:r w:rsidRPr="005630FA">
        <w:rPr>
          <w:sz w:val="22"/>
          <w:szCs w:val="22"/>
        </w:rPr>
        <w:t>HRs.</w:t>
      </w:r>
      <w:proofErr w:type="spellEnd"/>
      <w:r w:rsidRPr="005630FA">
        <w:rPr>
          <w:sz w:val="22"/>
          <w:szCs w:val="22"/>
        </w:rPr>
        <w:t xml:space="preserve"> There exist different approaches for the QT interval correction which can be generally written as </w:t>
      </w:r>
      <w:proofErr w:type="spellStart"/>
      <w:r w:rsidRPr="005630FA">
        <w:rPr>
          <w:sz w:val="22"/>
          <w:szCs w:val="22"/>
        </w:rPr>
        <w:t>QTc</w:t>
      </w:r>
      <w:proofErr w:type="spellEnd"/>
      <w:r w:rsidRPr="005630FA">
        <w:rPr>
          <w:sz w:val="22"/>
          <w:szCs w:val="22"/>
        </w:rPr>
        <w:t> = QT / (RR</w:t>
      </w:r>
      <w:proofErr w:type="gramStart"/>
      <w:r w:rsidRPr="005630FA">
        <w:rPr>
          <w:sz w:val="22"/>
          <w:szCs w:val="22"/>
        </w:rPr>
        <w:t>)</w:t>
      </w:r>
      <w:r w:rsidRPr="005630FA">
        <w:rPr>
          <w:sz w:val="22"/>
          <w:szCs w:val="22"/>
          <w:vertAlign w:val="superscript"/>
        </w:rPr>
        <w:t>β</w:t>
      </w:r>
      <w:proofErr w:type="gramEnd"/>
      <w:r w:rsidRPr="005630FA">
        <w:rPr>
          <w:sz w:val="22"/>
          <w:szCs w:val="22"/>
        </w:rPr>
        <w:t xml:space="preserve"> or log(</w:t>
      </w:r>
      <w:proofErr w:type="spellStart"/>
      <w:r w:rsidRPr="005630FA">
        <w:rPr>
          <w:sz w:val="22"/>
          <w:szCs w:val="22"/>
        </w:rPr>
        <w:t>QTc</w:t>
      </w:r>
      <w:proofErr w:type="spellEnd"/>
      <w:r w:rsidRPr="005630FA">
        <w:rPr>
          <w:sz w:val="22"/>
          <w:szCs w:val="22"/>
        </w:rPr>
        <w:t>) = log(QT) </w:t>
      </w:r>
      <w:r w:rsidRPr="005630FA">
        <w:rPr>
          <w:sz w:val="22"/>
          <w:szCs w:val="22"/>
        </w:rPr>
        <w:noBreakHyphen/>
        <w:t> β </w:t>
      </w:r>
      <w:r w:rsidRPr="005630FA">
        <w:rPr>
          <w:sz w:val="22"/>
          <w:szCs w:val="22"/>
        </w:rPr>
        <w:sym w:font="Symbol" w:char="F0B4"/>
      </w:r>
      <w:r w:rsidRPr="005630FA">
        <w:rPr>
          <w:sz w:val="22"/>
          <w:szCs w:val="22"/>
        </w:rPr>
        <w:t xml:space="preserve"> log(RR). The </w:t>
      </w:r>
      <w:proofErr w:type="spellStart"/>
      <w:r w:rsidRPr="005630FA">
        <w:rPr>
          <w:sz w:val="22"/>
          <w:szCs w:val="22"/>
        </w:rPr>
        <w:t>Fridericia</w:t>
      </w:r>
      <w:proofErr w:type="spellEnd"/>
      <w:r w:rsidRPr="005630FA">
        <w:rPr>
          <w:sz w:val="22"/>
          <w:szCs w:val="22"/>
        </w:rPr>
        <w:t xml:space="preserve"> correction (</w:t>
      </w:r>
      <w:proofErr w:type="spellStart"/>
      <w:r w:rsidRPr="005630FA">
        <w:rPr>
          <w:sz w:val="22"/>
          <w:szCs w:val="22"/>
        </w:rPr>
        <w:t>QTcF</w:t>
      </w:r>
      <w:proofErr w:type="spellEnd"/>
      <w:r w:rsidRPr="005630FA">
        <w:rPr>
          <w:sz w:val="22"/>
          <w:szCs w:val="22"/>
        </w:rPr>
        <w:t xml:space="preserve">) uses β=1/3, whereas the </w:t>
      </w:r>
      <w:proofErr w:type="spellStart"/>
      <w:r w:rsidRPr="005630FA">
        <w:rPr>
          <w:sz w:val="22"/>
          <w:szCs w:val="22"/>
        </w:rPr>
        <w:t>Bazett</w:t>
      </w:r>
      <w:proofErr w:type="spellEnd"/>
      <w:r w:rsidRPr="005630FA">
        <w:rPr>
          <w:sz w:val="22"/>
          <w:szCs w:val="22"/>
        </w:rPr>
        <w:t xml:space="preserve"> correction (QTcB) uses β=1/2. However, in cases where there is a substantial change in heart rate, the individual QT correction method (</w:t>
      </w:r>
      <w:proofErr w:type="spellStart"/>
      <w:r w:rsidRPr="005630FA">
        <w:rPr>
          <w:sz w:val="22"/>
          <w:szCs w:val="22"/>
        </w:rPr>
        <w:t>QTcI</w:t>
      </w:r>
      <w:proofErr w:type="spellEnd"/>
      <w:r w:rsidRPr="005630FA">
        <w:rPr>
          <w:sz w:val="22"/>
          <w:szCs w:val="22"/>
        </w:rPr>
        <w:t xml:space="preserve">) is preferred. For individual QT correction, β is estimated for each individual such that </w:t>
      </w:r>
      <w:proofErr w:type="spellStart"/>
      <w:r w:rsidRPr="005630FA">
        <w:rPr>
          <w:sz w:val="22"/>
          <w:szCs w:val="22"/>
        </w:rPr>
        <w:t>QTcI</w:t>
      </w:r>
      <w:proofErr w:type="spellEnd"/>
      <w:r w:rsidRPr="005630FA">
        <w:rPr>
          <w:sz w:val="22"/>
          <w:szCs w:val="22"/>
        </w:rPr>
        <w:t xml:space="preserve"> is a constant. If </w:t>
      </w:r>
      <w:proofErr w:type="spellStart"/>
      <w:r w:rsidRPr="005630FA">
        <w:rPr>
          <w:sz w:val="22"/>
          <w:szCs w:val="22"/>
        </w:rPr>
        <w:t>QTcI</w:t>
      </w:r>
      <w:proofErr w:type="spellEnd"/>
      <w:r w:rsidRPr="005630FA">
        <w:rPr>
          <w:sz w:val="22"/>
          <w:szCs w:val="22"/>
        </w:rPr>
        <w:t xml:space="preserve"> is a constant, one can rewrite the equation </w:t>
      </w:r>
      <w:proofErr w:type="gramStart"/>
      <w:r w:rsidRPr="005630FA">
        <w:rPr>
          <w:sz w:val="22"/>
          <w:szCs w:val="22"/>
        </w:rPr>
        <w:t>log(</w:t>
      </w:r>
      <w:proofErr w:type="spellStart"/>
      <w:proofErr w:type="gramEnd"/>
      <w:r w:rsidRPr="005630FA">
        <w:rPr>
          <w:sz w:val="22"/>
          <w:szCs w:val="22"/>
        </w:rPr>
        <w:t>QTcI</w:t>
      </w:r>
      <w:proofErr w:type="spellEnd"/>
      <w:r w:rsidRPr="005630FA">
        <w:rPr>
          <w:sz w:val="22"/>
          <w:szCs w:val="22"/>
        </w:rPr>
        <w:t>) = log(QT) </w:t>
      </w:r>
      <w:r w:rsidRPr="005630FA">
        <w:rPr>
          <w:sz w:val="22"/>
          <w:szCs w:val="22"/>
        </w:rPr>
        <w:noBreakHyphen/>
        <w:t> β </w:t>
      </w:r>
      <w:r w:rsidRPr="005630FA">
        <w:rPr>
          <w:sz w:val="22"/>
          <w:szCs w:val="22"/>
        </w:rPr>
        <w:sym w:font="Symbol" w:char="F0B4"/>
      </w:r>
      <w:r w:rsidRPr="005630FA">
        <w:rPr>
          <w:sz w:val="22"/>
          <w:szCs w:val="22"/>
        </w:rPr>
        <w:t xml:space="preserve"> log(RR) as log(QT) = α + β </w:t>
      </w:r>
      <w:r w:rsidRPr="005630FA">
        <w:rPr>
          <w:sz w:val="22"/>
          <w:szCs w:val="22"/>
        </w:rPr>
        <w:sym w:font="Symbol" w:char="F0B4"/>
      </w:r>
      <w:r w:rsidRPr="005630FA">
        <w:rPr>
          <w:sz w:val="22"/>
          <w:szCs w:val="22"/>
        </w:rPr>
        <w:t xml:space="preserve"> log(RR).</w:t>
      </w:r>
      <w:r w:rsidR="006C39AB" w:rsidRPr="005630FA">
        <w:rPr>
          <w:sz w:val="22"/>
          <w:szCs w:val="22"/>
        </w:rPr>
        <w:t xml:space="preserve"> </w:t>
      </w:r>
      <w:r w:rsidRPr="005630FA">
        <w:rPr>
          <w:sz w:val="22"/>
          <w:szCs w:val="22"/>
        </w:rPr>
        <w:t xml:space="preserve">Thus, the exponent β can be </w:t>
      </w:r>
      <w:r w:rsidRPr="005630FA">
        <w:rPr>
          <w:sz w:val="22"/>
          <w:szCs w:val="22"/>
        </w:rPr>
        <w:lastRenderedPageBreak/>
        <w:t xml:space="preserve">determined for each subject by regression analysis on log transformed data of the QT and RR intervals collected on the control visit. Using these individual values of β, the </w:t>
      </w:r>
      <w:proofErr w:type="spellStart"/>
      <w:r w:rsidRPr="005630FA">
        <w:rPr>
          <w:sz w:val="22"/>
          <w:szCs w:val="22"/>
        </w:rPr>
        <w:t>QTcI</w:t>
      </w:r>
      <w:proofErr w:type="spellEnd"/>
      <w:r w:rsidRPr="005630FA">
        <w:rPr>
          <w:sz w:val="22"/>
          <w:szCs w:val="22"/>
        </w:rPr>
        <w:t xml:space="preserve"> values were calculated for all extracted data. Subsequently, the control-corrected change of </w:t>
      </w:r>
      <w:proofErr w:type="spellStart"/>
      <w:r w:rsidRPr="005630FA">
        <w:rPr>
          <w:sz w:val="22"/>
          <w:szCs w:val="22"/>
        </w:rPr>
        <w:t>QTcI</w:t>
      </w:r>
      <w:proofErr w:type="spellEnd"/>
      <w:r w:rsidRPr="005630FA">
        <w:rPr>
          <w:sz w:val="22"/>
          <w:szCs w:val="22"/>
        </w:rPr>
        <w:t xml:space="preserve"> from baseline (</w:t>
      </w:r>
      <w:proofErr w:type="spellStart"/>
      <w:r w:rsidRPr="005630FA">
        <w:rPr>
          <w:sz w:val="22"/>
          <w:szCs w:val="22"/>
        </w:rPr>
        <w:t>ΔΔQTcI</w:t>
      </w:r>
      <w:proofErr w:type="spellEnd"/>
      <w:r w:rsidRPr="005630FA">
        <w:rPr>
          <w:sz w:val="22"/>
          <w:szCs w:val="22"/>
        </w:rPr>
        <w:t xml:space="preserve">) was calculated for each of the defined time points as the change of </w:t>
      </w:r>
      <w:proofErr w:type="spellStart"/>
      <w:r w:rsidRPr="005630FA">
        <w:rPr>
          <w:sz w:val="22"/>
          <w:szCs w:val="22"/>
        </w:rPr>
        <w:t>QTcI</w:t>
      </w:r>
      <w:proofErr w:type="spellEnd"/>
      <w:r w:rsidRPr="005630FA">
        <w:rPr>
          <w:sz w:val="22"/>
          <w:szCs w:val="22"/>
        </w:rPr>
        <w:t xml:space="preserve"> from baseline after remimazolam minus the change of </w:t>
      </w:r>
      <w:proofErr w:type="spellStart"/>
      <w:r w:rsidRPr="005630FA">
        <w:rPr>
          <w:sz w:val="22"/>
          <w:szCs w:val="22"/>
        </w:rPr>
        <w:t>QTcI</w:t>
      </w:r>
      <w:proofErr w:type="spellEnd"/>
      <w:r w:rsidRPr="005630FA">
        <w:rPr>
          <w:sz w:val="22"/>
          <w:szCs w:val="22"/>
        </w:rPr>
        <w:t xml:space="preserve"> from baseline during the control visit. The mean and the two-sided 90% CI (i.e. the 5% to 95% CI) of the </w:t>
      </w:r>
      <w:proofErr w:type="spellStart"/>
      <w:r w:rsidRPr="005630FA">
        <w:rPr>
          <w:sz w:val="22"/>
          <w:szCs w:val="22"/>
        </w:rPr>
        <w:t>ΔΔQTcI</w:t>
      </w:r>
      <w:proofErr w:type="spellEnd"/>
      <w:r w:rsidRPr="005630FA">
        <w:rPr>
          <w:sz w:val="22"/>
          <w:szCs w:val="22"/>
        </w:rPr>
        <w:t xml:space="preserve"> were determined to assess the change of the</w:t>
      </w:r>
      <w:r w:rsidR="006C39AB" w:rsidRPr="005630FA">
        <w:rPr>
          <w:sz w:val="22"/>
          <w:szCs w:val="22"/>
        </w:rPr>
        <w:t xml:space="preserve"> </w:t>
      </w:r>
      <w:proofErr w:type="spellStart"/>
      <w:r w:rsidRPr="005630FA">
        <w:rPr>
          <w:sz w:val="22"/>
          <w:szCs w:val="22"/>
        </w:rPr>
        <w:t>QTcI</w:t>
      </w:r>
      <w:proofErr w:type="spellEnd"/>
      <w:r w:rsidRPr="005630FA">
        <w:rPr>
          <w:sz w:val="22"/>
          <w:szCs w:val="22"/>
        </w:rPr>
        <w:t xml:space="preserve"> interval after remimazolam in the study population.</w:t>
      </w:r>
    </w:p>
    <w:p w:rsidR="00FD3878" w:rsidRPr="005630FA" w:rsidRDefault="00FD3878" w:rsidP="00BA5F82">
      <w:pPr>
        <w:spacing w:after="200" w:line="480" w:lineRule="auto"/>
        <w:rPr>
          <w:b/>
          <w:sz w:val="22"/>
          <w:szCs w:val="22"/>
        </w:rPr>
      </w:pPr>
      <w:r w:rsidRPr="005630FA">
        <w:rPr>
          <w:b/>
          <w:sz w:val="22"/>
          <w:szCs w:val="22"/>
        </w:rPr>
        <w:br w:type="page"/>
      </w:r>
    </w:p>
    <w:p w:rsidR="00FD3878" w:rsidRPr="005630FA" w:rsidRDefault="00D32B86" w:rsidP="00BA5F82">
      <w:pPr>
        <w:spacing w:after="120" w:line="480" w:lineRule="auto"/>
        <w:jc w:val="both"/>
        <w:rPr>
          <w:b/>
          <w:sz w:val="22"/>
          <w:szCs w:val="22"/>
        </w:rPr>
      </w:pPr>
      <w:r w:rsidRPr="005630FA">
        <w:rPr>
          <w:b/>
          <w:sz w:val="22"/>
          <w:szCs w:val="22"/>
        </w:rPr>
        <w:lastRenderedPageBreak/>
        <w:t>S3</w:t>
      </w:r>
      <w:r w:rsidR="00FD3878" w:rsidRPr="005630FA">
        <w:rPr>
          <w:b/>
          <w:sz w:val="22"/>
          <w:szCs w:val="22"/>
        </w:rPr>
        <w:t>: Results of pharmacokinetic modeling of remimazolam</w:t>
      </w:r>
    </w:p>
    <w:p w:rsidR="00FD3878" w:rsidRPr="005630FA" w:rsidRDefault="00FD3878" w:rsidP="00BA5F82">
      <w:pPr>
        <w:spacing w:after="120" w:line="480" w:lineRule="auto"/>
        <w:jc w:val="both"/>
        <w:rPr>
          <w:sz w:val="22"/>
          <w:szCs w:val="22"/>
        </w:rPr>
      </w:pPr>
      <w:r w:rsidRPr="005630FA">
        <w:rPr>
          <w:sz w:val="22"/>
          <w:szCs w:val="22"/>
        </w:rPr>
        <w:t xml:space="preserve">A three-compartment model was </w:t>
      </w:r>
      <w:r w:rsidR="00D32B86" w:rsidRPr="005630FA">
        <w:rPr>
          <w:sz w:val="22"/>
          <w:szCs w:val="22"/>
        </w:rPr>
        <w:t>selected</w:t>
      </w:r>
      <w:r w:rsidRPr="005630FA">
        <w:rPr>
          <w:sz w:val="22"/>
          <w:szCs w:val="22"/>
        </w:rPr>
        <w:t xml:space="preserve"> as structural model, as it revealed a much smaller BIC than a two-compartment model (431</w:t>
      </w:r>
      <w:r w:rsidR="0080313E">
        <w:rPr>
          <w:sz w:val="22"/>
          <w:szCs w:val="22"/>
        </w:rPr>
        <w:t>3</w:t>
      </w:r>
      <w:r w:rsidRPr="005630FA">
        <w:rPr>
          <w:sz w:val="22"/>
          <w:szCs w:val="22"/>
        </w:rPr>
        <w:t xml:space="preserve"> vs. 474</w:t>
      </w:r>
      <w:r w:rsidR="0080313E">
        <w:rPr>
          <w:sz w:val="22"/>
          <w:szCs w:val="22"/>
        </w:rPr>
        <w:t>6</w:t>
      </w:r>
      <w:r w:rsidRPr="005630FA">
        <w:rPr>
          <w:sz w:val="22"/>
          <w:szCs w:val="22"/>
        </w:rPr>
        <w:t>). For the assessment of the residual intraindividual error the exponential error model</w:t>
      </w:r>
      <w:r w:rsidR="00D32B86" w:rsidRPr="005630FA">
        <w:rPr>
          <w:sz w:val="22"/>
          <w:szCs w:val="22"/>
        </w:rPr>
        <w:t xml:space="preserve"> was selected</w:t>
      </w:r>
      <w:r w:rsidRPr="005630FA">
        <w:rPr>
          <w:sz w:val="22"/>
          <w:szCs w:val="22"/>
        </w:rPr>
        <w:t>, as the combined proportional and additive intraindividual error model resulted in an underprediction of the late concentrations. The shrinkage of the individual empirical Bayesian estimates was 1.4% for CL, 15.2% for Q</w:t>
      </w:r>
      <w:r w:rsidRPr="005630FA">
        <w:rPr>
          <w:sz w:val="22"/>
          <w:szCs w:val="22"/>
          <w:vertAlign w:val="subscript"/>
        </w:rPr>
        <w:t>2</w:t>
      </w:r>
      <w:r w:rsidRPr="005630FA">
        <w:rPr>
          <w:sz w:val="22"/>
          <w:szCs w:val="22"/>
        </w:rPr>
        <w:t>, 13.6% for Q</w:t>
      </w:r>
      <w:r w:rsidRPr="005630FA">
        <w:rPr>
          <w:sz w:val="22"/>
          <w:szCs w:val="22"/>
          <w:vertAlign w:val="subscript"/>
        </w:rPr>
        <w:t>3</w:t>
      </w:r>
      <w:r w:rsidRPr="005630FA">
        <w:rPr>
          <w:sz w:val="22"/>
          <w:szCs w:val="22"/>
        </w:rPr>
        <w:t>, 6.5% for V</w:t>
      </w:r>
      <w:r w:rsidRPr="005630FA">
        <w:rPr>
          <w:sz w:val="22"/>
          <w:szCs w:val="22"/>
          <w:vertAlign w:val="subscript"/>
        </w:rPr>
        <w:t>1</w:t>
      </w:r>
      <w:r w:rsidRPr="005630FA">
        <w:rPr>
          <w:sz w:val="22"/>
          <w:szCs w:val="22"/>
        </w:rPr>
        <w:t>, 16.6% for V</w:t>
      </w:r>
      <w:r w:rsidRPr="005630FA">
        <w:rPr>
          <w:sz w:val="22"/>
          <w:szCs w:val="22"/>
          <w:vertAlign w:val="subscript"/>
        </w:rPr>
        <w:t>2</w:t>
      </w:r>
      <w:r w:rsidRPr="005630FA">
        <w:rPr>
          <w:sz w:val="22"/>
          <w:szCs w:val="22"/>
        </w:rPr>
        <w:t xml:space="preserve"> and 4.9% for V</w:t>
      </w:r>
      <w:r w:rsidRPr="005630FA">
        <w:rPr>
          <w:sz w:val="22"/>
          <w:szCs w:val="22"/>
          <w:vertAlign w:val="subscript"/>
        </w:rPr>
        <w:t>3</w:t>
      </w:r>
      <w:r w:rsidRPr="005630FA">
        <w:rPr>
          <w:sz w:val="22"/>
          <w:szCs w:val="22"/>
        </w:rPr>
        <w:t>, respectively. This indicated that the individual parameter estimates were sufficiently informative for covariate analysis</w:t>
      </w:r>
      <w:r w:rsidR="00D56041" w:rsidRPr="005630FA">
        <w:rPr>
          <w:sz w:val="22"/>
          <w:szCs w:val="22"/>
        </w:rPr>
        <w:t xml:space="preserve"> by linear regression</w:t>
      </w:r>
      <w:r w:rsidRPr="005630FA">
        <w:rPr>
          <w:sz w:val="22"/>
          <w:szCs w:val="22"/>
        </w:rPr>
        <w:t>. Regression analysis revealed no influence of age (regression coefficient r</w:t>
      </w:r>
      <w:r w:rsidRPr="005630FA">
        <w:rPr>
          <w:sz w:val="22"/>
          <w:szCs w:val="22"/>
          <w:vertAlign w:val="superscript"/>
        </w:rPr>
        <w:t>2</w:t>
      </w:r>
      <w:r w:rsidRPr="005630FA">
        <w:rPr>
          <w:sz w:val="22"/>
          <w:szCs w:val="22"/>
        </w:rPr>
        <w:t>&lt;0.05 for all parameters). Concerning the influence of body weight, the regression analysis indicated only an increase of the central volume of distribution V</w:t>
      </w:r>
      <w:r w:rsidRPr="005630FA">
        <w:rPr>
          <w:sz w:val="22"/>
          <w:szCs w:val="22"/>
          <w:vertAlign w:val="subscript"/>
        </w:rPr>
        <w:t>1</w:t>
      </w:r>
      <w:r w:rsidRPr="005630FA">
        <w:rPr>
          <w:sz w:val="22"/>
          <w:szCs w:val="22"/>
        </w:rPr>
        <w:t xml:space="preserve"> with weight, whereas the other parameters did not show any effect of weight (fig. </w:t>
      </w:r>
      <w:r w:rsidR="0073717C" w:rsidRPr="005630FA">
        <w:rPr>
          <w:sz w:val="22"/>
          <w:szCs w:val="22"/>
        </w:rPr>
        <w:t>1</w:t>
      </w:r>
      <w:r w:rsidR="00295F9C" w:rsidRPr="005630FA">
        <w:rPr>
          <w:sz w:val="22"/>
          <w:szCs w:val="22"/>
        </w:rPr>
        <w:t>S</w:t>
      </w:r>
      <w:r w:rsidRPr="005630FA">
        <w:rPr>
          <w:sz w:val="22"/>
          <w:szCs w:val="22"/>
        </w:rPr>
        <w:t>). The influence of body weight on V</w:t>
      </w:r>
      <w:r w:rsidRPr="005630FA">
        <w:rPr>
          <w:sz w:val="22"/>
          <w:szCs w:val="22"/>
          <w:vertAlign w:val="subscript"/>
        </w:rPr>
        <w:t>1</w:t>
      </w:r>
      <w:r w:rsidRPr="005630FA">
        <w:rPr>
          <w:sz w:val="22"/>
          <w:szCs w:val="22"/>
        </w:rPr>
        <w:t xml:space="preserve"> was therefore further investigated. </w:t>
      </w:r>
      <w:r w:rsidR="00046B38" w:rsidRPr="005630FA">
        <w:rPr>
          <w:sz w:val="22"/>
          <w:szCs w:val="22"/>
        </w:rPr>
        <w:t>A</w:t>
      </w:r>
      <w:r w:rsidRPr="005630FA">
        <w:rPr>
          <w:sz w:val="22"/>
          <w:szCs w:val="22"/>
        </w:rPr>
        <w:t xml:space="preserve"> covariate model with a linear relationship between V</w:t>
      </w:r>
      <w:r w:rsidRPr="005630FA">
        <w:rPr>
          <w:sz w:val="22"/>
          <w:szCs w:val="22"/>
          <w:vertAlign w:val="subscript"/>
        </w:rPr>
        <w:t>1</w:t>
      </w:r>
      <w:r w:rsidRPr="005630FA">
        <w:rPr>
          <w:sz w:val="22"/>
          <w:szCs w:val="22"/>
        </w:rPr>
        <w:t xml:space="preserve"> </w:t>
      </w:r>
      <w:r w:rsidR="00046B38" w:rsidRPr="005630FA">
        <w:rPr>
          <w:sz w:val="22"/>
          <w:szCs w:val="22"/>
        </w:rPr>
        <w:t xml:space="preserve">and weight </w:t>
      </w:r>
      <w:r w:rsidR="00BF4329" w:rsidRPr="005630FA">
        <w:rPr>
          <w:sz w:val="22"/>
          <w:szCs w:val="22"/>
        </w:rPr>
        <w:t xml:space="preserve">decreased the OFV but this effect was </w:t>
      </w:r>
      <w:r w:rsidR="00046B38" w:rsidRPr="005630FA">
        <w:rPr>
          <w:sz w:val="22"/>
          <w:szCs w:val="22"/>
        </w:rPr>
        <w:t xml:space="preserve">not </w:t>
      </w:r>
      <w:r w:rsidR="000654CA" w:rsidRPr="005630FA">
        <w:rPr>
          <w:sz w:val="22"/>
          <w:szCs w:val="22"/>
        </w:rPr>
        <w:t>significant</w:t>
      </w:r>
      <w:r w:rsidR="00046B38" w:rsidRPr="005630FA">
        <w:rPr>
          <w:sz w:val="22"/>
          <w:szCs w:val="22"/>
        </w:rPr>
        <w:t xml:space="preserve"> (ΔOFV=</w:t>
      </w:r>
      <w:r w:rsidR="00BF4329" w:rsidRPr="005630FA">
        <w:rPr>
          <w:sz w:val="22"/>
          <w:szCs w:val="22"/>
        </w:rPr>
        <w:t xml:space="preserve"> </w:t>
      </w:r>
      <w:r w:rsidR="00BF4329" w:rsidRPr="005630FA">
        <w:rPr>
          <w:sz w:val="22"/>
          <w:szCs w:val="22"/>
        </w:rPr>
        <w:noBreakHyphen/>
      </w:r>
      <w:r w:rsidR="00046B38" w:rsidRPr="005630FA">
        <w:rPr>
          <w:sz w:val="22"/>
          <w:szCs w:val="22"/>
        </w:rPr>
        <w:t xml:space="preserve">2.1, p=0.15), as well as a </w:t>
      </w:r>
      <w:r w:rsidR="001D785B" w:rsidRPr="005630FA">
        <w:rPr>
          <w:sz w:val="22"/>
          <w:szCs w:val="22"/>
        </w:rPr>
        <w:t xml:space="preserve">for a </w:t>
      </w:r>
      <w:r w:rsidR="00046B38" w:rsidRPr="005630FA">
        <w:rPr>
          <w:sz w:val="22"/>
          <w:szCs w:val="22"/>
        </w:rPr>
        <w:t xml:space="preserve">power model </w:t>
      </w:r>
      <w:r w:rsidR="00F8532C" w:rsidRPr="005630FA">
        <w:rPr>
          <w:sz w:val="22"/>
          <w:szCs w:val="22"/>
        </w:rPr>
        <w:t xml:space="preserve">with the exponent to be estimated </w:t>
      </w:r>
      <w:r w:rsidR="00046B38" w:rsidRPr="005630FA">
        <w:rPr>
          <w:sz w:val="22"/>
          <w:szCs w:val="22"/>
        </w:rPr>
        <w:t>(ΔOFV=</w:t>
      </w:r>
      <w:r w:rsidR="00BF4329" w:rsidRPr="005630FA">
        <w:rPr>
          <w:sz w:val="22"/>
          <w:szCs w:val="22"/>
        </w:rPr>
        <w:t xml:space="preserve"> </w:t>
      </w:r>
      <w:r w:rsidR="00BF4329" w:rsidRPr="005630FA">
        <w:rPr>
          <w:sz w:val="22"/>
          <w:szCs w:val="22"/>
        </w:rPr>
        <w:noBreakHyphen/>
      </w:r>
      <w:r w:rsidR="00046B38" w:rsidRPr="005630FA">
        <w:rPr>
          <w:sz w:val="22"/>
          <w:szCs w:val="22"/>
        </w:rPr>
        <w:t xml:space="preserve">2.0, p=0.16). The allometric power model with fixed exponents of 1 for all volumes and 0.75 for all clearances was worse than the basic model </w:t>
      </w:r>
      <w:r w:rsidR="00BF4329" w:rsidRPr="005630FA">
        <w:rPr>
          <w:sz w:val="22"/>
          <w:szCs w:val="22"/>
        </w:rPr>
        <w:t xml:space="preserve">as the OFV increased </w:t>
      </w:r>
      <w:r w:rsidR="002F46E8" w:rsidRPr="005630FA">
        <w:rPr>
          <w:sz w:val="22"/>
          <w:szCs w:val="22"/>
        </w:rPr>
        <w:t xml:space="preserve">markedly </w:t>
      </w:r>
      <w:r w:rsidR="00046B38" w:rsidRPr="005630FA">
        <w:rPr>
          <w:sz w:val="22"/>
          <w:szCs w:val="22"/>
        </w:rPr>
        <w:t>(ΔOFV= 23.6).</w:t>
      </w:r>
      <w:r w:rsidR="00AC731A" w:rsidRPr="005630FA">
        <w:rPr>
          <w:sz w:val="22"/>
          <w:szCs w:val="22"/>
        </w:rPr>
        <w:t xml:space="preserve"> The best fit was yielded when V</w:t>
      </w:r>
      <w:r w:rsidR="00AC731A" w:rsidRPr="005630FA">
        <w:rPr>
          <w:sz w:val="22"/>
          <w:szCs w:val="22"/>
          <w:vertAlign w:val="subscript"/>
        </w:rPr>
        <w:t>1</w:t>
      </w:r>
      <w:r w:rsidR="00AC731A" w:rsidRPr="005630FA">
        <w:rPr>
          <w:sz w:val="22"/>
          <w:szCs w:val="22"/>
        </w:rPr>
        <w:t xml:space="preserve"> was scaled proportional to weight: V</w:t>
      </w:r>
      <w:r w:rsidR="00AC731A" w:rsidRPr="005630FA">
        <w:rPr>
          <w:sz w:val="22"/>
          <w:szCs w:val="22"/>
          <w:vertAlign w:val="subscript"/>
        </w:rPr>
        <w:t>1</w:t>
      </w:r>
      <w:proofErr w:type="gramStart"/>
      <w:r w:rsidR="00AC731A" w:rsidRPr="005630FA">
        <w:rPr>
          <w:sz w:val="22"/>
          <w:szCs w:val="22"/>
          <w:vertAlign w:val="subscript"/>
        </w:rPr>
        <w:t>,i</w:t>
      </w:r>
      <w:proofErr w:type="gramEnd"/>
      <w:r w:rsidR="00AC731A" w:rsidRPr="005630FA">
        <w:rPr>
          <w:sz w:val="22"/>
          <w:szCs w:val="22"/>
        </w:rPr>
        <w:t>=V</w:t>
      </w:r>
      <w:r w:rsidR="00AC731A" w:rsidRPr="005630FA">
        <w:rPr>
          <w:sz w:val="22"/>
          <w:szCs w:val="22"/>
          <w:vertAlign w:val="subscript"/>
        </w:rPr>
        <w:t>1,TV</w:t>
      </w:r>
      <w:r w:rsidR="00AC731A" w:rsidRPr="005630FA">
        <w:rPr>
          <w:sz w:val="22"/>
          <w:szCs w:val="22"/>
        </w:rPr>
        <w:t>*(BW/75).</w:t>
      </w:r>
      <w:r w:rsidRPr="005630FA">
        <w:rPr>
          <w:sz w:val="22"/>
          <w:szCs w:val="22"/>
        </w:rPr>
        <w:t>When compared with the basic model, the OFV and BIC decreased by 1.8 for this covariate model. As this model has the same degrees of freedom as the basic model (i.e. no additional parameter to be estimated), one can</w:t>
      </w:r>
      <w:r w:rsidR="00AC731A" w:rsidRPr="005630FA">
        <w:rPr>
          <w:sz w:val="22"/>
          <w:szCs w:val="22"/>
        </w:rPr>
        <w:t xml:space="preserve">, however, </w:t>
      </w:r>
      <w:r w:rsidRPr="005630FA">
        <w:rPr>
          <w:sz w:val="22"/>
          <w:szCs w:val="22"/>
        </w:rPr>
        <w:t xml:space="preserve">not give </w:t>
      </w:r>
      <w:proofErr w:type="gramStart"/>
      <w:r w:rsidRPr="005630FA">
        <w:rPr>
          <w:sz w:val="22"/>
          <w:szCs w:val="22"/>
        </w:rPr>
        <w:t>a significance</w:t>
      </w:r>
      <w:proofErr w:type="gramEnd"/>
      <w:r w:rsidRPr="005630FA">
        <w:rPr>
          <w:sz w:val="22"/>
          <w:szCs w:val="22"/>
        </w:rPr>
        <w:t xml:space="preserve"> level for this improvement. The interindividual variability of V</w:t>
      </w:r>
      <w:r w:rsidRPr="005630FA">
        <w:rPr>
          <w:sz w:val="22"/>
          <w:szCs w:val="22"/>
          <w:vertAlign w:val="subscript"/>
        </w:rPr>
        <w:t>1</w:t>
      </w:r>
      <w:r w:rsidRPr="005630FA">
        <w:rPr>
          <w:sz w:val="22"/>
          <w:szCs w:val="22"/>
        </w:rPr>
        <w:t xml:space="preserve"> decreased slightly from 26% without the body weight effect to 25% with weight as covariate. The diagnostic plots revealed a high quality of fit with low prediction errors and homogenously distributed residuals (fig. </w:t>
      </w:r>
      <w:r w:rsidR="0073717C" w:rsidRPr="005630FA">
        <w:rPr>
          <w:sz w:val="22"/>
          <w:szCs w:val="22"/>
        </w:rPr>
        <w:t>2</w:t>
      </w:r>
      <w:r w:rsidR="00295F9C" w:rsidRPr="005630FA">
        <w:rPr>
          <w:sz w:val="22"/>
          <w:szCs w:val="22"/>
        </w:rPr>
        <w:t>S</w:t>
      </w:r>
      <w:r w:rsidRPr="005630FA">
        <w:rPr>
          <w:sz w:val="22"/>
          <w:szCs w:val="22"/>
        </w:rPr>
        <w:t xml:space="preserve">). The LLP proved that the parameters were estimated reliably (fig. </w:t>
      </w:r>
      <w:r w:rsidR="0073717C" w:rsidRPr="005630FA">
        <w:rPr>
          <w:sz w:val="22"/>
          <w:szCs w:val="22"/>
        </w:rPr>
        <w:t>3</w:t>
      </w:r>
      <w:r w:rsidR="00295F9C" w:rsidRPr="005630FA">
        <w:rPr>
          <w:sz w:val="22"/>
          <w:szCs w:val="22"/>
        </w:rPr>
        <w:t>S</w:t>
      </w:r>
      <w:r w:rsidRPr="005630FA">
        <w:rPr>
          <w:sz w:val="22"/>
          <w:szCs w:val="22"/>
        </w:rPr>
        <w:t xml:space="preserve">). The visual predictive check demonstrated that the </w:t>
      </w:r>
      <w:r w:rsidR="00867FD6" w:rsidRPr="005630FA">
        <w:rPr>
          <w:sz w:val="22"/>
          <w:szCs w:val="22"/>
        </w:rPr>
        <w:t xml:space="preserve">model </w:t>
      </w:r>
      <w:r w:rsidRPr="005630FA">
        <w:rPr>
          <w:sz w:val="22"/>
          <w:szCs w:val="22"/>
        </w:rPr>
        <w:t xml:space="preserve">predictions described the measured concentrations </w:t>
      </w:r>
      <w:r w:rsidRPr="005630FA">
        <w:rPr>
          <w:sz w:val="22"/>
          <w:szCs w:val="22"/>
        </w:rPr>
        <w:lastRenderedPageBreak/>
        <w:t xml:space="preserve">appropriately (fig. </w:t>
      </w:r>
      <w:r w:rsidR="00295F9C" w:rsidRPr="005630FA">
        <w:rPr>
          <w:sz w:val="22"/>
          <w:szCs w:val="22"/>
        </w:rPr>
        <w:t>4</w:t>
      </w:r>
      <w:r w:rsidR="0073717C" w:rsidRPr="005630FA">
        <w:rPr>
          <w:sz w:val="22"/>
          <w:szCs w:val="22"/>
        </w:rPr>
        <w:t>S</w:t>
      </w:r>
      <w:r w:rsidRPr="005630FA">
        <w:rPr>
          <w:sz w:val="22"/>
          <w:szCs w:val="22"/>
        </w:rPr>
        <w:t>).</w:t>
      </w:r>
      <w:r w:rsidR="00012664" w:rsidRPr="005630FA">
        <w:rPr>
          <w:sz w:val="22"/>
          <w:szCs w:val="22"/>
        </w:rPr>
        <w:t xml:space="preserve"> This three-compartment model with V</w:t>
      </w:r>
      <w:r w:rsidR="00012664" w:rsidRPr="005630FA">
        <w:rPr>
          <w:sz w:val="22"/>
          <w:szCs w:val="22"/>
          <w:vertAlign w:val="subscript"/>
        </w:rPr>
        <w:t>1</w:t>
      </w:r>
      <w:r w:rsidR="00012664" w:rsidRPr="005630FA">
        <w:rPr>
          <w:sz w:val="22"/>
          <w:szCs w:val="22"/>
        </w:rPr>
        <w:t xml:space="preserve"> scaled proportional to body weight was chosen as final pharmacokinetic model for remimazolam.</w:t>
      </w:r>
    </w:p>
    <w:p w:rsidR="00E214FB" w:rsidRPr="005630FA" w:rsidRDefault="00E214FB" w:rsidP="00BA5F82">
      <w:pPr>
        <w:spacing w:after="200" w:line="480" w:lineRule="auto"/>
        <w:rPr>
          <w:b/>
          <w:sz w:val="22"/>
          <w:szCs w:val="22"/>
        </w:rPr>
      </w:pPr>
      <w:r w:rsidRPr="005630FA">
        <w:rPr>
          <w:b/>
          <w:sz w:val="22"/>
          <w:szCs w:val="22"/>
        </w:rPr>
        <w:br w:type="page"/>
      </w:r>
    </w:p>
    <w:p w:rsidR="00FD3878" w:rsidRPr="005630FA" w:rsidRDefault="00FD3878" w:rsidP="00BA5F82">
      <w:pPr>
        <w:spacing w:after="120" w:line="480" w:lineRule="auto"/>
        <w:jc w:val="both"/>
        <w:rPr>
          <w:sz w:val="22"/>
          <w:szCs w:val="22"/>
        </w:rPr>
      </w:pPr>
      <w:r w:rsidRPr="005630FA">
        <w:rPr>
          <w:b/>
          <w:sz w:val="22"/>
          <w:szCs w:val="22"/>
        </w:rPr>
        <w:lastRenderedPageBreak/>
        <w:t xml:space="preserve">Figure </w:t>
      </w:r>
      <w:r w:rsidR="0073717C" w:rsidRPr="005630FA">
        <w:rPr>
          <w:b/>
          <w:sz w:val="22"/>
          <w:szCs w:val="22"/>
        </w:rPr>
        <w:t>1</w:t>
      </w:r>
      <w:r w:rsidR="00295F9C" w:rsidRPr="005630FA">
        <w:rPr>
          <w:b/>
          <w:sz w:val="22"/>
          <w:szCs w:val="22"/>
        </w:rPr>
        <w:t>S</w:t>
      </w:r>
      <w:r w:rsidRPr="005630FA">
        <w:rPr>
          <w:b/>
          <w:sz w:val="22"/>
          <w:szCs w:val="22"/>
        </w:rPr>
        <w:t>:</w:t>
      </w:r>
      <w:r w:rsidRPr="005630FA">
        <w:rPr>
          <w:sz w:val="22"/>
          <w:szCs w:val="22"/>
        </w:rPr>
        <w:t xml:space="preserve"> Plots of the individual parameter estimates vs. body weight for the basic three-compartment pharmacokinetic model of remimazolam. The blue lines represent linear regressions through the data. R</w:t>
      </w:r>
      <w:r w:rsidRPr="005630FA">
        <w:rPr>
          <w:sz w:val="22"/>
          <w:szCs w:val="22"/>
          <w:vertAlign w:val="superscript"/>
        </w:rPr>
        <w:t>2</w:t>
      </w:r>
      <w:r w:rsidRPr="005630FA">
        <w:rPr>
          <w:sz w:val="22"/>
          <w:szCs w:val="22"/>
        </w:rPr>
        <w:t xml:space="preserve"> is the regression coefficient, and p is the significance level of the linear regression. CL: elimination clearance; Q</w:t>
      </w:r>
      <w:r w:rsidRPr="005630FA">
        <w:rPr>
          <w:sz w:val="22"/>
          <w:szCs w:val="22"/>
          <w:vertAlign w:val="subscript"/>
        </w:rPr>
        <w:t>2</w:t>
      </w:r>
      <w:proofErr w:type="gramStart"/>
      <w:r w:rsidRPr="005630FA">
        <w:rPr>
          <w:sz w:val="22"/>
          <w:szCs w:val="22"/>
          <w:vertAlign w:val="subscript"/>
        </w:rPr>
        <w:t>,3</w:t>
      </w:r>
      <w:proofErr w:type="gramEnd"/>
      <w:r w:rsidRPr="005630FA">
        <w:rPr>
          <w:sz w:val="22"/>
          <w:szCs w:val="22"/>
        </w:rPr>
        <w:t>: intercompartmental clearances</w:t>
      </w:r>
      <w:r w:rsidR="00EA4391">
        <w:rPr>
          <w:sz w:val="22"/>
          <w:szCs w:val="22"/>
        </w:rPr>
        <w:t xml:space="preserve">; </w:t>
      </w:r>
      <w:r w:rsidR="00EA4391" w:rsidRPr="005630FA">
        <w:rPr>
          <w:sz w:val="22"/>
          <w:szCs w:val="22"/>
        </w:rPr>
        <w:t>V</w:t>
      </w:r>
      <w:r w:rsidR="00EA4391" w:rsidRPr="005630FA">
        <w:rPr>
          <w:sz w:val="22"/>
          <w:szCs w:val="22"/>
          <w:vertAlign w:val="subscript"/>
        </w:rPr>
        <w:t>1</w:t>
      </w:r>
      <w:r w:rsidR="00EA4391" w:rsidRPr="005630FA">
        <w:rPr>
          <w:sz w:val="22"/>
          <w:szCs w:val="22"/>
        </w:rPr>
        <w:t>: central volume of distribution; V</w:t>
      </w:r>
      <w:r w:rsidR="00EA4391" w:rsidRPr="005630FA">
        <w:rPr>
          <w:sz w:val="22"/>
          <w:szCs w:val="22"/>
          <w:vertAlign w:val="subscript"/>
        </w:rPr>
        <w:t>2,3</w:t>
      </w:r>
      <w:r w:rsidR="00EA4391" w:rsidRPr="005630FA">
        <w:rPr>
          <w:sz w:val="22"/>
          <w:szCs w:val="22"/>
        </w:rPr>
        <w:t>: per</w:t>
      </w:r>
      <w:r w:rsidR="00EA4391">
        <w:rPr>
          <w:sz w:val="22"/>
          <w:szCs w:val="22"/>
        </w:rPr>
        <w:t>ipheral volumes of distribution</w:t>
      </w:r>
    </w:p>
    <w:p w:rsidR="00FD3878" w:rsidRPr="005630FA" w:rsidRDefault="00085BCA" w:rsidP="00BA5F82">
      <w:pPr>
        <w:spacing w:after="120" w:line="480" w:lineRule="auto"/>
        <w:rPr>
          <w:sz w:val="22"/>
          <w:szCs w:val="22"/>
        </w:rPr>
      </w:pPr>
      <w:r w:rsidRPr="005630FA">
        <w:rPr>
          <w:noProof/>
          <w:sz w:val="22"/>
          <w:szCs w:val="22"/>
          <w:lang w:val="de-DE" w:eastAsia="de-DE"/>
        </w:rPr>
        <w:drawing>
          <wp:inline distT="0" distB="0" distL="0" distR="0" wp14:anchorId="7D17AAC9" wp14:editId="0FFFE7E5">
            <wp:extent cx="4238625" cy="5934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7056_PK_model5APK_BW_pub.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8625" cy="5934075"/>
                    </a:xfrm>
                    <a:prstGeom prst="rect">
                      <a:avLst/>
                    </a:prstGeom>
                  </pic:spPr>
                </pic:pic>
              </a:graphicData>
            </a:graphic>
          </wp:inline>
        </w:drawing>
      </w:r>
    </w:p>
    <w:p w:rsidR="00FD3878" w:rsidRPr="005630FA" w:rsidRDefault="00FD3878" w:rsidP="00BA5F82">
      <w:pPr>
        <w:spacing w:after="120" w:line="480" w:lineRule="auto"/>
        <w:rPr>
          <w:sz w:val="22"/>
          <w:szCs w:val="22"/>
        </w:rPr>
      </w:pPr>
      <w:r w:rsidRPr="005630FA">
        <w:rPr>
          <w:b/>
          <w:sz w:val="22"/>
          <w:szCs w:val="22"/>
        </w:rPr>
        <w:lastRenderedPageBreak/>
        <w:t xml:space="preserve">Figure </w:t>
      </w:r>
      <w:r w:rsidR="0073717C" w:rsidRPr="005630FA">
        <w:rPr>
          <w:b/>
          <w:sz w:val="22"/>
          <w:szCs w:val="22"/>
        </w:rPr>
        <w:t>2</w:t>
      </w:r>
      <w:r w:rsidR="00295F9C" w:rsidRPr="005630FA">
        <w:rPr>
          <w:b/>
          <w:sz w:val="22"/>
          <w:szCs w:val="22"/>
        </w:rPr>
        <w:t>S</w:t>
      </w:r>
      <w:r w:rsidRPr="005630FA">
        <w:rPr>
          <w:b/>
          <w:sz w:val="22"/>
          <w:szCs w:val="22"/>
        </w:rPr>
        <w:t>:</w:t>
      </w:r>
      <w:r w:rsidRPr="005630FA">
        <w:rPr>
          <w:sz w:val="22"/>
          <w:szCs w:val="22"/>
        </w:rPr>
        <w:t xml:space="preserve"> Goodness-of-fit plots for the final pharmacokinetic model of remimazolam. Measured concentrations vs. population (A) and individual (B) predictions; ratio of measured and predicted concentrations for the population (C) and individual (D) predictions; conditional weighted residuals vs. time (E) and vs. population predicted concentrations (F). The red lines represent lines of identity (measured = predicted), the blue lines are smoothing lines. MDPE: median prediction error; MDAPE: median absolute prediction error.</w:t>
      </w:r>
    </w:p>
    <w:p w:rsidR="00FD3878" w:rsidRPr="005630FA" w:rsidRDefault="00085BCA" w:rsidP="00BA5F82">
      <w:pPr>
        <w:spacing w:after="120" w:line="480" w:lineRule="auto"/>
        <w:rPr>
          <w:sz w:val="22"/>
          <w:szCs w:val="22"/>
        </w:rPr>
      </w:pPr>
      <w:r w:rsidRPr="005630FA">
        <w:rPr>
          <w:noProof/>
          <w:sz w:val="22"/>
          <w:szCs w:val="22"/>
          <w:lang w:val="de-DE" w:eastAsia="de-DE"/>
        </w:rPr>
        <w:drawing>
          <wp:inline distT="0" distB="0" distL="0" distR="0" wp14:anchorId="54651AA6" wp14:editId="45BC319D">
            <wp:extent cx="4281238" cy="58102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7056_PK_model15_diagnostics_pu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0658" cy="5809463"/>
                    </a:xfrm>
                    <a:prstGeom prst="rect">
                      <a:avLst/>
                    </a:prstGeom>
                  </pic:spPr>
                </pic:pic>
              </a:graphicData>
            </a:graphic>
          </wp:inline>
        </w:drawing>
      </w:r>
    </w:p>
    <w:p w:rsidR="00FD3878" w:rsidRPr="005630FA" w:rsidRDefault="00FD3878" w:rsidP="00BA5F82">
      <w:pPr>
        <w:spacing w:after="120" w:line="480" w:lineRule="auto"/>
        <w:rPr>
          <w:sz w:val="22"/>
          <w:szCs w:val="22"/>
        </w:rPr>
      </w:pPr>
      <w:r w:rsidRPr="005630FA">
        <w:rPr>
          <w:b/>
          <w:sz w:val="22"/>
          <w:szCs w:val="22"/>
        </w:rPr>
        <w:lastRenderedPageBreak/>
        <w:t xml:space="preserve">Figure </w:t>
      </w:r>
      <w:r w:rsidR="0073717C" w:rsidRPr="005630FA">
        <w:rPr>
          <w:b/>
          <w:sz w:val="22"/>
          <w:szCs w:val="22"/>
        </w:rPr>
        <w:t>3</w:t>
      </w:r>
      <w:r w:rsidR="00295F9C" w:rsidRPr="005630FA">
        <w:rPr>
          <w:b/>
          <w:sz w:val="22"/>
          <w:szCs w:val="22"/>
        </w:rPr>
        <w:t>S</w:t>
      </w:r>
      <w:r w:rsidRPr="005630FA">
        <w:rPr>
          <w:b/>
          <w:sz w:val="22"/>
          <w:szCs w:val="22"/>
        </w:rPr>
        <w:t>:</w:t>
      </w:r>
      <w:r w:rsidRPr="005630FA">
        <w:rPr>
          <w:sz w:val="22"/>
          <w:szCs w:val="22"/>
        </w:rPr>
        <w:t xml:space="preserve"> Log-likelihood profiles for the final pharmacokinetic model of remimazolam. Critical values of the objective function value are shown as red and blue dotted line for p&lt;0.05 and p&lt;0.01, respectively. The vertical red line marks the population estimate of the parameter. CL: elimination clearance; Q</w:t>
      </w:r>
      <w:r w:rsidRPr="005630FA">
        <w:rPr>
          <w:sz w:val="22"/>
          <w:szCs w:val="22"/>
          <w:vertAlign w:val="subscript"/>
        </w:rPr>
        <w:t>2</w:t>
      </w:r>
      <w:proofErr w:type="gramStart"/>
      <w:r w:rsidRPr="005630FA">
        <w:rPr>
          <w:sz w:val="22"/>
          <w:szCs w:val="22"/>
          <w:vertAlign w:val="subscript"/>
        </w:rPr>
        <w:t>,3</w:t>
      </w:r>
      <w:proofErr w:type="gramEnd"/>
      <w:r w:rsidRPr="005630FA">
        <w:rPr>
          <w:sz w:val="22"/>
          <w:szCs w:val="22"/>
        </w:rPr>
        <w:t>: intercompartmental clearances</w:t>
      </w:r>
      <w:r w:rsidR="00EA4391">
        <w:rPr>
          <w:sz w:val="22"/>
          <w:szCs w:val="22"/>
        </w:rPr>
        <w:t xml:space="preserve">; </w:t>
      </w:r>
      <w:r w:rsidR="00EA4391" w:rsidRPr="005630FA">
        <w:rPr>
          <w:sz w:val="22"/>
          <w:szCs w:val="22"/>
        </w:rPr>
        <w:t>V</w:t>
      </w:r>
      <w:r w:rsidR="00EA4391" w:rsidRPr="005630FA">
        <w:rPr>
          <w:sz w:val="22"/>
          <w:szCs w:val="22"/>
          <w:vertAlign w:val="subscript"/>
        </w:rPr>
        <w:t>1</w:t>
      </w:r>
      <w:r w:rsidR="00EA4391" w:rsidRPr="005630FA">
        <w:rPr>
          <w:sz w:val="22"/>
          <w:szCs w:val="22"/>
        </w:rPr>
        <w:t>: central volume of distribution; V</w:t>
      </w:r>
      <w:r w:rsidR="00EA4391" w:rsidRPr="005630FA">
        <w:rPr>
          <w:sz w:val="22"/>
          <w:szCs w:val="22"/>
          <w:vertAlign w:val="subscript"/>
        </w:rPr>
        <w:t>2,3</w:t>
      </w:r>
      <w:r w:rsidR="00EA4391" w:rsidRPr="005630FA">
        <w:rPr>
          <w:sz w:val="22"/>
          <w:szCs w:val="22"/>
        </w:rPr>
        <w:t>: per</w:t>
      </w:r>
      <w:r w:rsidR="00EA4391">
        <w:rPr>
          <w:sz w:val="22"/>
          <w:szCs w:val="22"/>
        </w:rPr>
        <w:t>ipheral volumes of distribution</w:t>
      </w:r>
    </w:p>
    <w:p w:rsidR="00FD3878" w:rsidRPr="005630FA" w:rsidRDefault="00FD3878" w:rsidP="00BA5F82">
      <w:pPr>
        <w:spacing w:after="120" w:line="480" w:lineRule="auto"/>
        <w:rPr>
          <w:sz w:val="22"/>
          <w:szCs w:val="22"/>
        </w:rPr>
      </w:pPr>
    </w:p>
    <w:p w:rsidR="00FD3878" w:rsidRPr="005630FA" w:rsidRDefault="00085BCA" w:rsidP="00BA5F82">
      <w:pPr>
        <w:spacing w:after="120" w:line="480" w:lineRule="auto"/>
        <w:rPr>
          <w:sz w:val="22"/>
          <w:szCs w:val="22"/>
        </w:rPr>
      </w:pPr>
      <w:r w:rsidRPr="005630FA">
        <w:rPr>
          <w:noProof/>
          <w:sz w:val="22"/>
          <w:szCs w:val="22"/>
          <w:lang w:val="de-DE" w:eastAsia="de-DE"/>
        </w:rPr>
        <w:drawing>
          <wp:inline distT="0" distB="0" distL="0" distR="0" wp14:anchorId="4656FA55" wp14:editId="11CE6054">
            <wp:extent cx="5242560"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7056_PK_model15_LLP_pub.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2560" cy="3276600"/>
                    </a:xfrm>
                    <a:prstGeom prst="rect">
                      <a:avLst/>
                    </a:prstGeom>
                  </pic:spPr>
                </pic:pic>
              </a:graphicData>
            </a:graphic>
          </wp:inline>
        </w:drawing>
      </w:r>
    </w:p>
    <w:p w:rsidR="00FD3878" w:rsidRPr="005630FA" w:rsidRDefault="00FD3878" w:rsidP="00BA5F82">
      <w:pPr>
        <w:spacing w:after="120" w:line="480" w:lineRule="auto"/>
        <w:rPr>
          <w:sz w:val="22"/>
          <w:szCs w:val="22"/>
        </w:rPr>
      </w:pPr>
      <w:r w:rsidRPr="005630FA">
        <w:rPr>
          <w:sz w:val="22"/>
          <w:szCs w:val="22"/>
        </w:rPr>
        <w:br w:type="page"/>
      </w:r>
    </w:p>
    <w:p w:rsidR="00FD3878" w:rsidRPr="005630FA" w:rsidRDefault="00FD3878" w:rsidP="00BA5F82">
      <w:pPr>
        <w:spacing w:after="120" w:line="480" w:lineRule="auto"/>
        <w:rPr>
          <w:sz w:val="22"/>
          <w:szCs w:val="22"/>
        </w:rPr>
      </w:pPr>
      <w:r w:rsidRPr="005630FA">
        <w:rPr>
          <w:b/>
          <w:sz w:val="22"/>
          <w:szCs w:val="22"/>
        </w:rPr>
        <w:lastRenderedPageBreak/>
        <w:t xml:space="preserve">Figure </w:t>
      </w:r>
      <w:r w:rsidR="0073717C" w:rsidRPr="005630FA">
        <w:rPr>
          <w:b/>
          <w:sz w:val="22"/>
          <w:szCs w:val="22"/>
        </w:rPr>
        <w:t>4</w:t>
      </w:r>
      <w:r w:rsidR="00295F9C" w:rsidRPr="005630FA">
        <w:rPr>
          <w:b/>
          <w:sz w:val="22"/>
          <w:szCs w:val="22"/>
        </w:rPr>
        <w:t>S</w:t>
      </w:r>
      <w:r w:rsidRPr="005630FA">
        <w:rPr>
          <w:b/>
          <w:sz w:val="22"/>
          <w:szCs w:val="22"/>
        </w:rPr>
        <w:t>:</w:t>
      </w:r>
      <w:r w:rsidRPr="005630FA">
        <w:rPr>
          <w:sz w:val="22"/>
          <w:szCs w:val="22"/>
        </w:rPr>
        <w:t xml:space="preserve"> Visual predictive check for the final pharmacokinetic model of remimazolam. Measured concentrations are plotted as dots and the median of the measured concentrations as black line. The blue lines show the 5%, 50% and 95% quantiles of the model predictions.</w:t>
      </w:r>
    </w:p>
    <w:p w:rsidR="00FD3878" w:rsidRPr="005630FA" w:rsidRDefault="00FD3878" w:rsidP="00BA5F82">
      <w:pPr>
        <w:spacing w:after="120" w:line="480" w:lineRule="auto"/>
        <w:rPr>
          <w:sz w:val="22"/>
          <w:szCs w:val="22"/>
        </w:rPr>
      </w:pPr>
    </w:p>
    <w:p w:rsidR="00FD3878" w:rsidRPr="005630FA" w:rsidRDefault="00085BCA" w:rsidP="00BA5F82">
      <w:pPr>
        <w:spacing w:after="120" w:line="480" w:lineRule="auto"/>
        <w:rPr>
          <w:sz w:val="22"/>
          <w:szCs w:val="22"/>
        </w:rPr>
      </w:pPr>
      <w:r w:rsidRPr="005630FA">
        <w:rPr>
          <w:noProof/>
          <w:sz w:val="22"/>
          <w:szCs w:val="22"/>
          <w:lang w:val="de-DE" w:eastAsia="de-DE"/>
        </w:rPr>
        <w:drawing>
          <wp:inline distT="0" distB="0" distL="0" distR="0" wp14:anchorId="728BB92E" wp14:editId="754C1172">
            <wp:extent cx="4638675" cy="376892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7056_PK_model15_VPC_pub.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2454" cy="3771994"/>
                    </a:xfrm>
                    <a:prstGeom prst="rect">
                      <a:avLst/>
                    </a:prstGeom>
                  </pic:spPr>
                </pic:pic>
              </a:graphicData>
            </a:graphic>
          </wp:inline>
        </w:drawing>
      </w:r>
    </w:p>
    <w:p w:rsidR="00FD3878" w:rsidRPr="005630FA" w:rsidRDefault="00FD3878" w:rsidP="00BA5F82">
      <w:pPr>
        <w:spacing w:after="120" w:line="480" w:lineRule="auto"/>
        <w:rPr>
          <w:sz w:val="22"/>
          <w:szCs w:val="22"/>
        </w:rPr>
      </w:pPr>
      <w:r w:rsidRPr="005630FA">
        <w:rPr>
          <w:sz w:val="22"/>
          <w:szCs w:val="22"/>
        </w:rPr>
        <w:br w:type="page"/>
      </w:r>
    </w:p>
    <w:p w:rsidR="00FD3878" w:rsidRPr="005630FA" w:rsidRDefault="00295F9C" w:rsidP="00BA5F82">
      <w:pPr>
        <w:spacing w:after="120" w:line="480" w:lineRule="auto"/>
        <w:jc w:val="both"/>
        <w:rPr>
          <w:b/>
          <w:sz w:val="22"/>
          <w:szCs w:val="22"/>
        </w:rPr>
      </w:pPr>
      <w:r w:rsidRPr="005630FA">
        <w:rPr>
          <w:b/>
          <w:sz w:val="22"/>
          <w:szCs w:val="22"/>
        </w:rPr>
        <w:lastRenderedPageBreak/>
        <w:t>S4</w:t>
      </w:r>
      <w:r w:rsidR="00FD3878" w:rsidRPr="005630FA">
        <w:rPr>
          <w:b/>
          <w:sz w:val="22"/>
          <w:szCs w:val="22"/>
        </w:rPr>
        <w:t xml:space="preserve">: Results of pharmacokinetic modeling of </w:t>
      </w:r>
      <w:r w:rsidR="00AB6EFD" w:rsidRPr="005630FA">
        <w:rPr>
          <w:b/>
          <w:sz w:val="22"/>
          <w:szCs w:val="22"/>
        </w:rPr>
        <w:t>CNS 7054</w:t>
      </w:r>
    </w:p>
    <w:p w:rsidR="00FD3878" w:rsidRPr="005630FA" w:rsidRDefault="00FD3878" w:rsidP="00BA5F82">
      <w:pPr>
        <w:spacing w:after="120" w:line="480" w:lineRule="auto"/>
        <w:jc w:val="both"/>
        <w:rPr>
          <w:sz w:val="22"/>
          <w:szCs w:val="22"/>
        </w:rPr>
      </w:pPr>
      <w:r w:rsidRPr="005630FA">
        <w:rPr>
          <w:sz w:val="22"/>
          <w:szCs w:val="22"/>
        </w:rPr>
        <w:t xml:space="preserve">A combined three- and two-compartment model with a transit compartment was used for pharmacokinetic modeling of </w:t>
      </w:r>
      <w:r w:rsidR="00AB6EFD" w:rsidRPr="005630FA">
        <w:rPr>
          <w:sz w:val="22"/>
          <w:szCs w:val="22"/>
        </w:rPr>
        <w:t>CNS 7054</w:t>
      </w:r>
      <w:r w:rsidRPr="005630FA">
        <w:rPr>
          <w:sz w:val="22"/>
          <w:szCs w:val="22"/>
        </w:rPr>
        <w:t>. The parameters for remimazolam were fixed to the individual estimates of the best pharmacokinetic model. During development of the basic model, it was found that the model was significantly improved (ΔOFV=</w:t>
      </w:r>
      <w:r w:rsidR="00852821" w:rsidRPr="005630FA">
        <w:rPr>
          <w:sz w:val="22"/>
          <w:szCs w:val="22"/>
        </w:rPr>
        <w:t xml:space="preserve"> </w:t>
      </w:r>
      <w:r w:rsidR="00852821" w:rsidRPr="005630FA">
        <w:rPr>
          <w:sz w:val="22"/>
          <w:szCs w:val="22"/>
        </w:rPr>
        <w:noBreakHyphen/>
      </w:r>
      <w:r w:rsidR="005B7A2A">
        <w:rPr>
          <w:sz w:val="22"/>
          <w:szCs w:val="22"/>
        </w:rPr>
        <w:t>55.4, p&lt;0.00</w:t>
      </w:r>
      <w:r w:rsidRPr="005630FA">
        <w:rPr>
          <w:sz w:val="22"/>
          <w:szCs w:val="22"/>
        </w:rPr>
        <w:t xml:space="preserve">1) if one assumed an additional lag-time for the formation of </w:t>
      </w:r>
      <w:r w:rsidR="00AB6EFD" w:rsidRPr="005630FA">
        <w:rPr>
          <w:sz w:val="22"/>
          <w:szCs w:val="22"/>
        </w:rPr>
        <w:t>CNS 7054</w:t>
      </w:r>
      <w:r w:rsidRPr="005630FA">
        <w:rPr>
          <w:sz w:val="22"/>
          <w:szCs w:val="22"/>
        </w:rPr>
        <w:t xml:space="preserve">. Without this lag-time, the concentrations in the first 5 min were </w:t>
      </w:r>
      <w:proofErr w:type="spellStart"/>
      <w:r w:rsidRPr="005630FA">
        <w:rPr>
          <w:sz w:val="22"/>
          <w:szCs w:val="22"/>
        </w:rPr>
        <w:t>overpredicted</w:t>
      </w:r>
      <w:proofErr w:type="spellEnd"/>
      <w:r w:rsidRPr="005630FA">
        <w:rPr>
          <w:sz w:val="22"/>
          <w:szCs w:val="22"/>
        </w:rPr>
        <w:t xml:space="preserve">. The basic model showed already a good quality of fit without bias and with small prediction errors (MDPE= </w:t>
      </w:r>
      <w:r w:rsidRPr="005630FA">
        <w:rPr>
          <w:sz w:val="22"/>
          <w:szCs w:val="22"/>
        </w:rPr>
        <w:softHyphen/>
        <w:t>-2.42%, MDAPE=11.6% for the population predictions). The shrinkage of the individual empirical Bayesian estimates was 20.0% for K</w:t>
      </w:r>
      <w:r w:rsidRPr="005630FA">
        <w:rPr>
          <w:sz w:val="22"/>
          <w:szCs w:val="22"/>
          <w:vertAlign w:val="subscript"/>
        </w:rPr>
        <w:t>m</w:t>
      </w:r>
      <w:r w:rsidRPr="005630FA">
        <w:rPr>
          <w:sz w:val="22"/>
          <w:szCs w:val="22"/>
        </w:rPr>
        <w:t>, 0.13% for CL</w:t>
      </w:r>
      <w:r w:rsidRPr="005630FA">
        <w:rPr>
          <w:sz w:val="22"/>
          <w:szCs w:val="22"/>
          <w:vertAlign w:val="subscript"/>
        </w:rPr>
        <w:t>M</w:t>
      </w:r>
      <w:r w:rsidRPr="005630FA">
        <w:rPr>
          <w:sz w:val="22"/>
          <w:szCs w:val="22"/>
        </w:rPr>
        <w:t>, 26.0% for Q</w:t>
      </w:r>
      <w:r w:rsidRPr="005630FA">
        <w:rPr>
          <w:sz w:val="22"/>
          <w:szCs w:val="22"/>
          <w:vertAlign w:val="subscript"/>
        </w:rPr>
        <w:t>2M</w:t>
      </w:r>
      <w:r w:rsidRPr="005630FA">
        <w:rPr>
          <w:sz w:val="22"/>
          <w:szCs w:val="22"/>
        </w:rPr>
        <w:t>, 6.2% for V</w:t>
      </w:r>
      <w:r w:rsidRPr="005630FA">
        <w:rPr>
          <w:sz w:val="22"/>
          <w:szCs w:val="22"/>
          <w:vertAlign w:val="subscript"/>
        </w:rPr>
        <w:t>1M</w:t>
      </w:r>
      <w:r w:rsidRPr="005630FA">
        <w:rPr>
          <w:sz w:val="22"/>
          <w:szCs w:val="22"/>
        </w:rPr>
        <w:t xml:space="preserve">, and 3.7% for </w:t>
      </w:r>
      <w:proofErr w:type="gramStart"/>
      <w:r w:rsidRPr="005630FA">
        <w:rPr>
          <w:sz w:val="22"/>
          <w:szCs w:val="22"/>
        </w:rPr>
        <w:t>V</w:t>
      </w:r>
      <w:r w:rsidRPr="005630FA">
        <w:rPr>
          <w:sz w:val="22"/>
          <w:szCs w:val="22"/>
          <w:vertAlign w:val="subscript"/>
        </w:rPr>
        <w:t>2M</w:t>
      </w:r>
      <w:r w:rsidRPr="005630FA">
        <w:rPr>
          <w:sz w:val="22"/>
          <w:szCs w:val="22"/>
        </w:rPr>
        <w:t xml:space="preserve"> ,</w:t>
      </w:r>
      <w:proofErr w:type="gramEnd"/>
      <w:r w:rsidRPr="005630FA">
        <w:rPr>
          <w:sz w:val="22"/>
          <w:szCs w:val="22"/>
        </w:rPr>
        <w:t xml:space="preserve"> respectively. The interindividual variability of the lag-time was fixed to zero as it showed a relative standard error</w:t>
      </w:r>
      <w:r w:rsidR="000E2858">
        <w:rPr>
          <w:sz w:val="22"/>
          <w:szCs w:val="22"/>
        </w:rPr>
        <w:t xml:space="preserve"> </w:t>
      </w:r>
      <w:r w:rsidRPr="005630FA">
        <w:rPr>
          <w:sz w:val="22"/>
          <w:szCs w:val="22"/>
        </w:rPr>
        <w:t>&gt;200%. Regression plots of the individual estimates vs. weight and age indicated that there was no effect of age (regression coefficient r</w:t>
      </w:r>
      <w:r w:rsidRPr="005630FA">
        <w:rPr>
          <w:sz w:val="22"/>
          <w:szCs w:val="22"/>
          <w:vertAlign w:val="superscript"/>
        </w:rPr>
        <w:t>2</w:t>
      </w:r>
      <w:r w:rsidRPr="005630FA">
        <w:rPr>
          <w:sz w:val="22"/>
          <w:szCs w:val="22"/>
        </w:rPr>
        <w:t>&lt;0.1 for all parameters), but a</w:t>
      </w:r>
      <w:r w:rsidR="00AF33A4" w:rsidRPr="005630FA">
        <w:rPr>
          <w:sz w:val="22"/>
          <w:szCs w:val="22"/>
        </w:rPr>
        <w:t>n</w:t>
      </w:r>
      <w:r w:rsidRPr="005630FA">
        <w:rPr>
          <w:sz w:val="22"/>
          <w:szCs w:val="22"/>
        </w:rPr>
        <w:t xml:space="preserve"> effect of body weight on K</w:t>
      </w:r>
      <w:r w:rsidRPr="005630FA">
        <w:rPr>
          <w:sz w:val="22"/>
          <w:szCs w:val="22"/>
          <w:vertAlign w:val="subscript"/>
        </w:rPr>
        <w:t>M</w:t>
      </w:r>
      <w:r w:rsidRPr="005630FA">
        <w:rPr>
          <w:sz w:val="22"/>
          <w:szCs w:val="22"/>
        </w:rPr>
        <w:t>, Q</w:t>
      </w:r>
      <w:r w:rsidRPr="005630FA">
        <w:rPr>
          <w:sz w:val="22"/>
          <w:szCs w:val="22"/>
          <w:vertAlign w:val="subscript"/>
        </w:rPr>
        <w:t>2M</w:t>
      </w:r>
      <w:r w:rsidRPr="005630FA">
        <w:rPr>
          <w:sz w:val="22"/>
          <w:szCs w:val="22"/>
        </w:rPr>
        <w:t xml:space="preserve"> and V</w:t>
      </w:r>
      <w:r w:rsidRPr="005630FA">
        <w:rPr>
          <w:sz w:val="22"/>
          <w:szCs w:val="22"/>
          <w:vertAlign w:val="subscript"/>
        </w:rPr>
        <w:t>2M</w:t>
      </w:r>
      <w:r w:rsidRPr="005630FA">
        <w:rPr>
          <w:sz w:val="22"/>
          <w:szCs w:val="22"/>
        </w:rPr>
        <w:t xml:space="preserve"> (fig. </w:t>
      </w:r>
      <w:r w:rsidR="0073717C" w:rsidRPr="005630FA">
        <w:rPr>
          <w:sz w:val="22"/>
          <w:szCs w:val="22"/>
        </w:rPr>
        <w:t>5</w:t>
      </w:r>
      <w:r w:rsidR="00295F9C" w:rsidRPr="005630FA">
        <w:rPr>
          <w:sz w:val="22"/>
          <w:szCs w:val="22"/>
        </w:rPr>
        <w:t>S</w:t>
      </w:r>
      <w:r w:rsidRPr="005630FA">
        <w:rPr>
          <w:sz w:val="22"/>
          <w:szCs w:val="22"/>
        </w:rPr>
        <w:t xml:space="preserve">). The inclusion of body weight as covariate was tested in a sequential process using a </w:t>
      </w:r>
      <w:r w:rsidR="008A2742" w:rsidRPr="005630FA">
        <w:rPr>
          <w:sz w:val="22"/>
          <w:szCs w:val="22"/>
        </w:rPr>
        <w:t xml:space="preserve">general </w:t>
      </w:r>
      <w:r w:rsidRPr="005630FA">
        <w:rPr>
          <w:sz w:val="22"/>
          <w:szCs w:val="22"/>
        </w:rPr>
        <w:t>linear relationship:</w:t>
      </w:r>
    </w:p>
    <w:p w:rsidR="008A2742" w:rsidRPr="005630FA" w:rsidRDefault="00E4470F" w:rsidP="00BA5F82">
      <w:pPr>
        <w:spacing w:after="120" w:line="480" w:lineRule="auto"/>
        <w:jc w:val="both"/>
        <w:rPr>
          <w:sz w:val="22"/>
          <w:szCs w:val="22"/>
        </w:rPr>
      </w:pPr>
      <m:oMath>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TV</m:t>
            </m:r>
          </m:sub>
        </m:sSub>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BW</m:t>
            </m:r>
          </m:sub>
        </m:sSub>
        <m:r>
          <w:rPr>
            <w:rFonts w:ascii="Cambria Math" w:hAnsi="Cambria Math"/>
            <w:sz w:val="22"/>
            <w:szCs w:val="22"/>
          </w:rPr>
          <m:t>∙(BW-75)</m:t>
        </m:r>
      </m:oMath>
      <w:r w:rsidR="008A2742" w:rsidRPr="005630FA">
        <w:rPr>
          <w:sz w:val="22"/>
          <w:szCs w:val="22"/>
        </w:rPr>
        <w:t xml:space="preserve"> </w:t>
      </w:r>
    </w:p>
    <w:p w:rsidR="00FD3878" w:rsidRPr="005630FA" w:rsidRDefault="00FD3878" w:rsidP="00BA5F82">
      <w:pPr>
        <w:spacing w:after="120" w:line="480" w:lineRule="auto"/>
        <w:jc w:val="both"/>
        <w:rPr>
          <w:sz w:val="22"/>
          <w:szCs w:val="22"/>
        </w:rPr>
      </w:pPr>
      <w:r w:rsidRPr="005630FA">
        <w:rPr>
          <w:sz w:val="22"/>
          <w:szCs w:val="22"/>
        </w:rPr>
        <w:t>Body weight as covariate for V</w:t>
      </w:r>
      <w:r w:rsidRPr="005630FA">
        <w:rPr>
          <w:sz w:val="22"/>
          <w:szCs w:val="22"/>
          <w:vertAlign w:val="subscript"/>
        </w:rPr>
        <w:t>2M</w:t>
      </w:r>
      <w:r w:rsidRPr="005630FA">
        <w:rPr>
          <w:sz w:val="22"/>
          <w:szCs w:val="22"/>
        </w:rPr>
        <w:t xml:space="preserve"> improved the model significantly (ΔOFV=</w:t>
      </w:r>
      <w:r w:rsidR="00852821" w:rsidRPr="005630FA">
        <w:rPr>
          <w:sz w:val="22"/>
          <w:szCs w:val="22"/>
        </w:rPr>
        <w:t xml:space="preserve"> </w:t>
      </w:r>
      <w:r w:rsidR="00852821" w:rsidRPr="005630FA">
        <w:rPr>
          <w:sz w:val="22"/>
          <w:szCs w:val="22"/>
        </w:rPr>
        <w:noBreakHyphen/>
      </w:r>
      <w:r w:rsidRPr="005630FA">
        <w:rPr>
          <w:sz w:val="22"/>
          <w:szCs w:val="22"/>
        </w:rPr>
        <w:t>21.3, p&lt;0.001). When weight was added as covariate for Q</w:t>
      </w:r>
      <w:r w:rsidRPr="005630FA">
        <w:rPr>
          <w:sz w:val="22"/>
          <w:szCs w:val="22"/>
          <w:vertAlign w:val="subscript"/>
        </w:rPr>
        <w:t>2M</w:t>
      </w:r>
      <w:r w:rsidRPr="005630FA">
        <w:rPr>
          <w:sz w:val="22"/>
          <w:szCs w:val="22"/>
        </w:rPr>
        <w:t>, the model was further improved significantly (ΔOFV=</w:t>
      </w:r>
      <w:r w:rsidR="00852821" w:rsidRPr="005630FA">
        <w:rPr>
          <w:sz w:val="22"/>
          <w:szCs w:val="22"/>
        </w:rPr>
        <w:t xml:space="preserve"> </w:t>
      </w:r>
      <w:r w:rsidR="00852821" w:rsidRPr="005630FA">
        <w:rPr>
          <w:sz w:val="22"/>
          <w:szCs w:val="22"/>
        </w:rPr>
        <w:noBreakHyphen/>
      </w:r>
      <w:r w:rsidRPr="005630FA">
        <w:rPr>
          <w:sz w:val="22"/>
          <w:szCs w:val="22"/>
        </w:rPr>
        <w:t>10.7, p&lt;0.01)</w:t>
      </w:r>
      <w:r w:rsidR="00617D0F" w:rsidRPr="005630FA">
        <w:rPr>
          <w:sz w:val="22"/>
          <w:szCs w:val="22"/>
        </w:rPr>
        <w:t>, whereas a further effect of weight on K</w:t>
      </w:r>
      <w:r w:rsidR="00617D0F" w:rsidRPr="005630FA">
        <w:rPr>
          <w:sz w:val="22"/>
          <w:szCs w:val="22"/>
          <w:vertAlign w:val="subscript"/>
        </w:rPr>
        <w:t>M</w:t>
      </w:r>
      <w:r w:rsidR="00617D0F" w:rsidRPr="005630FA">
        <w:rPr>
          <w:sz w:val="22"/>
          <w:szCs w:val="22"/>
        </w:rPr>
        <w:t xml:space="preserve"> was not significant (ΔOFV=</w:t>
      </w:r>
      <w:r w:rsidR="00891048" w:rsidRPr="005630FA">
        <w:rPr>
          <w:sz w:val="22"/>
          <w:szCs w:val="22"/>
        </w:rPr>
        <w:t xml:space="preserve"> </w:t>
      </w:r>
      <w:r w:rsidR="00891048" w:rsidRPr="005630FA">
        <w:rPr>
          <w:sz w:val="22"/>
          <w:szCs w:val="22"/>
        </w:rPr>
        <w:noBreakHyphen/>
      </w:r>
      <w:r w:rsidR="00617D0F" w:rsidRPr="005630FA">
        <w:rPr>
          <w:sz w:val="22"/>
          <w:szCs w:val="22"/>
        </w:rPr>
        <w:t xml:space="preserve">0.24, p=0.62). </w:t>
      </w:r>
      <w:r w:rsidR="000169AF" w:rsidRPr="005630FA">
        <w:rPr>
          <w:sz w:val="22"/>
          <w:szCs w:val="22"/>
        </w:rPr>
        <w:t>A</w:t>
      </w:r>
      <w:r w:rsidR="008A2742" w:rsidRPr="005630FA">
        <w:rPr>
          <w:sz w:val="22"/>
          <w:szCs w:val="22"/>
        </w:rPr>
        <w:t xml:space="preserve"> simplified linear relationship with proportional body weight scaling for both V</w:t>
      </w:r>
      <w:r w:rsidR="008A2742" w:rsidRPr="005630FA">
        <w:rPr>
          <w:sz w:val="22"/>
          <w:szCs w:val="22"/>
          <w:vertAlign w:val="subscript"/>
        </w:rPr>
        <w:t>2m</w:t>
      </w:r>
      <w:r w:rsidR="008A2742" w:rsidRPr="005630FA">
        <w:rPr>
          <w:sz w:val="22"/>
          <w:szCs w:val="22"/>
        </w:rPr>
        <w:t xml:space="preserve"> and Q</w:t>
      </w:r>
      <w:r w:rsidR="008A2742" w:rsidRPr="005630FA">
        <w:rPr>
          <w:sz w:val="22"/>
          <w:szCs w:val="22"/>
          <w:vertAlign w:val="subscript"/>
        </w:rPr>
        <w:t>2m</w:t>
      </w:r>
      <w:r w:rsidR="008A2742" w:rsidRPr="005630FA">
        <w:rPr>
          <w:sz w:val="22"/>
          <w:szCs w:val="22"/>
        </w:rPr>
        <w:t xml:space="preserve"> showed a slightly higher OFV (ΔOFV=0.32) with less degrees of freedom and correspondingly a lower BIC (5320 </w:t>
      </w:r>
      <w:r w:rsidR="000169AF" w:rsidRPr="005630FA">
        <w:rPr>
          <w:sz w:val="22"/>
          <w:szCs w:val="22"/>
        </w:rPr>
        <w:t xml:space="preserve">for the proportional weight scaling </w:t>
      </w:r>
      <w:r w:rsidR="008A2742" w:rsidRPr="005630FA">
        <w:rPr>
          <w:sz w:val="22"/>
          <w:szCs w:val="22"/>
        </w:rPr>
        <w:t>vs. 5326</w:t>
      </w:r>
      <w:r w:rsidR="000169AF" w:rsidRPr="005630FA">
        <w:rPr>
          <w:sz w:val="22"/>
          <w:szCs w:val="22"/>
        </w:rPr>
        <w:t xml:space="preserve"> for the general linear body weight effect, respectively</w:t>
      </w:r>
      <w:r w:rsidR="008A2742" w:rsidRPr="005630FA">
        <w:rPr>
          <w:sz w:val="22"/>
          <w:szCs w:val="22"/>
        </w:rPr>
        <w:t xml:space="preserve">). </w:t>
      </w:r>
      <w:r w:rsidR="00D20A21" w:rsidRPr="005630FA">
        <w:rPr>
          <w:sz w:val="22"/>
          <w:szCs w:val="22"/>
        </w:rPr>
        <w:t>Th</w:t>
      </w:r>
      <w:r w:rsidR="009E3C75" w:rsidRPr="005630FA">
        <w:rPr>
          <w:sz w:val="22"/>
          <w:szCs w:val="22"/>
        </w:rPr>
        <w:t>e</w:t>
      </w:r>
      <w:r w:rsidR="00832272" w:rsidRPr="005630FA">
        <w:rPr>
          <w:sz w:val="22"/>
          <w:szCs w:val="22"/>
        </w:rPr>
        <w:t xml:space="preserve"> </w:t>
      </w:r>
      <w:r w:rsidRPr="005630FA">
        <w:rPr>
          <w:sz w:val="22"/>
          <w:szCs w:val="22"/>
        </w:rPr>
        <w:t xml:space="preserve">model with a </w:t>
      </w:r>
      <w:r w:rsidR="00D20A21" w:rsidRPr="005630FA">
        <w:rPr>
          <w:sz w:val="22"/>
          <w:szCs w:val="22"/>
        </w:rPr>
        <w:t xml:space="preserve">proportional weight scaling </w:t>
      </w:r>
      <w:r w:rsidRPr="005630FA">
        <w:rPr>
          <w:sz w:val="22"/>
          <w:szCs w:val="22"/>
        </w:rPr>
        <w:t>of b V</w:t>
      </w:r>
      <w:r w:rsidRPr="005630FA">
        <w:rPr>
          <w:sz w:val="22"/>
          <w:szCs w:val="22"/>
          <w:vertAlign w:val="subscript"/>
        </w:rPr>
        <w:t>2M</w:t>
      </w:r>
      <w:r w:rsidR="00ED1DE6" w:rsidRPr="005630FA">
        <w:rPr>
          <w:sz w:val="22"/>
          <w:szCs w:val="22"/>
        </w:rPr>
        <w:t xml:space="preserve"> and </w:t>
      </w:r>
      <w:r w:rsidRPr="005630FA">
        <w:rPr>
          <w:sz w:val="22"/>
          <w:szCs w:val="22"/>
        </w:rPr>
        <w:t>Q</w:t>
      </w:r>
      <w:r w:rsidRPr="005630FA">
        <w:rPr>
          <w:sz w:val="22"/>
          <w:szCs w:val="22"/>
          <w:vertAlign w:val="subscript"/>
        </w:rPr>
        <w:t>2M</w:t>
      </w:r>
      <w:r w:rsidRPr="005630FA">
        <w:rPr>
          <w:sz w:val="22"/>
          <w:szCs w:val="22"/>
        </w:rPr>
        <w:t xml:space="preserve"> was therefore </w:t>
      </w:r>
      <w:r w:rsidR="00295F9C" w:rsidRPr="005630FA">
        <w:rPr>
          <w:sz w:val="22"/>
          <w:szCs w:val="22"/>
        </w:rPr>
        <w:t xml:space="preserve">selected </w:t>
      </w:r>
      <w:r w:rsidRPr="005630FA">
        <w:rPr>
          <w:sz w:val="22"/>
          <w:szCs w:val="22"/>
        </w:rPr>
        <w:t xml:space="preserve">as final pharmacokinetic model for </w:t>
      </w:r>
      <w:r w:rsidR="00AB6EFD" w:rsidRPr="005630FA">
        <w:rPr>
          <w:sz w:val="22"/>
          <w:szCs w:val="22"/>
        </w:rPr>
        <w:t>CNS 7054</w:t>
      </w:r>
      <w:r w:rsidRPr="005630FA">
        <w:rPr>
          <w:sz w:val="22"/>
          <w:szCs w:val="22"/>
        </w:rPr>
        <w:t>. The interindividual variability of V</w:t>
      </w:r>
      <w:r w:rsidRPr="005630FA">
        <w:rPr>
          <w:sz w:val="22"/>
          <w:szCs w:val="22"/>
          <w:vertAlign w:val="subscript"/>
        </w:rPr>
        <w:t>2M</w:t>
      </w:r>
      <w:r w:rsidRPr="005630FA">
        <w:rPr>
          <w:sz w:val="22"/>
          <w:szCs w:val="22"/>
        </w:rPr>
        <w:t xml:space="preserve"> and Q</w:t>
      </w:r>
      <w:r w:rsidRPr="005630FA">
        <w:rPr>
          <w:sz w:val="22"/>
          <w:szCs w:val="22"/>
          <w:vertAlign w:val="subscript"/>
        </w:rPr>
        <w:t>2M</w:t>
      </w:r>
      <w:r w:rsidRPr="005630FA">
        <w:rPr>
          <w:sz w:val="22"/>
          <w:szCs w:val="22"/>
        </w:rPr>
        <w:t xml:space="preserve"> </w:t>
      </w:r>
      <w:r w:rsidRPr="005630FA">
        <w:rPr>
          <w:sz w:val="22"/>
          <w:szCs w:val="22"/>
        </w:rPr>
        <w:lastRenderedPageBreak/>
        <w:t>decreased from 13.3% and 15.5% for the basic model to 7.</w:t>
      </w:r>
      <w:r w:rsidR="00ED1DE6" w:rsidRPr="005630FA">
        <w:rPr>
          <w:sz w:val="22"/>
          <w:szCs w:val="22"/>
        </w:rPr>
        <w:t>2</w:t>
      </w:r>
      <w:r w:rsidRPr="005630FA">
        <w:rPr>
          <w:sz w:val="22"/>
          <w:szCs w:val="22"/>
        </w:rPr>
        <w:t>% and 10.</w:t>
      </w:r>
      <w:r w:rsidR="00C23D8D" w:rsidRPr="005630FA">
        <w:rPr>
          <w:sz w:val="22"/>
          <w:szCs w:val="22"/>
        </w:rPr>
        <w:t>4</w:t>
      </w:r>
      <w:r w:rsidRPr="005630FA">
        <w:rPr>
          <w:sz w:val="22"/>
          <w:szCs w:val="22"/>
        </w:rPr>
        <w:t xml:space="preserve">% for the final model, respectively. </w:t>
      </w:r>
    </w:p>
    <w:p w:rsidR="00FD3878" w:rsidRPr="005630FA" w:rsidRDefault="00FD3878" w:rsidP="00BA5F82">
      <w:pPr>
        <w:spacing w:after="120" w:line="480" w:lineRule="auto"/>
        <w:jc w:val="both"/>
        <w:rPr>
          <w:sz w:val="22"/>
          <w:szCs w:val="22"/>
        </w:rPr>
      </w:pPr>
      <w:r w:rsidRPr="005630FA">
        <w:rPr>
          <w:sz w:val="22"/>
          <w:szCs w:val="22"/>
        </w:rPr>
        <w:t xml:space="preserve">The diagnostic plots revealed a high quality of fit with low prediction errors and homogenously distributed residuals (fig. </w:t>
      </w:r>
      <w:r w:rsidR="0073717C" w:rsidRPr="005630FA">
        <w:rPr>
          <w:sz w:val="22"/>
          <w:szCs w:val="22"/>
        </w:rPr>
        <w:t>6</w:t>
      </w:r>
      <w:r w:rsidR="00295F9C" w:rsidRPr="005630FA">
        <w:rPr>
          <w:sz w:val="22"/>
          <w:szCs w:val="22"/>
        </w:rPr>
        <w:t>S</w:t>
      </w:r>
      <w:r w:rsidRPr="005630FA">
        <w:rPr>
          <w:sz w:val="22"/>
          <w:szCs w:val="22"/>
        </w:rPr>
        <w:t xml:space="preserve">). The LLP proved that the parameters were estimated reliably (fig. </w:t>
      </w:r>
      <w:r w:rsidR="0073717C" w:rsidRPr="005630FA">
        <w:rPr>
          <w:sz w:val="22"/>
          <w:szCs w:val="22"/>
        </w:rPr>
        <w:t>7</w:t>
      </w:r>
      <w:r w:rsidR="00295F9C" w:rsidRPr="005630FA">
        <w:rPr>
          <w:sz w:val="22"/>
          <w:szCs w:val="22"/>
        </w:rPr>
        <w:t>S</w:t>
      </w:r>
      <w:r w:rsidRPr="005630FA">
        <w:rPr>
          <w:sz w:val="22"/>
          <w:szCs w:val="22"/>
        </w:rPr>
        <w:t xml:space="preserve">). The visual predictive check demonstrated that the predictions of the final model described the measured concentrations appropriately (fig. </w:t>
      </w:r>
      <w:r w:rsidR="0073717C" w:rsidRPr="005630FA">
        <w:rPr>
          <w:sz w:val="22"/>
          <w:szCs w:val="22"/>
        </w:rPr>
        <w:t>8</w:t>
      </w:r>
      <w:r w:rsidR="00295F9C" w:rsidRPr="005630FA">
        <w:rPr>
          <w:sz w:val="22"/>
          <w:szCs w:val="22"/>
        </w:rPr>
        <w:t>S</w:t>
      </w:r>
      <w:r w:rsidRPr="005630FA">
        <w:rPr>
          <w:sz w:val="22"/>
          <w:szCs w:val="22"/>
        </w:rPr>
        <w:t xml:space="preserve">). </w:t>
      </w:r>
    </w:p>
    <w:p w:rsidR="00FD3878" w:rsidRPr="005630FA" w:rsidRDefault="00FD3878" w:rsidP="00BA5F82">
      <w:pPr>
        <w:spacing w:after="200" w:line="480" w:lineRule="auto"/>
        <w:rPr>
          <w:b/>
          <w:sz w:val="22"/>
          <w:szCs w:val="22"/>
        </w:rPr>
      </w:pPr>
      <w:r w:rsidRPr="005630FA">
        <w:rPr>
          <w:b/>
          <w:sz w:val="22"/>
          <w:szCs w:val="22"/>
        </w:rPr>
        <w:br w:type="page"/>
      </w:r>
    </w:p>
    <w:p w:rsidR="00FD3878" w:rsidRPr="005630FA" w:rsidRDefault="00FD3878" w:rsidP="00BA5F82">
      <w:pPr>
        <w:spacing w:after="120" w:line="480" w:lineRule="auto"/>
        <w:rPr>
          <w:sz w:val="22"/>
          <w:szCs w:val="22"/>
        </w:rPr>
      </w:pPr>
      <w:r w:rsidRPr="005630FA">
        <w:rPr>
          <w:b/>
          <w:sz w:val="22"/>
          <w:szCs w:val="22"/>
        </w:rPr>
        <w:lastRenderedPageBreak/>
        <w:t xml:space="preserve">Figure </w:t>
      </w:r>
      <w:r w:rsidR="0073717C" w:rsidRPr="005630FA">
        <w:rPr>
          <w:b/>
          <w:sz w:val="22"/>
          <w:szCs w:val="22"/>
        </w:rPr>
        <w:t>5</w:t>
      </w:r>
      <w:r w:rsidR="00295F9C" w:rsidRPr="005630FA">
        <w:rPr>
          <w:b/>
          <w:sz w:val="22"/>
          <w:szCs w:val="22"/>
        </w:rPr>
        <w:t>S</w:t>
      </w:r>
      <w:r w:rsidRPr="005630FA">
        <w:rPr>
          <w:b/>
          <w:sz w:val="22"/>
          <w:szCs w:val="22"/>
        </w:rPr>
        <w:t>:</w:t>
      </w:r>
      <w:r w:rsidRPr="005630FA">
        <w:rPr>
          <w:sz w:val="22"/>
          <w:szCs w:val="22"/>
        </w:rPr>
        <w:t xml:space="preserve"> Plots of the individual parameter estimates vs. body weight for the basic pharmacokinetic model of </w:t>
      </w:r>
      <w:r w:rsidR="00AB6EFD" w:rsidRPr="005630FA">
        <w:rPr>
          <w:sz w:val="22"/>
          <w:szCs w:val="22"/>
        </w:rPr>
        <w:t>CNS 7054</w:t>
      </w:r>
      <w:r w:rsidRPr="005630FA">
        <w:rPr>
          <w:sz w:val="22"/>
          <w:szCs w:val="22"/>
        </w:rPr>
        <w:t>. The blue lines represent linear regressions through the data. R</w:t>
      </w:r>
      <w:r w:rsidRPr="005630FA">
        <w:rPr>
          <w:sz w:val="22"/>
          <w:szCs w:val="22"/>
          <w:vertAlign w:val="superscript"/>
        </w:rPr>
        <w:t>2</w:t>
      </w:r>
      <w:r w:rsidRPr="005630FA">
        <w:rPr>
          <w:sz w:val="22"/>
          <w:szCs w:val="22"/>
        </w:rPr>
        <w:t xml:space="preserve"> is the regression coefficient, and p is the significance level of the linear regression. </w:t>
      </w:r>
      <w:r w:rsidR="00B826EF" w:rsidRPr="005630FA">
        <w:rPr>
          <w:sz w:val="22"/>
          <w:szCs w:val="22"/>
        </w:rPr>
        <w:t>K</w:t>
      </w:r>
      <w:r w:rsidR="00B826EF" w:rsidRPr="005630FA">
        <w:rPr>
          <w:sz w:val="22"/>
          <w:szCs w:val="22"/>
          <w:vertAlign w:val="subscript"/>
        </w:rPr>
        <w:t>M</w:t>
      </w:r>
      <w:r w:rsidR="00B826EF" w:rsidRPr="005630FA">
        <w:rPr>
          <w:sz w:val="22"/>
          <w:szCs w:val="22"/>
        </w:rPr>
        <w:t>: transit rate constant</w:t>
      </w:r>
      <w:r w:rsidRPr="005630FA">
        <w:rPr>
          <w:sz w:val="22"/>
          <w:szCs w:val="22"/>
        </w:rPr>
        <w:t>; CL</w:t>
      </w:r>
      <w:r w:rsidRPr="005630FA">
        <w:rPr>
          <w:sz w:val="22"/>
          <w:szCs w:val="22"/>
          <w:vertAlign w:val="subscript"/>
        </w:rPr>
        <w:t>M</w:t>
      </w:r>
      <w:r w:rsidRPr="005630FA">
        <w:rPr>
          <w:sz w:val="22"/>
          <w:szCs w:val="22"/>
        </w:rPr>
        <w:t>: elimination clearance; Q</w:t>
      </w:r>
      <w:r w:rsidRPr="005630FA">
        <w:rPr>
          <w:sz w:val="22"/>
          <w:szCs w:val="22"/>
          <w:vertAlign w:val="subscript"/>
        </w:rPr>
        <w:t>2M</w:t>
      </w:r>
      <w:r w:rsidRPr="005630FA">
        <w:rPr>
          <w:sz w:val="22"/>
          <w:szCs w:val="22"/>
        </w:rPr>
        <w:t xml:space="preserve">: intercompartmental clearance; </w:t>
      </w:r>
      <w:r w:rsidR="00B826EF" w:rsidRPr="005630FA">
        <w:rPr>
          <w:sz w:val="22"/>
          <w:szCs w:val="22"/>
        </w:rPr>
        <w:t>V</w:t>
      </w:r>
      <w:r w:rsidR="00B826EF" w:rsidRPr="005630FA">
        <w:rPr>
          <w:sz w:val="22"/>
          <w:szCs w:val="22"/>
          <w:vertAlign w:val="subscript"/>
        </w:rPr>
        <w:t>1M</w:t>
      </w:r>
      <w:r w:rsidR="00B826EF" w:rsidRPr="005630FA">
        <w:rPr>
          <w:sz w:val="22"/>
          <w:szCs w:val="22"/>
        </w:rPr>
        <w:t>: central volume of distribution; V</w:t>
      </w:r>
      <w:r w:rsidR="00B826EF" w:rsidRPr="005630FA">
        <w:rPr>
          <w:sz w:val="22"/>
          <w:szCs w:val="22"/>
          <w:vertAlign w:val="subscript"/>
        </w:rPr>
        <w:t>2M</w:t>
      </w:r>
      <w:r w:rsidR="00B826EF" w:rsidRPr="005630FA">
        <w:rPr>
          <w:sz w:val="22"/>
          <w:szCs w:val="22"/>
        </w:rPr>
        <w:t>: peripheral volume of distribution</w:t>
      </w:r>
    </w:p>
    <w:p w:rsidR="00FD3878" w:rsidRPr="005630FA" w:rsidRDefault="00FD3878" w:rsidP="00BA5F82">
      <w:pPr>
        <w:spacing w:after="120" w:line="480" w:lineRule="auto"/>
        <w:rPr>
          <w:sz w:val="22"/>
          <w:szCs w:val="22"/>
        </w:rPr>
      </w:pPr>
    </w:p>
    <w:p w:rsidR="00FD3878" w:rsidRPr="005630FA" w:rsidRDefault="00FB4EF3" w:rsidP="00BA5F82">
      <w:pPr>
        <w:spacing w:after="120" w:line="480" w:lineRule="auto"/>
        <w:rPr>
          <w:sz w:val="22"/>
          <w:szCs w:val="22"/>
        </w:rPr>
      </w:pPr>
      <w:r w:rsidRPr="005630FA">
        <w:rPr>
          <w:noProof/>
          <w:sz w:val="22"/>
          <w:szCs w:val="22"/>
          <w:lang w:val="de-DE" w:eastAsia="de-DE"/>
        </w:rPr>
        <w:drawing>
          <wp:inline distT="0" distB="0" distL="0" distR="0" wp14:anchorId="0DF58F4A" wp14:editId="2086CB73">
            <wp:extent cx="5759450" cy="3839845"/>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7054_PK_model9aPK_BW_pub.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rsidR="00FD3878" w:rsidRPr="005630FA" w:rsidRDefault="00FD3878" w:rsidP="00BA5F82">
      <w:pPr>
        <w:spacing w:after="120" w:line="480" w:lineRule="auto"/>
        <w:rPr>
          <w:sz w:val="22"/>
          <w:szCs w:val="22"/>
        </w:rPr>
      </w:pPr>
    </w:p>
    <w:p w:rsidR="00FD3878" w:rsidRPr="005630FA" w:rsidRDefault="00FD3878" w:rsidP="00BA5F82">
      <w:pPr>
        <w:spacing w:after="120" w:line="480" w:lineRule="auto"/>
        <w:rPr>
          <w:sz w:val="22"/>
          <w:szCs w:val="22"/>
        </w:rPr>
      </w:pPr>
      <w:r w:rsidRPr="005630FA">
        <w:rPr>
          <w:sz w:val="22"/>
          <w:szCs w:val="22"/>
        </w:rPr>
        <w:br w:type="page"/>
      </w:r>
    </w:p>
    <w:p w:rsidR="00FD3878" w:rsidRPr="005630FA" w:rsidRDefault="00FD3878" w:rsidP="00BA5F82">
      <w:pPr>
        <w:spacing w:after="120" w:line="480" w:lineRule="auto"/>
        <w:rPr>
          <w:sz w:val="22"/>
          <w:szCs w:val="22"/>
        </w:rPr>
      </w:pPr>
      <w:r w:rsidRPr="005630FA">
        <w:rPr>
          <w:b/>
          <w:sz w:val="22"/>
          <w:szCs w:val="22"/>
        </w:rPr>
        <w:lastRenderedPageBreak/>
        <w:t xml:space="preserve">Figure </w:t>
      </w:r>
      <w:r w:rsidR="0073717C" w:rsidRPr="005630FA">
        <w:rPr>
          <w:b/>
          <w:sz w:val="22"/>
          <w:szCs w:val="22"/>
        </w:rPr>
        <w:t>6</w:t>
      </w:r>
      <w:r w:rsidR="00295F9C" w:rsidRPr="005630FA">
        <w:rPr>
          <w:b/>
          <w:sz w:val="22"/>
          <w:szCs w:val="22"/>
        </w:rPr>
        <w:t>S</w:t>
      </w:r>
      <w:r w:rsidRPr="005630FA">
        <w:rPr>
          <w:b/>
          <w:sz w:val="22"/>
          <w:szCs w:val="22"/>
        </w:rPr>
        <w:t>:</w:t>
      </w:r>
      <w:r w:rsidRPr="005630FA">
        <w:rPr>
          <w:sz w:val="22"/>
          <w:szCs w:val="22"/>
        </w:rPr>
        <w:t xml:space="preserve"> Goodness-of-fit plots for the final pharmacokinetic model of </w:t>
      </w:r>
      <w:r w:rsidR="00AB6EFD" w:rsidRPr="005630FA">
        <w:rPr>
          <w:sz w:val="22"/>
          <w:szCs w:val="22"/>
        </w:rPr>
        <w:t>CNS 7054</w:t>
      </w:r>
      <w:r w:rsidRPr="005630FA">
        <w:rPr>
          <w:sz w:val="22"/>
          <w:szCs w:val="22"/>
        </w:rPr>
        <w:t>. Measured concentrations vs. population (A) and individual (B) predictions; ratio of measured and predicted concentrations for the population (C) and individual (D) predictions; conditional weighted residuals vs. time (E) and vs. population predicted concentrations (F). The red lines represent lines of identity (measured = predicted), the blue lines are smoothing lines. MDPE: median prediction error; MDAPE: median absolute prediction error.</w:t>
      </w:r>
    </w:p>
    <w:p w:rsidR="00FF2AC7" w:rsidRPr="005630FA" w:rsidRDefault="000169AF" w:rsidP="00BA5F82">
      <w:pPr>
        <w:spacing w:after="120" w:line="480" w:lineRule="auto"/>
        <w:rPr>
          <w:sz w:val="22"/>
          <w:szCs w:val="22"/>
        </w:rPr>
      </w:pPr>
      <w:r w:rsidRPr="005630FA">
        <w:rPr>
          <w:noProof/>
          <w:sz w:val="22"/>
          <w:szCs w:val="22"/>
          <w:lang w:val="de-DE" w:eastAsia="de-DE"/>
        </w:rPr>
        <w:drawing>
          <wp:inline distT="0" distB="0" distL="0" distR="0" wp14:anchorId="508A98E0" wp14:editId="7017A084">
            <wp:extent cx="4335248" cy="5800725"/>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mazolam PKPD figure 6SDC R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5248" cy="5800725"/>
                    </a:xfrm>
                    <a:prstGeom prst="rect">
                      <a:avLst/>
                    </a:prstGeom>
                  </pic:spPr>
                </pic:pic>
              </a:graphicData>
            </a:graphic>
          </wp:inline>
        </w:drawing>
      </w:r>
    </w:p>
    <w:p w:rsidR="00FD3878" w:rsidRDefault="000169AF" w:rsidP="00162371">
      <w:pPr>
        <w:spacing w:after="120" w:line="480" w:lineRule="auto"/>
        <w:rPr>
          <w:sz w:val="22"/>
          <w:szCs w:val="22"/>
        </w:rPr>
      </w:pPr>
      <w:r w:rsidRPr="005630FA">
        <w:rPr>
          <w:b/>
          <w:sz w:val="22"/>
          <w:szCs w:val="22"/>
        </w:rPr>
        <w:br w:type="page"/>
      </w:r>
      <w:r w:rsidR="00FD3878" w:rsidRPr="005630FA">
        <w:rPr>
          <w:b/>
          <w:sz w:val="22"/>
          <w:szCs w:val="22"/>
        </w:rPr>
        <w:lastRenderedPageBreak/>
        <w:t xml:space="preserve">Figure </w:t>
      </w:r>
      <w:r w:rsidR="0073717C" w:rsidRPr="005630FA">
        <w:rPr>
          <w:b/>
          <w:sz w:val="22"/>
          <w:szCs w:val="22"/>
        </w:rPr>
        <w:t>7</w:t>
      </w:r>
      <w:r w:rsidR="00295F9C" w:rsidRPr="005630FA">
        <w:rPr>
          <w:b/>
          <w:sz w:val="22"/>
          <w:szCs w:val="22"/>
        </w:rPr>
        <w:t>S</w:t>
      </w:r>
      <w:r w:rsidR="00FD3878" w:rsidRPr="005630FA">
        <w:rPr>
          <w:b/>
          <w:sz w:val="22"/>
          <w:szCs w:val="22"/>
        </w:rPr>
        <w:t>:</w:t>
      </w:r>
      <w:r w:rsidR="00FD3878" w:rsidRPr="005630FA">
        <w:rPr>
          <w:sz w:val="22"/>
          <w:szCs w:val="22"/>
        </w:rPr>
        <w:t xml:space="preserve"> Log-likelihood profiles for the final pharmacokinetic model of </w:t>
      </w:r>
      <w:r w:rsidR="00AB6EFD" w:rsidRPr="005630FA">
        <w:rPr>
          <w:sz w:val="22"/>
          <w:szCs w:val="22"/>
        </w:rPr>
        <w:t>CNS 7054</w:t>
      </w:r>
      <w:r w:rsidR="00FD3878" w:rsidRPr="005630FA">
        <w:rPr>
          <w:sz w:val="22"/>
          <w:szCs w:val="22"/>
        </w:rPr>
        <w:t xml:space="preserve">. Critical values of the objective function value are shown as red and blue dotted line for p&lt;0.05 and p&lt;0.01, respectively. </w:t>
      </w:r>
      <w:r w:rsidR="00505671" w:rsidRPr="005630FA">
        <w:rPr>
          <w:sz w:val="22"/>
          <w:szCs w:val="22"/>
        </w:rPr>
        <w:t xml:space="preserve">The vertical red line marks the population estimate of the parameter. </w:t>
      </w:r>
      <w:r w:rsidR="00162371" w:rsidRPr="005630FA">
        <w:rPr>
          <w:sz w:val="22"/>
          <w:szCs w:val="22"/>
        </w:rPr>
        <w:t>K</w:t>
      </w:r>
      <w:r w:rsidR="00162371" w:rsidRPr="005630FA">
        <w:rPr>
          <w:sz w:val="22"/>
          <w:szCs w:val="22"/>
          <w:vertAlign w:val="subscript"/>
        </w:rPr>
        <w:t>M</w:t>
      </w:r>
      <w:r w:rsidR="00162371" w:rsidRPr="005630FA">
        <w:rPr>
          <w:sz w:val="22"/>
          <w:szCs w:val="22"/>
        </w:rPr>
        <w:t>: transit rate constant; CL</w:t>
      </w:r>
      <w:r w:rsidR="00162371" w:rsidRPr="005630FA">
        <w:rPr>
          <w:sz w:val="22"/>
          <w:szCs w:val="22"/>
          <w:vertAlign w:val="subscript"/>
        </w:rPr>
        <w:t>M</w:t>
      </w:r>
      <w:r w:rsidR="00162371" w:rsidRPr="005630FA">
        <w:rPr>
          <w:sz w:val="22"/>
          <w:szCs w:val="22"/>
        </w:rPr>
        <w:t>: elimination clearance; Q</w:t>
      </w:r>
      <w:r w:rsidR="00162371" w:rsidRPr="005630FA">
        <w:rPr>
          <w:sz w:val="22"/>
          <w:szCs w:val="22"/>
          <w:vertAlign w:val="subscript"/>
        </w:rPr>
        <w:t>2M</w:t>
      </w:r>
      <w:r w:rsidR="00162371" w:rsidRPr="005630FA">
        <w:rPr>
          <w:sz w:val="22"/>
          <w:szCs w:val="22"/>
        </w:rPr>
        <w:t>: intercompartmental clearance; V</w:t>
      </w:r>
      <w:r w:rsidR="00162371" w:rsidRPr="005630FA">
        <w:rPr>
          <w:sz w:val="22"/>
          <w:szCs w:val="22"/>
          <w:vertAlign w:val="subscript"/>
        </w:rPr>
        <w:t>1M</w:t>
      </w:r>
      <w:r w:rsidR="00162371" w:rsidRPr="005630FA">
        <w:rPr>
          <w:sz w:val="22"/>
          <w:szCs w:val="22"/>
        </w:rPr>
        <w:t>: central volume of distribution; V</w:t>
      </w:r>
      <w:r w:rsidR="00162371" w:rsidRPr="005630FA">
        <w:rPr>
          <w:sz w:val="22"/>
          <w:szCs w:val="22"/>
          <w:vertAlign w:val="subscript"/>
        </w:rPr>
        <w:t>2M</w:t>
      </w:r>
      <w:r w:rsidR="00162371" w:rsidRPr="005630FA">
        <w:rPr>
          <w:sz w:val="22"/>
          <w:szCs w:val="22"/>
        </w:rPr>
        <w:t>: peripheral volume of distribution</w:t>
      </w:r>
      <w:r w:rsidR="00162371">
        <w:rPr>
          <w:sz w:val="22"/>
          <w:szCs w:val="22"/>
        </w:rPr>
        <w:t>;</w:t>
      </w:r>
      <w:r w:rsidR="00FD3878" w:rsidRPr="005630FA">
        <w:rPr>
          <w:sz w:val="22"/>
          <w:szCs w:val="22"/>
        </w:rPr>
        <w:t xml:space="preserve"> </w:t>
      </w:r>
      <w:proofErr w:type="spellStart"/>
      <w:r w:rsidR="00FD3878" w:rsidRPr="005630FA">
        <w:rPr>
          <w:sz w:val="22"/>
          <w:szCs w:val="22"/>
        </w:rPr>
        <w:t>T</w:t>
      </w:r>
      <w:r w:rsidR="00FD3878" w:rsidRPr="005630FA">
        <w:rPr>
          <w:sz w:val="22"/>
          <w:szCs w:val="22"/>
          <w:vertAlign w:val="subscript"/>
        </w:rPr>
        <w:t>Lag</w:t>
      </w:r>
      <w:proofErr w:type="spellEnd"/>
      <w:r w:rsidR="00FD3878" w:rsidRPr="005630FA">
        <w:rPr>
          <w:sz w:val="22"/>
          <w:szCs w:val="22"/>
        </w:rPr>
        <w:t>: lag-time</w:t>
      </w:r>
    </w:p>
    <w:p w:rsidR="00130B78" w:rsidRPr="005630FA" w:rsidRDefault="00BA5F82" w:rsidP="00BA5F82">
      <w:pPr>
        <w:spacing w:after="120" w:line="480" w:lineRule="auto"/>
        <w:rPr>
          <w:b/>
          <w:sz w:val="22"/>
          <w:szCs w:val="22"/>
        </w:rPr>
      </w:pPr>
      <w:r w:rsidRPr="005630FA">
        <w:rPr>
          <w:noProof/>
          <w:sz w:val="22"/>
          <w:szCs w:val="22"/>
          <w:lang w:val="de-DE" w:eastAsia="de-DE"/>
        </w:rPr>
        <w:drawing>
          <wp:inline distT="0" distB="0" distL="0" distR="0" wp14:anchorId="2931BBD8" wp14:editId="7400086F">
            <wp:extent cx="4027714" cy="56388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mazolam PKPD figure 7SDC R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2831" cy="5645964"/>
                    </a:xfrm>
                    <a:prstGeom prst="rect">
                      <a:avLst/>
                    </a:prstGeom>
                  </pic:spPr>
                </pic:pic>
              </a:graphicData>
            </a:graphic>
          </wp:inline>
        </w:drawing>
      </w:r>
    </w:p>
    <w:p w:rsidR="00130B78" w:rsidRPr="005630FA" w:rsidRDefault="00130B78">
      <w:pPr>
        <w:spacing w:after="200"/>
        <w:rPr>
          <w:b/>
          <w:sz w:val="22"/>
          <w:szCs w:val="22"/>
        </w:rPr>
      </w:pPr>
      <w:r w:rsidRPr="005630FA">
        <w:rPr>
          <w:b/>
          <w:sz w:val="22"/>
          <w:szCs w:val="22"/>
        </w:rPr>
        <w:br w:type="page"/>
      </w:r>
    </w:p>
    <w:p w:rsidR="00FD3878" w:rsidRPr="005630FA" w:rsidRDefault="00FD3878" w:rsidP="00BA5F82">
      <w:pPr>
        <w:spacing w:after="120" w:line="480" w:lineRule="auto"/>
        <w:rPr>
          <w:b/>
          <w:sz w:val="22"/>
          <w:szCs w:val="22"/>
        </w:rPr>
      </w:pPr>
      <w:r w:rsidRPr="005630FA">
        <w:rPr>
          <w:b/>
          <w:sz w:val="22"/>
          <w:szCs w:val="22"/>
        </w:rPr>
        <w:lastRenderedPageBreak/>
        <w:t xml:space="preserve">Figure </w:t>
      </w:r>
      <w:r w:rsidR="00295F9C" w:rsidRPr="005630FA">
        <w:rPr>
          <w:b/>
          <w:sz w:val="22"/>
          <w:szCs w:val="22"/>
        </w:rPr>
        <w:t>8</w:t>
      </w:r>
      <w:r w:rsidR="0073717C" w:rsidRPr="005630FA">
        <w:rPr>
          <w:b/>
          <w:sz w:val="22"/>
          <w:szCs w:val="22"/>
        </w:rPr>
        <w:t>S</w:t>
      </w:r>
      <w:r w:rsidRPr="005630FA">
        <w:rPr>
          <w:b/>
          <w:sz w:val="22"/>
          <w:szCs w:val="22"/>
        </w:rPr>
        <w:t>:</w:t>
      </w:r>
      <w:r w:rsidRPr="005630FA">
        <w:rPr>
          <w:sz w:val="22"/>
          <w:szCs w:val="22"/>
        </w:rPr>
        <w:t xml:space="preserve"> Visual predictive check for the final pharmacokinetic model of </w:t>
      </w:r>
      <w:r w:rsidR="00AB6EFD" w:rsidRPr="005630FA">
        <w:rPr>
          <w:sz w:val="22"/>
          <w:szCs w:val="22"/>
        </w:rPr>
        <w:t>CNS 7054</w:t>
      </w:r>
      <w:r w:rsidRPr="005630FA">
        <w:rPr>
          <w:sz w:val="22"/>
          <w:szCs w:val="22"/>
        </w:rPr>
        <w:t>. Measured concentrations are plotted as dots, and the median of the measured concentrations as black line. The blue lines show the 5%, 50% and 95% quantiles of the model predictions.</w:t>
      </w:r>
    </w:p>
    <w:p w:rsidR="00FD3878" w:rsidRPr="005630FA" w:rsidRDefault="00FD3878" w:rsidP="00BA5F82">
      <w:pPr>
        <w:spacing w:after="120" w:line="480" w:lineRule="auto"/>
        <w:rPr>
          <w:sz w:val="22"/>
          <w:szCs w:val="22"/>
        </w:rPr>
      </w:pPr>
    </w:p>
    <w:p w:rsidR="00FD3878" w:rsidRPr="005630FA" w:rsidRDefault="00D3585D" w:rsidP="00BA5F82">
      <w:pPr>
        <w:spacing w:after="120" w:line="480" w:lineRule="auto"/>
        <w:rPr>
          <w:sz w:val="22"/>
          <w:szCs w:val="22"/>
        </w:rPr>
      </w:pPr>
      <w:r w:rsidRPr="005630FA">
        <w:rPr>
          <w:noProof/>
          <w:sz w:val="22"/>
          <w:szCs w:val="22"/>
          <w:lang w:val="de-DE" w:eastAsia="de-DE"/>
        </w:rPr>
        <w:drawing>
          <wp:inline distT="0" distB="0" distL="0" distR="0" wp14:anchorId="20ADACAB" wp14:editId="41C5D391">
            <wp:extent cx="5759450" cy="4679315"/>
            <wp:effectExtent l="0" t="0" r="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mazolam PKPD figure 8SDC R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4679315"/>
                    </a:xfrm>
                    <a:prstGeom prst="rect">
                      <a:avLst/>
                    </a:prstGeom>
                  </pic:spPr>
                </pic:pic>
              </a:graphicData>
            </a:graphic>
          </wp:inline>
        </w:drawing>
      </w:r>
    </w:p>
    <w:p w:rsidR="00FD3878" w:rsidRPr="005630FA" w:rsidRDefault="00FD3878" w:rsidP="00BA5F82">
      <w:pPr>
        <w:spacing w:after="120" w:line="480" w:lineRule="auto"/>
        <w:rPr>
          <w:sz w:val="22"/>
          <w:szCs w:val="22"/>
        </w:rPr>
      </w:pPr>
    </w:p>
    <w:p w:rsidR="00FD3878" w:rsidRPr="005630FA" w:rsidRDefault="00FD3878" w:rsidP="00BA5F82">
      <w:pPr>
        <w:spacing w:after="200" w:line="480" w:lineRule="auto"/>
        <w:rPr>
          <w:sz w:val="22"/>
          <w:szCs w:val="22"/>
        </w:rPr>
      </w:pPr>
      <w:r w:rsidRPr="005630FA">
        <w:rPr>
          <w:sz w:val="22"/>
          <w:szCs w:val="22"/>
        </w:rPr>
        <w:br w:type="page"/>
      </w:r>
    </w:p>
    <w:p w:rsidR="00FD3878" w:rsidRPr="005630FA" w:rsidRDefault="00295F9C" w:rsidP="00BA5F82">
      <w:pPr>
        <w:spacing w:after="120" w:line="480" w:lineRule="auto"/>
        <w:jc w:val="both"/>
        <w:rPr>
          <w:b/>
          <w:sz w:val="22"/>
          <w:szCs w:val="22"/>
        </w:rPr>
      </w:pPr>
      <w:r w:rsidRPr="005630FA">
        <w:rPr>
          <w:b/>
          <w:sz w:val="22"/>
          <w:szCs w:val="22"/>
        </w:rPr>
        <w:lastRenderedPageBreak/>
        <w:t>S5</w:t>
      </w:r>
      <w:r w:rsidR="00FD3878" w:rsidRPr="005630FA">
        <w:rPr>
          <w:b/>
          <w:sz w:val="22"/>
          <w:szCs w:val="22"/>
        </w:rPr>
        <w:t>: Results of pharmacodynamic modeling of MOAA/S score</w:t>
      </w:r>
    </w:p>
    <w:p w:rsidR="00FD3878" w:rsidRPr="005630FA" w:rsidRDefault="00FD3878" w:rsidP="00BA5F82">
      <w:pPr>
        <w:spacing w:after="120" w:line="480" w:lineRule="auto"/>
        <w:rPr>
          <w:sz w:val="22"/>
          <w:szCs w:val="22"/>
        </w:rPr>
      </w:pPr>
      <w:r w:rsidRPr="005630FA">
        <w:rPr>
          <w:sz w:val="22"/>
          <w:szCs w:val="22"/>
        </w:rPr>
        <w:t>For modeling of the MOAA/S scores, a logistic regression model and a model with sigmoid probability functions were investigated. The model with sigmoid probability functions achieved a smaller BIC than the logistic regression model (1323 vs. 14</w:t>
      </w:r>
      <w:r w:rsidR="00E4470F">
        <w:rPr>
          <w:sz w:val="22"/>
          <w:szCs w:val="22"/>
        </w:rPr>
        <w:t>90</w:t>
      </w:r>
      <w:r w:rsidRPr="005630FA">
        <w:rPr>
          <w:sz w:val="22"/>
          <w:szCs w:val="22"/>
        </w:rPr>
        <w:t xml:space="preserve">) and was therefore </w:t>
      </w:r>
      <w:r w:rsidR="00295F9C" w:rsidRPr="005630FA">
        <w:rPr>
          <w:sz w:val="22"/>
          <w:szCs w:val="22"/>
        </w:rPr>
        <w:t xml:space="preserve">selected </w:t>
      </w:r>
      <w:r w:rsidRPr="005630FA">
        <w:rPr>
          <w:sz w:val="22"/>
          <w:szCs w:val="22"/>
        </w:rPr>
        <w:t>as basic pharmacodynamic model. There was a considerable shrinkage for the parameters θ</w:t>
      </w:r>
      <w:r w:rsidRPr="005630FA">
        <w:rPr>
          <w:sz w:val="22"/>
          <w:szCs w:val="22"/>
          <w:vertAlign w:val="subscript"/>
        </w:rPr>
        <w:t>2</w:t>
      </w:r>
      <w:r w:rsidRPr="005630FA">
        <w:rPr>
          <w:sz w:val="22"/>
          <w:szCs w:val="22"/>
        </w:rPr>
        <w:t xml:space="preserve"> (51%) and θ</w:t>
      </w:r>
      <w:r w:rsidRPr="005630FA">
        <w:rPr>
          <w:sz w:val="22"/>
          <w:szCs w:val="22"/>
          <w:vertAlign w:val="subscript"/>
        </w:rPr>
        <w:t xml:space="preserve">3 </w:t>
      </w:r>
      <w:r w:rsidRPr="005630FA">
        <w:rPr>
          <w:sz w:val="22"/>
          <w:szCs w:val="22"/>
        </w:rPr>
        <w:t>(60%), probably due to the fact that MOAA/S scores of 2 and 3 were observed quite seldom. The shrinkage of the other model parameters was below 40%. Regression plots of the individual estimates vs. weight and age indicated that there was no significant effect of body weight (regression coefficient r</w:t>
      </w:r>
      <w:r w:rsidRPr="005630FA">
        <w:rPr>
          <w:sz w:val="22"/>
          <w:szCs w:val="22"/>
          <w:vertAlign w:val="superscript"/>
        </w:rPr>
        <w:t>2</w:t>
      </w:r>
      <w:r w:rsidRPr="005630FA">
        <w:rPr>
          <w:sz w:val="22"/>
          <w:szCs w:val="22"/>
        </w:rPr>
        <w:t>&lt;0.15 for all parameters), but a possible effect of age on EC</w:t>
      </w:r>
      <w:r w:rsidRPr="005630FA">
        <w:rPr>
          <w:sz w:val="22"/>
          <w:szCs w:val="22"/>
          <w:vertAlign w:val="subscript"/>
        </w:rPr>
        <w:t>50</w:t>
      </w:r>
      <w:proofErr w:type="gramStart"/>
      <w:r w:rsidRPr="005630FA">
        <w:rPr>
          <w:sz w:val="22"/>
          <w:szCs w:val="22"/>
          <w:vertAlign w:val="subscript"/>
        </w:rPr>
        <w:t>,0</w:t>
      </w:r>
      <w:proofErr w:type="gramEnd"/>
      <w:r w:rsidRPr="005630FA">
        <w:rPr>
          <w:sz w:val="22"/>
          <w:szCs w:val="22"/>
        </w:rPr>
        <w:t xml:space="preserve"> (fig. </w:t>
      </w:r>
      <w:r w:rsidR="0073717C" w:rsidRPr="005630FA">
        <w:rPr>
          <w:sz w:val="22"/>
          <w:szCs w:val="22"/>
        </w:rPr>
        <w:t>9</w:t>
      </w:r>
      <w:r w:rsidR="00295F9C" w:rsidRPr="005630FA">
        <w:rPr>
          <w:sz w:val="22"/>
          <w:szCs w:val="22"/>
        </w:rPr>
        <w:t>S</w:t>
      </w:r>
      <w:r w:rsidRPr="005630FA">
        <w:rPr>
          <w:sz w:val="22"/>
          <w:szCs w:val="22"/>
        </w:rPr>
        <w:t>). A model with a linear effect of age on the parameter θ</w:t>
      </w:r>
      <w:r w:rsidRPr="005630FA">
        <w:rPr>
          <w:sz w:val="22"/>
          <w:szCs w:val="22"/>
          <w:vertAlign w:val="subscript"/>
        </w:rPr>
        <w:t>5</w:t>
      </w:r>
      <w:r w:rsidRPr="005630FA">
        <w:rPr>
          <w:sz w:val="22"/>
          <w:szCs w:val="22"/>
        </w:rPr>
        <w:t xml:space="preserve"> which describe</w:t>
      </w:r>
      <w:r w:rsidR="00C27291" w:rsidRPr="005630FA">
        <w:rPr>
          <w:sz w:val="22"/>
          <w:szCs w:val="22"/>
        </w:rPr>
        <w:t>d</w:t>
      </w:r>
      <w:r w:rsidRPr="005630FA">
        <w:rPr>
          <w:sz w:val="22"/>
          <w:szCs w:val="22"/>
        </w:rPr>
        <w:t xml:space="preserve"> the increment from EC</w:t>
      </w:r>
      <w:r w:rsidRPr="005630FA">
        <w:rPr>
          <w:sz w:val="22"/>
          <w:szCs w:val="22"/>
          <w:vertAlign w:val="subscript"/>
        </w:rPr>
        <w:t>50</w:t>
      </w:r>
      <w:proofErr w:type="gramStart"/>
      <w:r w:rsidRPr="005630FA">
        <w:rPr>
          <w:sz w:val="22"/>
          <w:szCs w:val="22"/>
          <w:vertAlign w:val="subscript"/>
        </w:rPr>
        <w:t>,1</w:t>
      </w:r>
      <w:proofErr w:type="gramEnd"/>
      <w:r w:rsidRPr="005630FA">
        <w:rPr>
          <w:sz w:val="22"/>
          <w:szCs w:val="22"/>
        </w:rPr>
        <w:t xml:space="preserve"> to EC</w:t>
      </w:r>
      <w:r w:rsidRPr="005630FA">
        <w:rPr>
          <w:sz w:val="22"/>
          <w:szCs w:val="22"/>
          <w:vertAlign w:val="subscript"/>
        </w:rPr>
        <w:t>50,0</w:t>
      </w:r>
      <w:r w:rsidRPr="005630FA">
        <w:rPr>
          <w:sz w:val="22"/>
          <w:szCs w:val="22"/>
        </w:rPr>
        <w:t xml:space="preserve"> was therefore tested:</w:t>
      </w:r>
    </w:p>
    <w:p w:rsidR="00FD3878" w:rsidRPr="005630FA" w:rsidRDefault="00FD3878" w:rsidP="00BA5F82">
      <w:pPr>
        <w:spacing w:after="120" w:line="480" w:lineRule="auto"/>
        <w:rPr>
          <w:sz w:val="22"/>
          <w:szCs w:val="22"/>
        </w:rPr>
      </w:pPr>
      <w:r w:rsidRPr="005630FA">
        <w:rPr>
          <w:sz w:val="22"/>
          <w:szCs w:val="22"/>
        </w:rPr>
        <w:t>EC</w:t>
      </w:r>
      <w:r w:rsidRPr="005630FA">
        <w:rPr>
          <w:sz w:val="22"/>
          <w:szCs w:val="22"/>
          <w:vertAlign w:val="subscript"/>
        </w:rPr>
        <w:t>50</w:t>
      </w:r>
      <w:proofErr w:type="gramStart"/>
      <w:r w:rsidRPr="005630FA">
        <w:rPr>
          <w:sz w:val="22"/>
          <w:szCs w:val="22"/>
          <w:vertAlign w:val="subscript"/>
        </w:rPr>
        <w:t>,0</w:t>
      </w:r>
      <w:proofErr w:type="gramEnd"/>
      <w:r w:rsidRPr="005630FA">
        <w:rPr>
          <w:sz w:val="22"/>
          <w:szCs w:val="22"/>
        </w:rPr>
        <w:t xml:space="preserve"> = EC</w:t>
      </w:r>
      <w:r w:rsidRPr="005630FA">
        <w:rPr>
          <w:sz w:val="22"/>
          <w:szCs w:val="22"/>
          <w:vertAlign w:val="subscript"/>
        </w:rPr>
        <w:t>50,1</w:t>
      </w:r>
      <w:r w:rsidRPr="005630FA">
        <w:rPr>
          <w:sz w:val="22"/>
          <w:szCs w:val="22"/>
        </w:rPr>
        <w:t xml:space="preserve"> +θ</w:t>
      </w:r>
      <w:r w:rsidRPr="005630FA">
        <w:rPr>
          <w:sz w:val="22"/>
          <w:szCs w:val="22"/>
          <w:vertAlign w:val="subscript"/>
        </w:rPr>
        <w:t>5</w:t>
      </w:r>
      <w:r w:rsidRPr="005630FA">
        <w:rPr>
          <w:sz w:val="22"/>
          <w:szCs w:val="22"/>
        </w:rPr>
        <w:t xml:space="preserve"> </w:t>
      </w:r>
      <w:r w:rsidRPr="005630FA">
        <w:rPr>
          <w:sz w:val="22"/>
          <w:szCs w:val="22"/>
        </w:rPr>
        <w:tab/>
        <w:t xml:space="preserve">and </w:t>
      </w:r>
      <w:r w:rsidRPr="005630FA">
        <w:rPr>
          <w:sz w:val="22"/>
          <w:szCs w:val="22"/>
        </w:rPr>
        <w:tab/>
        <w:t>θ</w:t>
      </w:r>
      <w:r w:rsidRPr="005630FA">
        <w:rPr>
          <w:sz w:val="22"/>
          <w:szCs w:val="22"/>
          <w:vertAlign w:val="subscript"/>
        </w:rPr>
        <w:t>5</w:t>
      </w:r>
      <w:r w:rsidRPr="005630FA">
        <w:rPr>
          <w:sz w:val="22"/>
          <w:szCs w:val="22"/>
        </w:rPr>
        <w:t>= θ</w:t>
      </w:r>
      <w:r w:rsidRPr="005630FA">
        <w:rPr>
          <w:sz w:val="22"/>
          <w:szCs w:val="22"/>
          <w:vertAlign w:val="subscript"/>
        </w:rPr>
        <w:t>5TV</w:t>
      </w:r>
      <w:r w:rsidRPr="005630FA">
        <w:rPr>
          <w:sz w:val="22"/>
          <w:szCs w:val="22"/>
        </w:rPr>
        <w:t>+ θ</w:t>
      </w:r>
      <w:r w:rsidRPr="005630FA">
        <w:rPr>
          <w:sz w:val="22"/>
          <w:szCs w:val="22"/>
          <w:vertAlign w:val="subscript"/>
        </w:rPr>
        <w:t>8</w:t>
      </w:r>
      <w:r w:rsidRPr="005630FA">
        <w:rPr>
          <w:sz w:val="22"/>
          <w:szCs w:val="22"/>
        </w:rPr>
        <w:t>*(age-23)</w:t>
      </w:r>
    </w:p>
    <w:p w:rsidR="00FD3878" w:rsidRPr="005630FA" w:rsidRDefault="00FD3878" w:rsidP="00BA5F82">
      <w:pPr>
        <w:spacing w:after="120" w:line="480" w:lineRule="auto"/>
        <w:rPr>
          <w:sz w:val="22"/>
          <w:szCs w:val="22"/>
        </w:rPr>
      </w:pPr>
      <w:r w:rsidRPr="005630FA">
        <w:rPr>
          <w:sz w:val="22"/>
          <w:szCs w:val="22"/>
        </w:rPr>
        <w:t>This model, however, could not be estimated reliably. The covariate parameter θ</w:t>
      </w:r>
      <w:r w:rsidRPr="005630FA">
        <w:rPr>
          <w:sz w:val="22"/>
          <w:szCs w:val="22"/>
          <w:vertAlign w:val="subscript"/>
        </w:rPr>
        <w:t>8</w:t>
      </w:r>
      <w:r w:rsidRPr="005630FA">
        <w:rPr>
          <w:sz w:val="22"/>
          <w:szCs w:val="22"/>
        </w:rPr>
        <w:t xml:space="preserve"> reached high negative values so that θ</w:t>
      </w:r>
      <w:r w:rsidRPr="005630FA">
        <w:rPr>
          <w:sz w:val="22"/>
          <w:szCs w:val="22"/>
          <w:vertAlign w:val="subscript"/>
        </w:rPr>
        <w:t>5</w:t>
      </w:r>
      <w:r w:rsidRPr="005630FA">
        <w:rPr>
          <w:sz w:val="22"/>
          <w:szCs w:val="22"/>
        </w:rPr>
        <w:t xml:space="preserve"> became negative if age was greater than 35 years. This mean</w:t>
      </w:r>
      <w:r w:rsidR="00E4470F">
        <w:rPr>
          <w:sz w:val="22"/>
          <w:szCs w:val="22"/>
        </w:rPr>
        <w:t>s</w:t>
      </w:r>
      <w:r w:rsidRPr="005630FA">
        <w:rPr>
          <w:sz w:val="22"/>
          <w:szCs w:val="22"/>
        </w:rPr>
        <w:t xml:space="preserve"> that the EC</w:t>
      </w:r>
      <w:r w:rsidRPr="005630FA">
        <w:rPr>
          <w:sz w:val="22"/>
          <w:szCs w:val="22"/>
          <w:vertAlign w:val="subscript"/>
        </w:rPr>
        <w:t>50</w:t>
      </w:r>
      <w:r w:rsidRPr="005630FA">
        <w:rPr>
          <w:sz w:val="22"/>
          <w:szCs w:val="22"/>
        </w:rPr>
        <w:t xml:space="preserve"> for MOAA/S=0 would be smaller than the EC</w:t>
      </w:r>
      <w:r w:rsidRPr="005630FA">
        <w:rPr>
          <w:sz w:val="22"/>
          <w:szCs w:val="22"/>
          <w:vertAlign w:val="subscript"/>
        </w:rPr>
        <w:t>50</w:t>
      </w:r>
      <w:r w:rsidRPr="005630FA">
        <w:rPr>
          <w:sz w:val="22"/>
          <w:szCs w:val="22"/>
        </w:rPr>
        <w:t xml:space="preserve"> for MOAA/S≤1 if age&gt;35 yrs., which </w:t>
      </w:r>
      <w:r w:rsidR="00295F9C" w:rsidRPr="005630FA">
        <w:rPr>
          <w:sz w:val="22"/>
          <w:szCs w:val="22"/>
        </w:rPr>
        <w:t>seem</w:t>
      </w:r>
      <w:r w:rsidR="006F4A6B" w:rsidRPr="005630FA">
        <w:rPr>
          <w:sz w:val="22"/>
          <w:szCs w:val="22"/>
        </w:rPr>
        <w:t>ed</w:t>
      </w:r>
      <w:r w:rsidRPr="005630FA">
        <w:rPr>
          <w:sz w:val="22"/>
          <w:szCs w:val="22"/>
        </w:rPr>
        <w:t xml:space="preserve"> unreasonable. Age was therefore not in</w:t>
      </w:r>
      <w:bookmarkStart w:id="0" w:name="_GoBack"/>
      <w:bookmarkEnd w:id="0"/>
      <w:r w:rsidRPr="005630FA">
        <w:rPr>
          <w:sz w:val="22"/>
          <w:szCs w:val="22"/>
        </w:rPr>
        <w:t xml:space="preserve">cluded as covariate and the basic model was </w:t>
      </w:r>
      <w:r w:rsidR="00295F9C" w:rsidRPr="005630FA">
        <w:rPr>
          <w:sz w:val="22"/>
          <w:szCs w:val="22"/>
        </w:rPr>
        <w:t xml:space="preserve">selected </w:t>
      </w:r>
      <w:r w:rsidRPr="005630FA">
        <w:rPr>
          <w:sz w:val="22"/>
          <w:szCs w:val="22"/>
        </w:rPr>
        <w:t>as the final pharmacodynamic model.</w:t>
      </w:r>
    </w:p>
    <w:p w:rsidR="00FD3878" w:rsidRPr="005630FA" w:rsidRDefault="00FD3878" w:rsidP="00BA5F82">
      <w:pPr>
        <w:spacing w:after="120" w:line="480" w:lineRule="auto"/>
        <w:jc w:val="both"/>
        <w:rPr>
          <w:b/>
          <w:sz w:val="22"/>
          <w:szCs w:val="22"/>
        </w:rPr>
      </w:pPr>
      <w:r w:rsidRPr="005630FA">
        <w:rPr>
          <w:sz w:val="22"/>
          <w:szCs w:val="22"/>
        </w:rPr>
        <w:t xml:space="preserve">The LLP proved that the parameters were estimated reliably (fig. </w:t>
      </w:r>
      <w:r w:rsidR="0073717C" w:rsidRPr="005630FA">
        <w:rPr>
          <w:sz w:val="22"/>
          <w:szCs w:val="22"/>
        </w:rPr>
        <w:t>10</w:t>
      </w:r>
      <w:r w:rsidR="00295F9C" w:rsidRPr="005630FA">
        <w:rPr>
          <w:sz w:val="22"/>
          <w:szCs w:val="22"/>
        </w:rPr>
        <w:t>S</w:t>
      </w:r>
      <w:r w:rsidRPr="005630FA">
        <w:rPr>
          <w:sz w:val="22"/>
          <w:szCs w:val="22"/>
        </w:rPr>
        <w:t xml:space="preserve">). Figure </w:t>
      </w:r>
      <w:r w:rsidR="0073717C" w:rsidRPr="005630FA">
        <w:rPr>
          <w:sz w:val="22"/>
          <w:szCs w:val="22"/>
        </w:rPr>
        <w:t>11</w:t>
      </w:r>
      <w:r w:rsidR="00295F9C" w:rsidRPr="005630FA">
        <w:rPr>
          <w:sz w:val="22"/>
          <w:szCs w:val="22"/>
        </w:rPr>
        <w:t>S</w:t>
      </w:r>
      <w:r w:rsidRPr="005630FA">
        <w:rPr>
          <w:sz w:val="22"/>
          <w:szCs w:val="22"/>
        </w:rPr>
        <w:t xml:space="preserve"> shows the observed and predicted cumulative probabilities for the pharmacodynamic model. The observed and predicted probabilities for MOAA/S≤1</w:t>
      </w:r>
      <w:proofErr w:type="gramStart"/>
      <w:r w:rsidRPr="005630FA">
        <w:rPr>
          <w:sz w:val="22"/>
          <w:szCs w:val="22"/>
        </w:rPr>
        <w:t>,2,3,4</w:t>
      </w:r>
      <w:proofErr w:type="gramEnd"/>
      <w:r w:rsidRPr="005630FA">
        <w:rPr>
          <w:sz w:val="22"/>
          <w:szCs w:val="22"/>
        </w:rPr>
        <w:t xml:space="preserve"> were in good agreement, whereas the observed probability for MOAA/S=0 was not as well predicted by the model. </w:t>
      </w:r>
    </w:p>
    <w:p w:rsidR="00FD3878" w:rsidRPr="005630FA" w:rsidRDefault="00FD3878" w:rsidP="00BA5F82">
      <w:pPr>
        <w:spacing w:after="120" w:line="480" w:lineRule="auto"/>
        <w:rPr>
          <w:b/>
          <w:sz w:val="22"/>
          <w:szCs w:val="22"/>
        </w:rPr>
      </w:pPr>
    </w:p>
    <w:p w:rsidR="00FD3878" w:rsidRPr="005630FA" w:rsidRDefault="00FD3878" w:rsidP="00BA5F82">
      <w:pPr>
        <w:spacing w:after="200" w:line="480" w:lineRule="auto"/>
        <w:rPr>
          <w:b/>
          <w:sz w:val="22"/>
          <w:szCs w:val="22"/>
        </w:rPr>
      </w:pPr>
      <w:r w:rsidRPr="005630FA">
        <w:rPr>
          <w:b/>
          <w:sz w:val="22"/>
          <w:szCs w:val="22"/>
        </w:rPr>
        <w:br w:type="page"/>
      </w:r>
    </w:p>
    <w:p w:rsidR="00FD3878" w:rsidRPr="005630FA" w:rsidRDefault="00FD3878" w:rsidP="00BA5F82">
      <w:pPr>
        <w:spacing w:after="120" w:line="480" w:lineRule="auto"/>
        <w:rPr>
          <w:sz w:val="22"/>
          <w:szCs w:val="22"/>
        </w:rPr>
      </w:pPr>
      <w:r w:rsidRPr="005630FA">
        <w:rPr>
          <w:b/>
          <w:sz w:val="22"/>
          <w:szCs w:val="22"/>
        </w:rPr>
        <w:lastRenderedPageBreak/>
        <w:t xml:space="preserve">Figure </w:t>
      </w:r>
      <w:r w:rsidR="0073717C" w:rsidRPr="005630FA">
        <w:rPr>
          <w:b/>
          <w:sz w:val="22"/>
          <w:szCs w:val="22"/>
        </w:rPr>
        <w:t>9</w:t>
      </w:r>
      <w:r w:rsidR="00295F9C" w:rsidRPr="005630FA">
        <w:rPr>
          <w:b/>
          <w:sz w:val="22"/>
          <w:szCs w:val="22"/>
        </w:rPr>
        <w:t>S</w:t>
      </w:r>
      <w:r w:rsidRPr="005630FA">
        <w:rPr>
          <w:b/>
          <w:sz w:val="22"/>
          <w:szCs w:val="22"/>
        </w:rPr>
        <w:t>:</w:t>
      </w:r>
      <w:r w:rsidRPr="005630FA">
        <w:rPr>
          <w:sz w:val="22"/>
          <w:szCs w:val="22"/>
        </w:rPr>
        <w:t xml:space="preserve"> Plots of the individual parameter estimates vs. age for the basic pharmacodynamic model of MOAA/S score. The blue lines represent linear regressions through the data. R</w:t>
      </w:r>
      <w:r w:rsidRPr="005630FA">
        <w:rPr>
          <w:sz w:val="22"/>
          <w:szCs w:val="22"/>
          <w:vertAlign w:val="superscript"/>
        </w:rPr>
        <w:t>2</w:t>
      </w:r>
      <w:r w:rsidRPr="005630FA">
        <w:rPr>
          <w:sz w:val="22"/>
          <w:szCs w:val="22"/>
        </w:rPr>
        <w:t xml:space="preserve"> is the regression coefficient, and p is the significance level of the linear regression. EC</w:t>
      </w:r>
      <w:r w:rsidRPr="005630FA">
        <w:rPr>
          <w:sz w:val="22"/>
          <w:szCs w:val="22"/>
          <w:vertAlign w:val="subscript"/>
        </w:rPr>
        <w:t>50,0,1,2,3,4</w:t>
      </w:r>
      <w:r w:rsidRPr="005630FA">
        <w:rPr>
          <w:sz w:val="22"/>
          <w:szCs w:val="22"/>
        </w:rPr>
        <w:t>: half maximum effect site concentration for a MOAA/S score≤0,1,2,3,4, respectively</w:t>
      </w:r>
      <w:r w:rsidR="004F3747" w:rsidRPr="005630FA">
        <w:rPr>
          <w:sz w:val="22"/>
          <w:szCs w:val="22"/>
        </w:rPr>
        <w:t>; γ: steepness of the concentration-effect curve</w:t>
      </w:r>
      <w:r w:rsidRPr="005630FA">
        <w:rPr>
          <w:sz w:val="22"/>
          <w:szCs w:val="22"/>
        </w:rPr>
        <w:t>; k</w:t>
      </w:r>
      <w:r w:rsidRPr="005630FA">
        <w:rPr>
          <w:sz w:val="22"/>
          <w:szCs w:val="22"/>
          <w:vertAlign w:val="subscript"/>
        </w:rPr>
        <w:t>e0</w:t>
      </w:r>
      <w:r w:rsidRPr="005630FA">
        <w:rPr>
          <w:sz w:val="22"/>
          <w:szCs w:val="22"/>
        </w:rPr>
        <w:t>: effect site equilibration rate constant.</w:t>
      </w:r>
    </w:p>
    <w:p w:rsidR="00FF2AC7" w:rsidRPr="005630FA" w:rsidRDefault="00FF2AC7" w:rsidP="00BA5F82">
      <w:pPr>
        <w:spacing w:after="120" w:line="480" w:lineRule="auto"/>
        <w:rPr>
          <w:sz w:val="22"/>
          <w:szCs w:val="22"/>
        </w:rPr>
      </w:pPr>
    </w:p>
    <w:p w:rsidR="00FD3878" w:rsidRPr="005630FA" w:rsidRDefault="00085BCA" w:rsidP="00BA5F82">
      <w:pPr>
        <w:spacing w:after="120" w:line="480" w:lineRule="auto"/>
        <w:rPr>
          <w:sz w:val="22"/>
          <w:szCs w:val="22"/>
        </w:rPr>
      </w:pPr>
      <w:r w:rsidRPr="005630FA">
        <w:rPr>
          <w:noProof/>
          <w:sz w:val="22"/>
          <w:szCs w:val="22"/>
          <w:lang w:val="de-DE" w:eastAsia="de-DE"/>
        </w:rPr>
        <w:drawing>
          <wp:inline distT="0" distB="0" distL="0" distR="0" wp14:anchorId="4413CB6B" wp14:editId="466F9E90">
            <wp:extent cx="5247861" cy="502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7056_MOAAS_model8aPD_AGE_pub.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7861" cy="5029200"/>
                    </a:xfrm>
                    <a:prstGeom prst="rect">
                      <a:avLst/>
                    </a:prstGeom>
                  </pic:spPr>
                </pic:pic>
              </a:graphicData>
            </a:graphic>
          </wp:inline>
        </w:drawing>
      </w:r>
    </w:p>
    <w:p w:rsidR="00FD3878" w:rsidRPr="005630FA" w:rsidRDefault="00FD3878" w:rsidP="00BA5F82">
      <w:pPr>
        <w:spacing w:after="120" w:line="480" w:lineRule="auto"/>
        <w:rPr>
          <w:sz w:val="22"/>
          <w:szCs w:val="22"/>
        </w:rPr>
      </w:pPr>
    </w:p>
    <w:p w:rsidR="00FD3878" w:rsidRPr="005630FA" w:rsidRDefault="00FD3878" w:rsidP="00BA5F82">
      <w:pPr>
        <w:spacing w:after="120" w:line="480" w:lineRule="auto"/>
        <w:rPr>
          <w:sz w:val="22"/>
          <w:szCs w:val="22"/>
        </w:rPr>
      </w:pPr>
      <w:r w:rsidRPr="005630FA">
        <w:rPr>
          <w:sz w:val="22"/>
          <w:szCs w:val="22"/>
        </w:rPr>
        <w:br w:type="page"/>
      </w:r>
    </w:p>
    <w:p w:rsidR="00FD3878" w:rsidRPr="005630FA" w:rsidRDefault="00FD3878" w:rsidP="00BA5F82">
      <w:pPr>
        <w:spacing w:after="120" w:line="480" w:lineRule="auto"/>
        <w:jc w:val="both"/>
        <w:rPr>
          <w:sz w:val="22"/>
          <w:szCs w:val="22"/>
        </w:rPr>
      </w:pPr>
      <w:r w:rsidRPr="005630FA">
        <w:rPr>
          <w:b/>
          <w:sz w:val="22"/>
          <w:szCs w:val="22"/>
        </w:rPr>
        <w:lastRenderedPageBreak/>
        <w:t xml:space="preserve">Figure </w:t>
      </w:r>
      <w:r w:rsidR="0073717C" w:rsidRPr="005630FA">
        <w:rPr>
          <w:b/>
          <w:sz w:val="22"/>
          <w:szCs w:val="22"/>
        </w:rPr>
        <w:t>10</w:t>
      </w:r>
      <w:r w:rsidR="00295F9C" w:rsidRPr="005630FA">
        <w:rPr>
          <w:b/>
          <w:sz w:val="22"/>
          <w:szCs w:val="22"/>
        </w:rPr>
        <w:t>S</w:t>
      </w:r>
      <w:r w:rsidRPr="005630FA">
        <w:rPr>
          <w:b/>
          <w:sz w:val="22"/>
          <w:szCs w:val="22"/>
        </w:rPr>
        <w:t>:</w:t>
      </w:r>
      <w:r w:rsidRPr="005630FA">
        <w:rPr>
          <w:sz w:val="22"/>
          <w:szCs w:val="22"/>
        </w:rPr>
        <w:t xml:space="preserve"> Log-likelihood profiles for the final pharmacodynamic model of MOAA/S score. Critical values of the objective function value are shown as red and blue dotted line for p&lt;0.05 and p&lt;0.01, respectively. </w:t>
      </w:r>
      <w:r w:rsidR="0063354C" w:rsidRPr="005630FA">
        <w:rPr>
          <w:sz w:val="22"/>
          <w:szCs w:val="22"/>
        </w:rPr>
        <w:t xml:space="preserve">The vertical red line marks the population estimate of the parameter. </w:t>
      </w:r>
      <w:r w:rsidRPr="005630FA">
        <w:rPr>
          <w:sz w:val="22"/>
          <w:szCs w:val="22"/>
        </w:rPr>
        <w:t>θ</w:t>
      </w:r>
      <w:r w:rsidRPr="005630FA">
        <w:rPr>
          <w:sz w:val="22"/>
          <w:szCs w:val="22"/>
          <w:vertAlign w:val="subscript"/>
        </w:rPr>
        <w:t xml:space="preserve">1-5 </w:t>
      </w:r>
      <w:r w:rsidRPr="005630FA">
        <w:rPr>
          <w:sz w:val="22"/>
          <w:szCs w:val="22"/>
        </w:rPr>
        <w:t>:model parameters defining the half maximum effect site concentrations for a MOAA/S score≤0,1,2,3,4: EC</w:t>
      </w:r>
      <w:r w:rsidRPr="005630FA">
        <w:rPr>
          <w:sz w:val="22"/>
          <w:szCs w:val="22"/>
          <w:vertAlign w:val="subscript"/>
        </w:rPr>
        <w:t>50,4</w:t>
      </w:r>
      <w:r w:rsidRPr="005630FA">
        <w:rPr>
          <w:sz w:val="22"/>
          <w:szCs w:val="22"/>
        </w:rPr>
        <w:t>=θ</w:t>
      </w:r>
      <w:r w:rsidRPr="005630FA">
        <w:rPr>
          <w:sz w:val="22"/>
          <w:szCs w:val="22"/>
          <w:vertAlign w:val="subscript"/>
        </w:rPr>
        <w:t>1</w:t>
      </w:r>
      <w:r w:rsidRPr="005630FA">
        <w:rPr>
          <w:sz w:val="22"/>
          <w:szCs w:val="22"/>
        </w:rPr>
        <w:t>, EC</w:t>
      </w:r>
      <w:r w:rsidRPr="005630FA">
        <w:rPr>
          <w:sz w:val="22"/>
          <w:szCs w:val="22"/>
          <w:vertAlign w:val="subscript"/>
        </w:rPr>
        <w:t>50,3</w:t>
      </w:r>
      <w:r w:rsidRPr="005630FA">
        <w:rPr>
          <w:sz w:val="22"/>
          <w:szCs w:val="22"/>
        </w:rPr>
        <w:t>=EC</w:t>
      </w:r>
      <w:r w:rsidRPr="005630FA">
        <w:rPr>
          <w:sz w:val="22"/>
          <w:szCs w:val="22"/>
          <w:vertAlign w:val="subscript"/>
        </w:rPr>
        <w:t>50,4</w:t>
      </w:r>
      <w:r w:rsidRPr="005630FA">
        <w:rPr>
          <w:sz w:val="22"/>
          <w:szCs w:val="22"/>
        </w:rPr>
        <w:t>+θ</w:t>
      </w:r>
      <w:r w:rsidRPr="005630FA">
        <w:rPr>
          <w:sz w:val="22"/>
          <w:szCs w:val="22"/>
          <w:vertAlign w:val="subscript"/>
        </w:rPr>
        <w:t>2</w:t>
      </w:r>
      <w:r w:rsidRPr="005630FA">
        <w:rPr>
          <w:sz w:val="22"/>
          <w:szCs w:val="22"/>
        </w:rPr>
        <w:t>, EC</w:t>
      </w:r>
      <w:r w:rsidRPr="005630FA">
        <w:rPr>
          <w:sz w:val="22"/>
          <w:szCs w:val="22"/>
          <w:vertAlign w:val="subscript"/>
        </w:rPr>
        <w:t>50,2</w:t>
      </w:r>
      <w:r w:rsidRPr="005630FA">
        <w:rPr>
          <w:sz w:val="22"/>
          <w:szCs w:val="22"/>
        </w:rPr>
        <w:t>=EC</w:t>
      </w:r>
      <w:r w:rsidRPr="005630FA">
        <w:rPr>
          <w:sz w:val="22"/>
          <w:szCs w:val="22"/>
          <w:vertAlign w:val="subscript"/>
        </w:rPr>
        <w:t>50,3</w:t>
      </w:r>
      <w:r w:rsidRPr="005630FA">
        <w:rPr>
          <w:sz w:val="22"/>
          <w:szCs w:val="22"/>
        </w:rPr>
        <w:t>+θ</w:t>
      </w:r>
      <w:r w:rsidRPr="005630FA">
        <w:rPr>
          <w:sz w:val="22"/>
          <w:szCs w:val="22"/>
          <w:vertAlign w:val="subscript"/>
        </w:rPr>
        <w:t>3</w:t>
      </w:r>
      <w:r w:rsidRPr="005630FA">
        <w:rPr>
          <w:sz w:val="22"/>
          <w:szCs w:val="22"/>
        </w:rPr>
        <w:t>, EC</w:t>
      </w:r>
      <w:r w:rsidRPr="005630FA">
        <w:rPr>
          <w:sz w:val="22"/>
          <w:szCs w:val="22"/>
          <w:vertAlign w:val="subscript"/>
        </w:rPr>
        <w:t>50,1</w:t>
      </w:r>
      <w:r w:rsidRPr="005630FA">
        <w:rPr>
          <w:sz w:val="22"/>
          <w:szCs w:val="22"/>
        </w:rPr>
        <w:t>=EC</w:t>
      </w:r>
      <w:r w:rsidRPr="005630FA">
        <w:rPr>
          <w:sz w:val="22"/>
          <w:szCs w:val="22"/>
          <w:vertAlign w:val="subscript"/>
        </w:rPr>
        <w:t>50,2</w:t>
      </w:r>
      <w:r w:rsidRPr="005630FA">
        <w:rPr>
          <w:sz w:val="22"/>
          <w:szCs w:val="22"/>
        </w:rPr>
        <w:t>+θ</w:t>
      </w:r>
      <w:r w:rsidRPr="005630FA">
        <w:rPr>
          <w:sz w:val="22"/>
          <w:szCs w:val="22"/>
          <w:vertAlign w:val="subscript"/>
        </w:rPr>
        <w:t>4</w:t>
      </w:r>
      <w:r w:rsidRPr="005630FA">
        <w:rPr>
          <w:sz w:val="22"/>
          <w:szCs w:val="22"/>
        </w:rPr>
        <w:t>, EC</w:t>
      </w:r>
      <w:r w:rsidRPr="005630FA">
        <w:rPr>
          <w:sz w:val="22"/>
          <w:szCs w:val="22"/>
          <w:vertAlign w:val="subscript"/>
        </w:rPr>
        <w:t>50,0</w:t>
      </w:r>
      <w:r w:rsidRPr="005630FA">
        <w:rPr>
          <w:sz w:val="22"/>
          <w:szCs w:val="22"/>
        </w:rPr>
        <w:t>=EC</w:t>
      </w:r>
      <w:r w:rsidRPr="005630FA">
        <w:rPr>
          <w:sz w:val="22"/>
          <w:szCs w:val="22"/>
          <w:vertAlign w:val="subscript"/>
        </w:rPr>
        <w:t>50,1</w:t>
      </w:r>
      <w:r w:rsidRPr="005630FA">
        <w:rPr>
          <w:sz w:val="22"/>
          <w:szCs w:val="22"/>
        </w:rPr>
        <w:t>+θ</w:t>
      </w:r>
      <w:r w:rsidRPr="005630FA">
        <w:rPr>
          <w:sz w:val="22"/>
          <w:szCs w:val="22"/>
          <w:vertAlign w:val="subscript"/>
        </w:rPr>
        <w:t>5</w:t>
      </w:r>
      <w:r w:rsidR="00BB2029" w:rsidRPr="005630FA">
        <w:rPr>
          <w:sz w:val="22"/>
          <w:szCs w:val="22"/>
        </w:rPr>
        <w:t>; γ: steepness of the concentration-effect curve</w:t>
      </w:r>
      <w:r w:rsidRPr="005630FA">
        <w:rPr>
          <w:sz w:val="22"/>
          <w:szCs w:val="22"/>
        </w:rPr>
        <w:t>; k</w:t>
      </w:r>
      <w:r w:rsidRPr="005630FA">
        <w:rPr>
          <w:sz w:val="22"/>
          <w:szCs w:val="22"/>
          <w:vertAlign w:val="subscript"/>
        </w:rPr>
        <w:t>e0</w:t>
      </w:r>
      <w:r w:rsidRPr="005630FA">
        <w:rPr>
          <w:sz w:val="22"/>
          <w:szCs w:val="22"/>
        </w:rPr>
        <w:t>: effect site equilibration rate constant</w:t>
      </w:r>
    </w:p>
    <w:p w:rsidR="00FD3878" w:rsidRPr="005630FA" w:rsidRDefault="00085BCA" w:rsidP="00BA5F82">
      <w:pPr>
        <w:spacing w:after="120" w:line="480" w:lineRule="auto"/>
        <w:rPr>
          <w:sz w:val="22"/>
          <w:szCs w:val="22"/>
        </w:rPr>
      </w:pPr>
      <w:r w:rsidRPr="005630FA">
        <w:rPr>
          <w:noProof/>
          <w:sz w:val="22"/>
          <w:szCs w:val="22"/>
          <w:lang w:val="de-DE" w:eastAsia="de-DE"/>
        </w:rPr>
        <w:drawing>
          <wp:inline distT="0" distB="0" distL="0" distR="0" wp14:anchorId="7DC38437" wp14:editId="50B41B7B">
            <wp:extent cx="3767139" cy="538162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7056_MOAAS_model8a_LLP_pub.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72003" cy="5388573"/>
                    </a:xfrm>
                    <a:prstGeom prst="rect">
                      <a:avLst/>
                    </a:prstGeom>
                  </pic:spPr>
                </pic:pic>
              </a:graphicData>
            </a:graphic>
          </wp:inline>
        </w:drawing>
      </w:r>
    </w:p>
    <w:p w:rsidR="00FD3878" w:rsidRPr="005630FA" w:rsidRDefault="00FD3878" w:rsidP="00BA5F82">
      <w:pPr>
        <w:spacing w:after="120" w:line="480" w:lineRule="auto"/>
        <w:rPr>
          <w:sz w:val="22"/>
          <w:szCs w:val="22"/>
        </w:rPr>
      </w:pPr>
      <w:r w:rsidRPr="005630FA">
        <w:rPr>
          <w:sz w:val="22"/>
          <w:szCs w:val="22"/>
        </w:rPr>
        <w:br w:type="page"/>
      </w:r>
    </w:p>
    <w:p w:rsidR="00FD3878" w:rsidRPr="005630FA" w:rsidRDefault="00FD3878" w:rsidP="00BA5F82">
      <w:pPr>
        <w:spacing w:after="120" w:line="480" w:lineRule="auto"/>
        <w:rPr>
          <w:sz w:val="22"/>
          <w:szCs w:val="22"/>
        </w:rPr>
      </w:pPr>
      <w:r w:rsidRPr="005630FA">
        <w:rPr>
          <w:b/>
          <w:sz w:val="22"/>
          <w:szCs w:val="22"/>
        </w:rPr>
        <w:lastRenderedPageBreak/>
        <w:t xml:space="preserve">Figure </w:t>
      </w:r>
      <w:r w:rsidR="0073717C" w:rsidRPr="005630FA">
        <w:rPr>
          <w:b/>
          <w:sz w:val="22"/>
          <w:szCs w:val="22"/>
        </w:rPr>
        <w:t>11</w:t>
      </w:r>
      <w:r w:rsidR="00295F9C" w:rsidRPr="005630FA">
        <w:rPr>
          <w:b/>
          <w:sz w:val="22"/>
          <w:szCs w:val="22"/>
        </w:rPr>
        <w:t>S</w:t>
      </w:r>
      <w:r w:rsidRPr="005630FA">
        <w:rPr>
          <w:b/>
          <w:sz w:val="22"/>
          <w:szCs w:val="22"/>
        </w:rPr>
        <w:t>:</w:t>
      </w:r>
      <w:r w:rsidRPr="005630FA">
        <w:rPr>
          <w:sz w:val="22"/>
          <w:szCs w:val="22"/>
        </w:rPr>
        <w:t xml:space="preserve"> Observed and predicted probabilities for the different MOAA/S scores, as obtained by the final pharmacodynamic model. The grey bars show the observed probabilities in the concentration ranges. The blue lines show the predicted probabilities as obtained for the population parameter estimates. CE: effect site concentration of remimazolam.</w:t>
      </w:r>
    </w:p>
    <w:p w:rsidR="00FD3878" w:rsidRPr="005630FA" w:rsidRDefault="00FD3878" w:rsidP="00BA5F82">
      <w:pPr>
        <w:spacing w:after="120" w:line="480" w:lineRule="auto"/>
        <w:rPr>
          <w:sz w:val="22"/>
          <w:szCs w:val="22"/>
        </w:rPr>
      </w:pPr>
    </w:p>
    <w:p w:rsidR="00FD3878" w:rsidRPr="005630FA" w:rsidRDefault="00085BCA" w:rsidP="00BA5F82">
      <w:pPr>
        <w:spacing w:after="120" w:line="480" w:lineRule="auto"/>
        <w:rPr>
          <w:sz w:val="22"/>
          <w:szCs w:val="22"/>
        </w:rPr>
      </w:pPr>
      <w:r w:rsidRPr="005630FA">
        <w:rPr>
          <w:noProof/>
          <w:sz w:val="22"/>
          <w:szCs w:val="22"/>
          <w:lang w:val="de-DE" w:eastAsia="de-DE"/>
        </w:rPr>
        <w:drawing>
          <wp:inline distT="0" distB="0" distL="0" distR="0" wp14:anchorId="5F065DA6" wp14:editId="1243A11E">
            <wp:extent cx="5760720" cy="5760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7056_MOAAS_model8a_OBS_PRED_pub.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sectPr w:rsidR="00FD3878" w:rsidRPr="005630FA" w:rsidSect="005630FA">
      <w:headerReference w:type="default" r:id="rId22"/>
      <w:footerReference w:type="default" r:id="rId23"/>
      <w:pgSz w:w="11906" w:h="16838"/>
      <w:pgMar w:top="1418" w:right="1418" w:bottom="283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770" w:rsidRDefault="00B16770" w:rsidP="0042458E">
      <w:pPr>
        <w:spacing w:line="240" w:lineRule="auto"/>
      </w:pPr>
      <w:r>
        <w:separator/>
      </w:r>
    </w:p>
  </w:endnote>
  <w:endnote w:type="continuationSeparator" w:id="0">
    <w:p w:rsidR="00B16770" w:rsidRDefault="00B16770" w:rsidP="004245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968340"/>
      <w:docPartObj>
        <w:docPartGallery w:val="Page Numbers (Bottom of Page)"/>
        <w:docPartUnique/>
      </w:docPartObj>
    </w:sdtPr>
    <w:sdtEndPr/>
    <w:sdtContent>
      <w:p w:rsidR="00B16770" w:rsidRDefault="00B16770">
        <w:pPr>
          <w:pStyle w:val="Fuzeile"/>
          <w:jc w:val="right"/>
        </w:pPr>
        <w:r>
          <w:fldChar w:fldCharType="begin"/>
        </w:r>
        <w:r>
          <w:instrText>PAGE   \* MERGEFORMAT</w:instrText>
        </w:r>
        <w:r>
          <w:fldChar w:fldCharType="separate"/>
        </w:r>
        <w:r w:rsidR="00E4470F" w:rsidRPr="00E4470F">
          <w:rPr>
            <w:noProof/>
            <w:lang w:val="de-DE"/>
          </w:rPr>
          <w:t>25</w:t>
        </w:r>
        <w:r>
          <w:rPr>
            <w:noProof/>
            <w:lang w:val="de-DE"/>
          </w:rPr>
          <w:fldChar w:fldCharType="end"/>
        </w:r>
      </w:p>
    </w:sdtContent>
  </w:sdt>
  <w:p w:rsidR="00B16770" w:rsidRDefault="00B1677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770" w:rsidRDefault="00B16770" w:rsidP="0042458E">
      <w:pPr>
        <w:spacing w:line="240" w:lineRule="auto"/>
      </w:pPr>
      <w:r>
        <w:separator/>
      </w:r>
    </w:p>
  </w:footnote>
  <w:footnote w:type="continuationSeparator" w:id="0">
    <w:p w:rsidR="00B16770" w:rsidRDefault="00B16770" w:rsidP="0042458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9F2" w:rsidRPr="00EE29F2" w:rsidRDefault="00EE29F2" w:rsidP="00EE29F2">
    <w:pPr>
      <w:pStyle w:val="Kopfzeile"/>
      <w:jc w:val="center"/>
      <w:rPr>
        <w:sz w:val="22"/>
        <w:szCs w:val="22"/>
      </w:rPr>
    </w:pPr>
    <w:r w:rsidRPr="00EE29F2">
      <w:rPr>
        <w:sz w:val="22"/>
        <w:szCs w:val="22"/>
      </w:rPr>
      <w:t>Supplemental Digital Content</w:t>
    </w:r>
  </w:p>
  <w:p w:rsidR="00B16770" w:rsidRDefault="00B1677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6945"/>
    <w:multiLevelType w:val="hybridMultilevel"/>
    <w:tmpl w:val="8B4EDAB2"/>
    <w:lvl w:ilvl="0" w:tplc="E1E847B2">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D7A2C4B"/>
    <w:multiLevelType w:val="hybridMultilevel"/>
    <w:tmpl w:val="C7A232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2585CE5"/>
    <w:multiLevelType w:val="hybridMultilevel"/>
    <w:tmpl w:val="E730A84A"/>
    <w:lvl w:ilvl="0" w:tplc="E1E847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8F3869"/>
    <w:multiLevelType w:val="hybridMultilevel"/>
    <w:tmpl w:val="9CE6935E"/>
    <w:lvl w:ilvl="0" w:tplc="E1E847B2">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4AA601A4"/>
    <w:multiLevelType w:val="hybridMultilevel"/>
    <w:tmpl w:val="71D2213A"/>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7B46B0D"/>
    <w:multiLevelType w:val="singleLevel"/>
    <w:tmpl w:val="4072B0E2"/>
    <w:lvl w:ilvl="0">
      <w:start w:val="1"/>
      <w:numFmt w:val="bullet"/>
      <w:lvlText w:val=""/>
      <w:lvlJc w:val="left"/>
      <w:pPr>
        <w:tabs>
          <w:tab w:val="num" w:pos="576"/>
        </w:tabs>
        <w:ind w:left="576" w:hanging="432"/>
      </w:pPr>
      <w:rPr>
        <w:rFonts w:ascii="Symbol" w:hAnsi="Symbol" w:hint="default"/>
        <w:sz w:val="22"/>
      </w:rPr>
    </w:lvl>
  </w:abstractNum>
  <w:abstractNum w:abstractNumId="6">
    <w:nsid w:val="5BA761F0"/>
    <w:multiLevelType w:val="hybridMultilevel"/>
    <w:tmpl w:val="DC309B28"/>
    <w:lvl w:ilvl="0" w:tplc="73B8E838">
      <w:start w:val="1"/>
      <w:numFmt w:val="bullet"/>
      <w:lvlText w:val=""/>
      <w:lvlJc w:val="left"/>
      <w:pPr>
        <w:tabs>
          <w:tab w:val="num" w:pos="1440"/>
        </w:tabs>
        <w:ind w:left="1440" w:hanging="360"/>
      </w:pPr>
      <w:rPr>
        <w:rFonts w:ascii="Symbol" w:hAnsi="Symbol" w:hint="default"/>
      </w:rPr>
    </w:lvl>
    <w:lvl w:ilvl="1" w:tplc="50205E66" w:tentative="1">
      <w:start w:val="1"/>
      <w:numFmt w:val="bullet"/>
      <w:lvlText w:val="o"/>
      <w:lvlJc w:val="left"/>
      <w:pPr>
        <w:tabs>
          <w:tab w:val="num" w:pos="2160"/>
        </w:tabs>
        <w:ind w:left="2160" w:hanging="360"/>
      </w:pPr>
      <w:rPr>
        <w:rFonts w:ascii="Courier New" w:hAnsi="Courier New" w:hint="default"/>
      </w:rPr>
    </w:lvl>
    <w:lvl w:ilvl="2" w:tplc="D6422BB6" w:tentative="1">
      <w:start w:val="1"/>
      <w:numFmt w:val="bullet"/>
      <w:lvlText w:val=""/>
      <w:lvlJc w:val="left"/>
      <w:pPr>
        <w:tabs>
          <w:tab w:val="num" w:pos="2880"/>
        </w:tabs>
        <w:ind w:left="2880" w:hanging="360"/>
      </w:pPr>
      <w:rPr>
        <w:rFonts w:ascii="Wingdings" w:hAnsi="Wingdings" w:hint="default"/>
      </w:rPr>
    </w:lvl>
    <w:lvl w:ilvl="3" w:tplc="6616AEB4" w:tentative="1">
      <w:start w:val="1"/>
      <w:numFmt w:val="bullet"/>
      <w:lvlText w:val=""/>
      <w:lvlJc w:val="left"/>
      <w:pPr>
        <w:tabs>
          <w:tab w:val="num" w:pos="3600"/>
        </w:tabs>
        <w:ind w:left="3600" w:hanging="360"/>
      </w:pPr>
      <w:rPr>
        <w:rFonts w:ascii="Symbol" w:hAnsi="Symbol" w:hint="default"/>
      </w:rPr>
    </w:lvl>
    <w:lvl w:ilvl="4" w:tplc="D59412DE" w:tentative="1">
      <w:start w:val="1"/>
      <w:numFmt w:val="bullet"/>
      <w:lvlText w:val="o"/>
      <w:lvlJc w:val="left"/>
      <w:pPr>
        <w:tabs>
          <w:tab w:val="num" w:pos="4320"/>
        </w:tabs>
        <w:ind w:left="4320" w:hanging="360"/>
      </w:pPr>
      <w:rPr>
        <w:rFonts w:ascii="Courier New" w:hAnsi="Courier New" w:hint="default"/>
      </w:rPr>
    </w:lvl>
    <w:lvl w:ilvl="5" w:tplc="2B5E141A" w:tentative="1">
      <w:start w:val="1"/>
      <w:numFmt w:val="bullet"/>
      <w:lvlText w:val=""/>
      <w:lvlJc w:val="left"/>
      <w:pPr>
        <w:tabs>
          <w:tab w:val="num" w:pos="5040"/>
        </w:tabs>
        <w:ind w:left="5040" w:hanging="360"/>
      </w:pPr>
      <w:rPr>
        <w:rFonts w:ascii="Wingdings" w:hAnsi="Wingdings" w:hint="default"/>
      </w:rPr>
    </w:lvl>
    <w:lvl w:ilvl="6" w:tplc="6724466C" w:tentative="1">
      <w:start w:val="1"/>
      <w:numFmt w:val="bullet"/>
      <w:lvlText w:val=""/>
      <w:lvlJc w:val="left"/>
      <w:pPr>
        <w:tabs>
          <w:tab w:val="num" w:pos="5760"/>
        </w:tabs>
        <w:ind w:left="5760" w:hanging="360"/>
      </w:pPr>
      <w:rPr>
        <w:rFonts w:ascii="Symbol" w:hAnsi="Symbol" w:hint="default"/>
      </w:rPr>
    </w:lvl>
    <w:lvl w:ilvl="7" w:tplc="333E521A" w:tentative="1">
      <w:start w:val="1"/>
      <w:numFmt w:val="bullet"/>
      <w:lvlText w:val="o"/>
      <w:lvlJc w:val="left"/>
      <w:pPr>
        <w:tabs>
          <w:tab w:val="num" w:pos="6480"/>
        </w:tabs>
        <w:ind w:left="6480" w:hanging="360"/>
      </w:pPr>
      <w:rPr>
        <w:rFonts w:ascii="Courier New" w:hAnsi="Courier New" w:hint="default"/>
      </w:rPr>
    </w:lvl>
    <w:lvl w:ilvl="8" w:tplc="3B629940" w:tentative="1">
      <w:start w:val="1"/>
      <w:numFmt w:val="bullet"/>
      <w:lvlText w:val=""/>
      <w:lvlJc w:val="left"/>
      <w:pPr>
        <w:tabs>
          <w:tab w:val="num" w:pos="7200"/>
        </w:tabs>
        <w:ind w:left="7200" w:hanging="360"/>
      </w:pPr>
      <w:rPr>
        <w:rFonts w:ascii="Wingdings" w:hAnsi="Wingdings" w:hint="default"/>
      </w:rPr>
    </w:lvl>
  </w:abstractNum>
  <w:abstractNum w:abstractNumId="7">
    <w:nsid w:val="79F0427A"/>
    <w:multiLevelType w:val="hybridMultilevel"/>
    <w:tmpl w:val="FA86728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DC540CE"/>
    <w:multiLevelType w:val="hybridMultilevel"/>
    <w:tmpl w:val="D550153A"/>
    <w:lvl w:ilvl="0" w:tplc="2DE8A2E2">
      <w:start w:val="1"/>
      <w:numFmt w:val="bullet"/>
      <w:lvlText w:val=""/>
      <w:lvlJc w:val="left"/>
      <w:pPr>
        <w:tabs>
          <w:tab w:val="num" w:pos="720"/>
        </w:tabs>
        <w:ind w:left="720" w:hanging="360"/>
      </w:pPr>
      <w:rPr>
        <w:rFonts w:ascii="Symbol" w:hAnsi="Symbol" w:hint="default"/>
        <w:sz w:val="20"/>
      </w:rPr>
    </w:lvl>
    <w:lvl w:ilvl="1" w:tplc="4842A0B6" w:tentative="1">
      <w:start w:val="1"/>
      <w:numFmt w:val="bullet"/>
      <w:lvlText w:val="o"/>
      <w:lvlJc w:val="left"/>
      <w:pPr>
        <w:tabs>
          <w:tab w:val="num" w:pos="1440"/>
        </w:tabs>
        <w:ind w:left="1440" w:hanging="360"/>
      </w:pPr>
      <w:rPr>
        <w:rFonts w:ascii="Courier New" w:hAnsi="Courier New" w:hint="default"/>
      </w:rPr>
    </w:lvl>
    <w:lvl w:ilvl="2" w:tplc="0A629D0E" w:tentative="1">
      <w:start w:val="1"/>
      <w:numFmt w:val="bullet"/>
      <w:lvlText w:val=""/>
      <w:lvlJc w:val="left"/>
      <w:pPr>
        <w:tabs>
          <w:tab w:val="num" w:pos="2160"/>
        </w:tabs>
        <w:ind w:left="2160" w:hanging="360"/>
      </w:pPr>
      <w:rPr>
        <w:rFonts w:ascii="Wingdings" w:hAnsi="Wingdings" w:hint="default"/>
      </w:rPr>
    </w:lvl>
    <w:lvl w:ilvl="3" w:tplc="AE4C3B8A" w:tentative="1">
      <w:start w:val="1"/>
      <w:numFmt w:val="bullet"/>
      <w:lvlText w:val=""/>
      <w:lvlJc w:val="left"/>
      <w:pPr>
        <w:tabs>
          <w:tab w:val="num" w:pos="2880"/>
        </w:tabs>
        <w:ind w:left="2880" w:hanging="360"/>
      </w:pPr>
      <w:rPr>
        <w:rFonts w:ascii="Symbol" w:hAnsi="Symbol" w:hint="default"/>
      </w:rPr>
    </w:lvl>
    <w:lvl w:ilvl="4" w:tplc="67B4C7C0" w:tentative="1">
      <w:start w:val="1"/>
      <w:numFmt w:val="bullet"/>
      <w:lvlText w:val="o"/>
      <w:lvlJc w:val="left"/>
      <w:pPr>
        <w:tabs>
          <w:tab w:val="num" w:pos="3600"/>
        </w:tabs>
        <w:ind w:left="3600" w:hanging="360"/>
      </w:pPr>
      <w:rPr>
        <w:rFonts w:ascii="Courier New" w:hAnsi="Courier New" w:hint="default"/>
      </w:rPr>
    </w:lvl>
    <w:lvl w:ilvl="5" w:tplc="A5BEF94A" w:tentative="1">
      <w:start w:val="1"/>
      <w:numFmt w:val="bullet"/>
      <w:lvlText w:val=""/>
      <w:lvlJc w:val="left"/>
      <w:pPr>
        <w:tabs>
          <w:tab w:val="num" w:pos="4320"/>
        </w:tabs>
        <w:ind w:left="4320" w:hanging="360"/>
      </w:pPr>
      <w:rPr>
        <w:rFonts w:ascii="Wingdings" w:hAnsi="Wingdings" w:hint="default"/>
      </w:rPr>
    </w:lvl>
    <w:lvl w:ilvl="6" w:tplc="1B947AD0" w:tentative="1">
      <w:start w:val="1"/>
      <w:numFmt w:val="bullet"/>
      <w:lvlText w:val=""/>
      <w:lvlJc w:val="left"/>
      <w:pPr>
        <w:tabs>
          <w:tab w:val="num" w:pos="5040"/>
        </w:tabs>
        <w:ind w:left="5040" w:hanging="360"/>
      </w:pPr>
      <w:rPr>
        <w:rFonts w:ascii="Symbol" w:hAnsi="Symbol" w:hint="default"/>
      </w:rPr>
    </w:lvl>
    <w:lvl w:ilvl="7" w:tplc="DC58D8D6" w:tentative="1">
      <w:start w:val="1"/>
      <w:numFmt w:val="bullet"/>
      <w:lvlText w:val="o"/>
      <w:lvlJc w:val="left"/>
      <w:pPr>
        <w:tabs>
          <w:tab w:val="num" w:pos="5760"/>
        </w:tabs>
        <w:ind w:left="5760" w:hanging="360"/>
      </w:pPr>
      <w:rPr>
        <w:rFonts w:ascii="Courier New" w:hAnsi="Courier New" w:hint="default"/>
      </w:rPr>
    </w:lvl>
    <w:lvl w:ilvl="8" w:tplc="42261C6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2"/>
  </w:num>
  <w:num w:numId="4">
    <w:abstractNumId w:val="3"/>
  </w:num>
  <w:num w:numId="5">
    <w:abstractNumId w:val="6"/>
  </w:num>
  <w:num w:numId="6">
    <w:abstractNumId w:val="0"/>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esthesi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ees5zta9oss2wce5przx5s5hdfv09zrww955&quot;&gt;remimazolam&lt;record-ids&gt;&lt;item&gt;3&lt;/item&gt;&lt;item&gt;4&lt;/item&gt;&lt;item&gt;8&lt;/item&gt;&lt;item&gt;9&lt;/item&gt;&lt;item&gt;10&lt;/item&gt;&lt;item&gt;11&lt;/item&gt;&lt;item&gt;12&lt;/item&gt;&lt;item&gt;13&lt;/item&gt;&lt;item&gt;26&lt;/item&gt;&lt;item&gt;30&lt;/item&gt;&lt;item&gt;31&lt;/item&gt;&lt;item&gt;34&lt;/item&gt;&lt;item&gt;35&lt;/item&gt;&lt;item&gt;37&lt;/item&gt;&lt;item&gt;40&lt;/item&gt;&lt;item&gt;46&lt;/item&gt;&lt;item&gt;47&lt;/item&gt;&lt;item&gt;48&lt;/item&gt;&lt;/record-ids&gt;&lt;/item&gt;&lt;/Libraries&gt;"/>
  </w:docVars>
  <w:rsids>
    <w:rsidRoot w:val="0042458E"/>
    <w:rsid w:val="0000182D"/>
    <w:rsid w:val="00001C04"/>
    <w:rsid w:val="00001EFC"/>
    <w:rsid w:val="00002641"/>
    <w:rsid w:val="00004917"/>
    <w:rsid w:val="00004B0B"/>
    <w:rsid w:val="00004DA9"/>
    <w:rsid w:val="00005826"/>
    <w:rsid w:val="00006BDB"/>
    <w:rsid w:val="00007596"/>
    <w:rsid w:val="00011257"/>
    <w:rsid w:val="00012664"/>
    <w:rsid w:val="00015A40"/>
    <w:rsid w:val="000169AF"/>
    <w:rsid w:val="0002240A"/>
    <w:rsid w:val="000243C7"/>
    <w:rsid w:val="000269E5"/>
    <w:rsid w:val="00030C38"/>
    <w:rsid w:val="000404BF"/>
    <w:rsid w:val="00041F12"/>
    <w:rsid w:val="000439D5"/>
    <w:rsid w:val="00043ABF"/>
    <w:rsid w:val="00044DAC"/>
    <w:rsid w:val="00045271"/>
    <w:rsid w:val="00046B38"/>
    <w:rsid w:val="00046F3F"/>
    <w:rsid w:val="00052328"/>
    <w:rsid w:val="000548E8"/>
    <w:rsid w:val="00054921"/>
    <w:rsid w:val="00056E2C"/>
    <w:rsid w:val="00061180"/>
    <w:rsid w:val="00061AE6"/>
    <w:rsid w:val="0006289F"/>
    <w:rsid w:val="00063BE9"/>
    <w:rsid w:val="00064D26"/>
    <w:rsid w:val="000654CA"/>
    <w:rsid w:val="00070B2B"/>
    <w:rsid w:val="00073B0C"/>
    <w:rsid w:val="00075BBF"/>
    <w:rsid w:val="0008534D"/>
    <w:rsid w:val="00085538"/>
    <w:rsid w:val="00085606"/>
    <w:rsid w:val="00085BCA"/>
    <w:rsid w:val="00090996"/>
    <w:rsid w:val="00095CAE"/>
    <w:rsid w:val="00096264"/>
    <w:rsid w:val="000A26C9"/>
    <w:rsid w:val="000A5E51"/>
    <w:rsid w:val="000A6255"/>
    <w:rsid w:val="000A68CA"/>
    <w:rsid w:val="000A7A5F"/>
    <w:rsid w:val="000B1ED1"/>
    <w:rsid w:val="000B20C2"/>
    <w:rsid w:val="000B46E7"/>
    <w:rsid w:val="000B4AE5"/>
    <w:rsid w:val="000B7DF3"/>
    <w:rsid w:val="000C0337"/>
    <w:rsid w:val="000C5EF0"/>
    <w:rsid w:val="000C6056"/>
    <w:rsid w:val="000D3284"/>
    <w:rsid w:val="000D477A"/>
    <w:rsid w:val="000D49E0"/>
    <w:rsid w:val="000D67DB"/>
    <w:rsid w:val="000E05CB"/>
    <w:rsid w:val="000E26D6"/>
    <w:rsid w:val="000E2858"/>
    <w:rsid w:val="000E5056"/>
    <w:rsid w:val="000E718F"/>
    <w:rsid w:val="000F01A0"/>
    <w:rsid w:val="000F0C1A"/>
    <w:rsid w:val="000F3832"/>
    <w:rsid w:val="000F4BAE"/>
    <w:rsid w:val="000F52DF"/>
    <w:rsid w:val="00100E30"/>
    <w:rsid w:val="001047BF"/>
    <w:rsid w:val="0010667F"/>
    <w:rsid w:val="001118B0"/>
    <w:rsid w:val="00116836"/>
    <w:rsid w:val="0012039F"/>
    <w:rsid w:val="0012138D"/>
    <w:rsid w:val="00125B30"/>
    <w:rsid w:val="00130B78"/>
    <w:rsid w:val="001316F5"/>
    <w:rsid w:val="00132841"/>
    <w:rsid w:val="0014621C"/>
    <w:rsid w:val="001465F4"/>
    <w:rsid w:val="0014721B"/>
    <w:rsid w:val="00150BC8"/>
    <w:rsid w:val="00154A44"/>
    <w:rsid w:val="00156310"/>
    <w:rsid w:val="001563BD"/>
    <w:rsid w:val="00156BC3"/>
    <w:rsid w:val="00161E48"/>
    <w:rsid w:val="00162371"/>
    <w:rsid w:val="00163D9C"/>
    <w:rsid w:val="0016459D"/>
    <w:rsid w:val="001650AC"/>
    <w:rsid w:val="001719F9"/>
    <w:rsid w:val="001771F8"/>
    <w:rsid w:val="00180C2A"/>
    <w:rsid w:val="00180D35"/>
    <w:rsid w:val="001838FA"/>
    <w:rsid w:val="001852A9"/>
    <w:rsid w:val="00187030"/>
    <w:rsid w:val="001930B5"/>
    <w:rsid w:val="0019360D"/>
    <w:rsid w:val="001A4AC6"/>
    <w:rsid w:val="001A6C29"/>
    <w:rsid w:val="001A796C"/>
    <w:rsid w:val="001B342A"/>
    <w:rsid w:val="001B3937"/>
    <w:rsid w:val="001C29DF"/>
    <w:rsid w:val="001C4165"/>
    <w:rsid w:val="001C4227"/>
    <w:rsid w:val="001C5D81"/>
    <w:rsid w:val="001D432C"/>
    <w:rsid w:val="001D785B"/>
    <w:rsid w:val="001E0A7C"/>
    <w:rsid w:val="001E1C5C"/>
    <w:rsid w:val="001E209D"/>
    <w:rsid w:val="001E2F56"/>
    <w:rsid w:val="001F318E"/>
    <w:rsid w:val="001F40BE"/>
    <w:rsid w:val="002003FD"/>
    <w:rsid w:val="0020148A"/>
    <w:rsid w:val="002038A2"/>
    <w:rsid w:val="00213096"/>
    <w:rsid w:val="00213705"/>
    <w:rsid w:val="00213E5A"/>
    <w:rsid w:val="00214183"/>
    <w:rsid w:val="00217CFE"/>
    <w:rsid w:val="0023013A"/>
    <w:rsid w:val="0023351D"/>
    <w:rsid w:val="002340ED"/>
    <w:rsid w:val="00234A2B"/>
    <w:rsid w:val="00236561"/>
    <w:rsid w:val="00236923"/>
    <w:rsid w:val="00237EDE"/>
    <w:rsid w:val="00244D46"/>
    <w:rsid w:val="00244D7D"/>
    <w:rsid w:val="00246EA7"/>
    <w:rsid w:val="00250F2B"/>
    <w:rsid w:val="00251266"/>
    <w:rsid w:val="002517B9"/>
    <w:rsid w:val="00251C91"/>
    <w:rsid w:val="002612AD"/>
    <w:rsid w:val="00263AD0"/>
    <w:rsid w:val="0027142F"/>
    <w:rsid w:val="00273F13"/>
    <w:rsid w:val="00274BE0"/>
    <w:rsid w:val="00275C51"/>
    <w:rsid w:val="00275ECA"/>
    <w:rsid w:val="00277F0E"/>
    <w:rsid w:val="00277F13"/>
    <w:rsid w:val="00285B8D"/>
    <w:rsid w:val="002862C4"/>
    <w:rsid w:val="002949F0"/>
    <w:rsid w:val="00295F9C"/>
    <w:rsid w:val="002973E7"/>
    <w:rsid w:val="002A0486"/>
    <w:rsid w:val="002A2778"/>
    <w:rsid w:val="002A3C8A"/>
    <w:rsid w:val="002A43EC"/>
    <w:rsid w:val="002A6A9F"/>
    <w:rsid w:val="002B36E1"/>
    <w:rsid w:val="002C3000"/>
    <w:rsid w:val="002C5FDB"/>
    <w:rsid w:val="002D0914"/>
    <w:rsid w:val="002D0D11"/>
    <w:rsid w:val="002D1957"/>
    <w:rsid w:val="002D352E"/>
    <w:rsid w:val="002D45CE"/>
    <w:rsid w:val="002D6926"/>
    <w:rsid w:val="002D775E"/>
    <w:rsid w:val="002E04AD"/>
    <w:rsid w:val="002E0584"/>
    <w:rsid w:val="002E1873"/>
    <w:rsid w:val="002E36E2"/>
    <w:rsid w:val="002E4165"/>
    <w:rsid w:val="002E6277"/>
    <w:rsid w:val="002F188B"/>
    <w:rsid w:val="002F46E8"/>
    <w:rsid w:val="002F5A5F"/>
    <w:rsid w:val="002F6043"/>
    <w:rsid w:val="00302512"/>
    <w:rsid w:val="00302F0F"/>
    <w:rsid w:val="003032CF"/>
    <w:rsid w:val="00307668"/>
    <w:rsid w:val="00310ACF"/>
    <w:rsid w:val="0031240D"/>
    <w:rsid w:val="003171ED"/>
    <w:rsid w:val="0032164A"/>
    <w:rsid w:val="00322852"/>
    <w:rsid w:val="003229F8"/>
    <w:rsid w:val="00324803"/>
    <w:rsid w:val="00324872"/>
    <w:rsid w:val="00330EE3"/>
    <w:rsid w:val="003335E6"/>
    <w:rsid w:val="0034363C"/>
    <w:rsid w:val="00346AED"/>
    <w:rsid w:val="003532C4"/>
    <w:rsid w:val="00356CD2"/>
    <w:rsid w:val="00361AEB"/>
    <w:rsid w:val="00362EA3"/>
    <w:rsid w:val="0036333C"/>
    <w:rsid w:val="00366140"/>
    <w:rsid w:val="00367126"/>
    <w:rsid w:val="00367F8E"/>
    <w:rsid w:val="00370263"/>
    <w:rsid w:val="00374692"/>
    <w:rsid w:val="003754E1"/>
    <w:rsid w:val="0037615B"/>
    <w:rsid w:val="00377539"/>
    <w:rsid w:val="00380AF6"/>
    <w:rsid w:val="00380F36"/>
    <w:rsid w:val="00383548"/>
    <w:rsid w:val="00384C6E"/>
    <w:rsid w:val="00387A03"/>
    <w:rsid w:val="0039279F"/>
    <w:rsid w:val="00392DF2"/>
    <w:rsid w:val="00392F84"/>
    <w:rsid w:val="0039514B"/>
    <w:rsid w:val="00395FA7"/>
    <w:rsid w:val="003A35C4"/>
    <w:rsid w:val="003A534D"/>
    <w:rsid w:val="003A7559"/>
    <w:rsid w:val="003A7DBC"/>
    <w:rsid w:val="003B3635"/>
    <w:rsid w:val="003B5434"/>
    <w:rsid w:val="003B7353"/>
    <w:rsid w:val="003C2C46"/>
    <w:rsid w:val="003C399A"/>
    <w:rsid w:val="003C4222"/>
    <w:rsid w:val="003C6084"/>
    <w:rsid w:val="003C6DA7"/>
    <w:rsid w:val="003C772C"/>
    <w:rsid w:val="003E13F2"/>
    <w:rsid w:val="003E568A"/>
    <w:rsid w:val="003F5484"/>
    <w:rsid w:val="003F7FFE"/>
    <w:rsid w:val="00413D7A"/>
    <w:rsid w:val="00414E84"/>
    <w:rsid w:val="00414F04"/>
    <w:rsid w:val="00421245"/>
    <w:rsid w:val="004233D8"/>
    <w:rsid w:val="00423E14"/>
    <w:rsid w:val="00424573"/>
    <w:rsid w:val="0042458E"/>
    <w:rsid w:val="00424678"/>
    <w:rsid w:val="00424A32"/>
    <w:rsid w:val="00433378"/>
    <w:rsid w:val="00435068"/>
    <w:rsid w:val="00436BFF"/>
    <w:rsid w:val="00441F49"/>
    <w:rsid w:val="00442E31"/>
    <w:rsid w:val="00445426"/>
    <w:rsid w:val="00454FB1"/>
    <w:rsid w:val="004610DD"/>
    <w:rsid w:val="0046110B"/>
    <w:rsid w:val="00462D35"/>
    <w:rsid w:val="00465019"/>
    <w:rsid w:val="004650CE"/>
    <w:rsid w:val="00471775"/>
    <w:rsid w:val="004758B4"/>
    <w:rsid w:val="00480F8F"/>
    <w:rsid w:val="00481589"/>
    <w:rsid w:val="00486D66"/>
    <w:rsid w:val="00487E9B"/>
    <w:rsid w:val="004927A3"/>
    <w:rsid w:val="0049633A"/>
    <w:rsid w:val="0049787E"/>
    <w:rsid w:val="004A0399"/>
    <w:rsid w:val="004A49CC"/>
    <w:rsid w:val="004A75FD"/>
    <w:rsid w:val="004B2B8D"/>
    <w:rsid w:val="004B48D7"/>
    <w:rsid w:val="004C15E9"/>
    <w:rsid w:val="004C2B10"/>
    <w:rsid w:val="004C696B"/>
    <w:rsid w:val="004C6EAE"/>
    <w:rsid w:val="004D04D6"/>
    <w:rsid w:val="004D0A0B"/>
    <w:rsid w:val="004D3BD9"/>
    <w:rsid w:val="004D3C93"/>
    <w:rsid w:val="004D50C5"/>
    <w:rsid w:val="004D5BC6"/>
    <w:rsid w:val="004E1F9F"/>
    <w:rsid w:val="004E572E"/>
    <w:rsid w:val="004E612E"/>
    <w:rsid w:val="004F1CE9"/>
    <w:rsid w:val="004F22D7"/>
    <w:rsid w:val="004F259A"/>
    <w:rsid w:val="004F302D"/>
    <w:rsid w:val="004F3747"/>
    <w:rsid w:val="004F663D"/>
    <w:rsid w:val="00500C5F"/>
    <w:rsid w:val="00504834"/>
    <w:rsid w:val="00505671"/>
    <w:rsid w:val="00510B49"/>
    <w:rsid w:val="0051120E"/>
    <w:rsid w:val="0051242A"/>
    <w:rsid w:val="00513FA7"/>
    <w:rsid w:val="00515717"/>
    <w:rsid w:val="0051755B"/>
    <w:rsid w:val="005237E7"/>
    <w:rsid w:val="005334B4"/>
    <w:rsid w:val="00534469"/>
    <w:rsid w:val="0053599E"/>
    <w:rsid w:val="0053785D"/>
    <w:rsid w:val="00542A53"/>
    <w:rsid w:val="005445B7"/>
    <w:rsid w:val="00547E83"/>
    <w:rsid w:val="00550657"/>
    <w:rsid w:val="00553404"/>
    <w:rsid w:val="00556BC5"/>
    <w:rsid w:val="00556CA6"/>
    <w:rsid w:val="00557D5D"/>
    <w:rsid w:val="005609AC"/>
    <w:rsid w:val="00561E3F"/>
    <w:rsid w:val="0056242E"/>
    <w:rsid w:val="005630FA"/>
    <w:rsid w:val="0057002B"/>
    <w:rsid w:val="00576006"/>
    <w:rsid w:val="00577984"/>
    <w:rsid w:val="00580A0D"/>
    <w:rsid w:val="0058402E"/>
    <w:rsid w:val="00584961"/>
    <w:rsid w:val="005860AB"/>
    <w:rsid w:val="005917AC"/>
    <w:rsid w:val="00592E06"/>
    <w:rsid w:val="005936DE"/>
    <w:rsid w:val="005940E8"/>
    <w:rsid w:val="005945FC"/>
    <w:rsid w:val="00594EC1"/>
    <w:rsid w:val="0059699E"/>
    <w:rsid w:val="005A19E7"/>
    <w:rsid w:val="005A4C2B"/>
    <w:rsid w:val="005A5C65"/>
    <w:rsid w:val="005A60DA"/>
    <w:rsid w:val="005A75A4"/>
    <w:rsid w:val="005B29DB"/>
    <w:rsid w:val="005B33B2"/>
    <w:rsid w:val="005B4F5A"/>
    <w:rsid w:val="005B6018"/>
    <w:rsid w:val="005B7A2A"/>
    <w:rsid w:val="005C5D65"/>
    <w:rsid w:val="005D138C"/>
    <w:rsid w:val="005D5A62"/>
    <w:rsid w:val="005D6EE2"/>
    <w:rsid w:val="005D79B2"/>
    <w:rsid w:val="005E04B4"/>
    <w:rsid w:val="005E1AEA"/>
    <w:rsid w:val="005F0FA4"/>
    <w:rsid w:val="005F251F"/>
    <w:rsid w:val="005F68AE"/>
    <w:rsid w:val="006052E9"/>
    <w:rsid w:val="00605CDB"/>
    <w:rsid w:val="00611F90"/>
    <w:rsid w:val="00614E43"/>
    <w:rsid w:val="006154B7"/>
    <w:rsid w:val="006165ED"/>
    <w:rsid w:val="006175B2"/>
    <w:rsid w:val="00617D0F"/>
    <w:rsid w:val="00622D53"/>
    <w:rsid w:val="00623084"/>
    <w:rsid w:val="00624D20"/>
    <w:rsid w:val="00626390"/>
    <w:rsid w:val="0063354C"/>
    <w:rsid w:val="00642D89"/>
    <w:rsid w:val="00652345"/>
    <w:rsid w:val="00653B7B"/>
    <w:rsid w:val="006540B4"/>
    <w:rsid w:val="00660287"/>
    <w:rsid w:val="00660651"/>
    <w:rsid w:val="00664EC3"/>
    <w:rsid w:val="00666B52"/>
    <w:rsid w:val="006726E5"/>
    <w:rsid w:val="0067280E"/>
    <w:rsid w:val="00675505"/>
    <w:rsid w:val="00677390"/>
    <w:rsid w:val="00677CE8"/>
    <w:rsid w:val="00682433"/>
    <w:rsid w:val="0069443C"/>
    <w:rsid w:val="00695ECF"/>
    <w:rsid w:val="00696FD0"/>
    <w:rsid w:val="006A2751"/>
    <w:rsid w:val="006A2EB4"/>
    <w:rsid w:val="006A7697"/>
    <w:rsid w:val="006B79F8"/>
    <w:rsid w:val="006C255F"/>
    <w:rsid w:val="006C2B28"/>
    <w:rsid w:val="006C39AB"/>
    <w:rsid w:val="006D3482"/>
    <w:rsid w:val="006D405C"/>
    <w:rsid w:val="006D6B37"/>
    <w:rsid w:val="006D731A"/>
    <w:rsid w:val="006E3983"/>
    <w:rsid w:val="006E4E27"/>
    <w:rsid w:val="006E7E58"/>
    <w:rsid w:val="006F143F"/>
    <w:rsid w:val="006F1F14"/>
    <w:rsid w:val="006F4A6B"/>
    <w:rsid w:val="006F6B80"/>
    <w:rsid w:val="007110FE"/>
    <w:rsid w:val="00714ED6"/>
    <w:rsid w:val="00721974"/>
    <w:rsid w:val="0072290C"/>
    <w:rsid w:val="00726618"/>
    <w:rsid w:val="00730B59"/>
    <w:rsid w:val="007316E5"/>
    <w:rsid w:val="0073480E"/>
    <w:rsid w:val="0073717C"/>
    <w:rsid w:val="00737D06"/>
    <w:rsid w:val="00737F32"/>
    <w:rsid w:val="00755E73"/>
    <w:rsid w:val="00761C2B"/>
    <w:rsid w:val="007634B3"/>
    <w:rsid w:val="0076387E"/>
    <w:rsid w:val="00765F7D"/>
    <w:rsid w:val="00767F65"/>
    <w:rsid w:val="00783F38"/>
    <w:rsid w:val="00784A25"/>
    <w:rsid w:val="00790819"/>
    <w:rsid w:val="00791BFD"/>
    <w:rsid w:val="00793594"/>
    <w:rsid w:val="00793CF8"/>
    <w:rsid w:val="00794D15"/>
    <w:rsid w:val="007964FE"/>
    <w:rsid w:val="00796A5D"/>
    <w:rsid w:val="007A3432"/>
    <w:rsid w:val="007A349E"/>
    <w:rsid w:val="007A34A9"/>
    <w:rsid w:val="007A53C9"/>
    <w:rsid w:val="007A5910"/>
    <w:rsid w:val="007B4977"/>
    <w:rsid w:val="007C04B8"/>
    <w:rsid w:val="007C73E1"/>
    <w:rsid w:val="007C7B17"/>
    <w:rsid w:val="007D5366"/>
    <w:rsid w:val="007D610E"/>
    <w:rsid w:val="007E047D"/>
    <w:rsid w:val="007E2FD0"/>
    <w:rsid w:val="007E6E34"/>
    <w:rsid w:val="007F1192"/>
    <w:rsid w:val="007F1B92"/>
    <w:rsid w:val="007F2DEA"/>
    <w:rsid w:val="007F6338"/>
    <w:rsid w:val="00800898"/>
    <w:rsid w:val="00801BA9"/>
    <w:rsid w:val="0080313E"/>
    <w:rsid w:val="0081107A"/>
    <w:rsid w:val="0081448F"/>
    <w:rsid w:val="00820DED"/>
    <w:rsid w:val="00826FC2"/>
    <w:rsid w:val="00827881"/>
    <w:rsid w:val="00827BAC"/>
    <w:rsid w:val="00831723"/>
    <w:rsid w:val="00832272"/>
    <w:rsid w:val="00832771"/>
    <w:rsid w:val="00835DFC"/>
    <w:rsid w:val="008364E0"/>
    <w:rsid w:val="0083790D"/>
    <w:rsid w:val="00841992"/>
    <w:rsid w:val="00841FA7"/>
    <w:rsid w:val="00844619"/>
    <w:rsid w:val="00850E7C"/>
    <w:rsid w:val="00850FF1"/>
    <w:rsid w:val="00852821"/>
    <w:rsid w:val="00854B38"/>
    <w:rsid w:val="00854FEB"/>
    <w:rsid w:val="008567EF"/>
    <w:rsid w:val="008612BA"/>
    <w:rsid w:val="00861804"/>
    <w:rsid w:val="0086370C"/>
    <w:rsid w:val="00867FD6"/>
    <w:rsid w:val="0087109D"/>
    <w:rsid w:val="0087253A"/>
    <w:rsid w:val="00873D14"/>
    <w:rsid w:val="008766F4"/>
    <w:rsid w:val="008805A5"/>
    <w:rsid w:val="00887E14"/>
    <w:rsid w:val="00891048"/>
    <w:rsid w:val="008931DF"/>
    <w:rsid w:val="00893F68"/>
    <w:rsid w:val="00894400"/>
    <w:rsid w:val="0089492A"/>
    <w:rsid w:val="00896EAE"/>
    <w:rsid w:val="008A1412"/>
    <w:rsid w:val="008A2742"/>
    <w:rsid w:val="008A2C42"/>
    <w:rsid w:val="008A708F"/>
    <w:rsid w:val="008B0007"/>
    <w:rsid w:val="008B393B"/>
    <w:rsid w:val="008B7198"/>
    <w:rsid w:val="008C31F5"/>
    <w:rsid w:val="008C5E7C"/>
    <w:rsid w:val="008C603F"/>
    <w:rsid w:val="008D047B"/>
    <w:rsid w:val="008D2B33"/>
    <w:rsid w:val="008D38B2"/>
    <w:rsid w:val="008E5124"/>
    <w:rsid w:val="008E53E6"/>
    <w:rsid w:val="008E6707"/>
    <w:rsid w:val="008F2E87"/>
    <w:rsid w:val="0090051B"/>
    <w:rsid w:val="00900AA0"/>
    <w:rsid w:val="0090294D"/>
    <w:rsid w:val="00903B88"/>
    <w:rsid w:val="009132D6"/>
    <w:rsid w:val="0091402D"/>
    <w:rsid w:val="00916E4C"/>
    <w:rsid w:val="0092114D"/>
    <w:rsid w:val="00923CBC"/>
    <w:rsid w:val="00923F0D"/>
    <w:rsid w:val="00924681"/>
    <w:rsid w:val="00924E22"/>
    <w:rsid w:val="00925ABE"/>
    <w:rsid w:val="00930D1B"/>
    <w:rsid w:val="00930ECA"/>
    <w:rsid w:val="0093611A"/>
    <w:rsid w:val="00946801"/>
    <w:rsid w:val="00951212"/>
    <w:rsid w:val="00954B5D"/>
    <w:rsid w:val="00955DF3"/>
    <w:rsid w:val="00961411"/>
    <w:rsid w:val="00961AD3"/>
    <w:rsid w:val="009621D9"/>
    <w:rsid w:val="00967796"/>
    <w:rsid w:val="009700CF"/>
    <w:rsid w:val="009738B9"/>
    <w:rsid w:val="00973EF7"/>
    <w:rsid w:val="00977E51"/>
    <w:rsid w:val="0098023B"/>
    <w:rsid w:val="009837EB"/>
    <w:rsid w:val="009854FD"/>
    <w:rsid w:val="0099034E"/>
    <w:rsid w:val="00990466"/>
    <w:rsid w:val="00991147"/>
    <w:rsid w:val="009923AC"/>
    <w:rsid w:val="00992794"/>
    <w:rsid w:val="009934E8"/>
    <w:rsid w:val="00994E32"/>
    <w:rsid w:val="00995181"/>
    <w:rsid w:val="00995464"/>
    <w:rsid w:val="009A2B40"/>
    <w:rsid w:val="009A2CD2"/>
    <w:rsid w:val="009A49B1"/>
    <w:rsid w:val="009A6071"/>
    <w:rsid w:val="009A7C86"/>
    <w:rsid w:val="009B0E87"/>
    <w:rsid w:val="009B12DB"/>
    <w:rsid w:val="009B12EB"/>
    <w:rsid w:val="009B274D"/>
    <w:rsid w:val="009B3B66"/>
    <w:rsid w:val="009B7646"/>
    <w:rsid w:val="009C205B"/>
    <w:rsid w:val="009C3537"/>
    <w:rsid w:val="009C3DBE"/>
    <w:rsid w:val="009C51BB"/>
    <w:rsid w:val="009C66CE"/>
    <w:rsid w:val="009D206E"/>
    <w:rsid w:val="009D2B82"/>
    <w:rsid w:val="009D37DE"/>
    <w:rsid w:val="009D700E"/>
    <w:rsid w:val="009E15C9"/>
    <w:rsid w:val="009E299C"/>
    <w:rsid w:val="009E380F"/>
    <w:rsid w:val="009E3C75"/>
    <w:rsid w:val="009F064D"/>
    <w:rsid w:val="009F4854"/>
    <w:rsid w:val="00A01A98"/>
    <w:rsid w:val="00A04660"/>
    <w:rsid w:val="00A11DED"/>
    <w:rsid w:val="00A12B9F"/>
    <w:rsid w:val="00A14421"/>
    <w:rsid w:val="00A206C7"/>
    <w:rsid w:val="00A2536D"/>
    <w:rsid w:val="00A304AF"/>
    <w:rsid w:val="00A304B1"/>
    <w:rsid w:val="00A305BC"/>
    <w:rsid w:val="00A30CCE"/>
    <w:rsid w:val="00A34FFB"/>
    <w:rsid w:val="00A3519D"/>
    <w:rsid w:val="00A364AE"/>
    <w:rsid w:val="00A37F11"/>
    <w:rsid w:val="00A41A56"/>
    <w:rsid w:val="00A450D2"/>
    <w:rsid w:val="00A4687E"/>
    <w:rsid w:val="00A47B9A"/>
    <w:rsid w:val="00A51A90"/>
    <w:rsid w:val="00A5543C"/>
    <w:rsid w:val="00A66F31"/>
    <w:rsid w:val="00A70959"/>
    <w:rsid w:val="00A73E32"/>
    <w:rsid w:val="00A74977"/>
    <w:rsid w:val="00A754CF"/>
    <w:rsid w:val="00A81C6C"/>
    <w:rsid w:val="00A824AA"/>
    <w:rsid w:val="00A8573B"/>
    <w:rsid w:val="00A862B9"/>
    <w:rsid w:val="00A8706F"/>
    <w:rsid w:val="00A87432"/>
    <w:rsid w:val="00A87B26"/>
    <w:rsid w:val="00A90771"/>
    <w:rsid w:val="00A93113"/>
    <w:rsid w:val="00AA0226"/>
    <w:rsid w:val="00AA231E"/>
    <w:rsid w:val="00AA263F"/>
    <w:rsid w:val="00AA6BB6"/>
    <w:rsid w:val="00AA7030"/>
    <w:rsid w:val="00AB6EFD"/>
    <w:rsid w:val="00AC0628"/>
    <w:rsid w:val="00AC1698"/>
    <w:rsid w:val="00AC3B88"/>
    <w:rsid w:val="00AC565F"/>
    <w:rsid w:val="00AC70B6"/>
    <w:rsid w:val="00AC731A"/>
    <w:rsid w:val="00AC75E0"/>
    <w:rsid w:val="00AD2855"/>
    <w:rsid w:val="00AD4FBD"/>
    <w:rsid w:val="00AE4A2D"/>
    <w:rsid w:val="00AE5C33"/>
    <w:rsid w:val="00AE5CF8"/>
    <w:rsid w:val="00AE6172"/>
    <w:rsid w:val="00AF190E"/>
    <w:rsid w:val="00AF3224"/>
    <w:rsid w:val="00AF33A4"/>
    <w:rsid w:val="00AF4AA5"/>
    <w:rsid w:val="00AF4CE1"/>
    <w:rsid w:val="00AF5730"/>
    <w:rsid w:val="00AF6208"/>
    <w:rsid w:val="00B1067D"/>
    <w:rsid w:val="00B1175F"/>
    <w:rsid w:val="00B118D6"/>
    <w:rsid w:val="00B16770"/>
    <w:rsid w:val="00B17E59"/>
    <w:rsid w:val="00B21E0B"/>
    <w:rsid w:val="00B23737"/>
    <w:rsid w:val="00B34FEF"/>
    <w:rsid w:val="00B35165"/>
    <w:rsid w:val="00B379BF"/>
    <w:rsid w:val="00B42B10"/>
    <w:rsid w:val="00B4326E"/>
    <w:rsid w:val="00B44630"/>
    <w:rsid w:val="00B44787"/>
    <w:rsid w:val="00B52722"/>
    <w:rsid w:val="00B54510"/>
    <w:rsid w:val="00B55254"/>
    <w:rsid w:val="00B55880"/>
    <w:rsid w:val="00B6127B"/>
    <w:rsid w:val="00B63F6C"/>
    <w:rsid w:val="00B65178"/>
    <w:rsid w:val="00B66E53"/>
    <w:rsid w:val="00B672B0"/>
    <w:rsid w:val="00B710AE"/>
    <w:rsid w:val="00B746CC"/>
    <w:rsid w:val="00B75010"/>
    <w:rsid w:val="00B77DD9"/>
    <w:rsid w:val="00B826EF"/>
    <w:rsid w:val="00B90FB7"/>
    <w:rsid w:val="00B93340"/>
    <w:rsid w:val="00B93D24"/>
    <w:rsid w:val="00B93ED6"/>
    <w:rsid w:val="00B94445"/>
    <w:rsid w:val="00B96174"/>
    <w:rsid w:val="00BA1040"/>
    <w:rsid w:val="00BA28A0"/>
    <w:rsid w:val="00BA376C"/>
    <w:rsid w:val="00BA5F82"/>
    <w:rsid w:val="00BA7240"/>
    <w:rsid w:val="00BB180D"/>
    <w:rsid w:val="00BB1EB6"/>
    <w:rsid w:val="00BB2029"/>
    <w:rsid w:val="00BB386C"/>
    <w:rsid w:val="00BB3BA5"/>
    <w:rsid w:val="00BB4807"/>
    <w:rsid w:val="00BC234D"/>
    <w:rsid w:val="00BC2B61"/>
    <w:rsid w:val="00BC4C11"/>
    <w:rsid w:val="00BC6867"/>
    <w:rsid w:val="00BC7758"/>
    <w:rsid w:val="00BD14B8"/>
    <w:rsid w:val="00BD377A"/>
    <w:rsid w:val="00BD48A3"/>
    <w:rsid w:val="00BD4CF8"/>
    <w:rsid w:val="00BD52D9"/>
    <w:rsid w:val="00BD7971"/>
    <w:rsid w:val="00BD79FA"/>
    <w:rsid w:val="00BE4C66"/>
    <w:rsid w:val="00BF150D"/>
    <w:rsid w:val="00BF2A5F"/>
    <w:rsid w:val="00BF2B20"/>
    <w:rsid w:val="00BF4329"/>
    <w:rsid w:val="00BF6D81"/>
    <w:rsid w:val="00C00EBE"/>
    <w:rsid w:val="00C026EE"/>
    <w:rsid w:val="00C03D84"/>
    <w:rsid w:val="00C131A6"/>
    <w:rsid w:val="00C13E65"/>
    <w:rsid w:val="00C14814"/>
    <w:rsid w:val="00C15934"/>
    <w:rsid w:val="00C16CAC"/>
    <w:rsid w:val="00C22A73"/>
    <w:rsid w:val="00C22ED6"/>
    <w:rsid w:val="00C23D8D"/>
    <w:rsid w:val="00C249A9"/>
    <w:rsid w:val="00C24DE5"/>
    <w:rsid w:val="00C27291"/>
    <w:rsid w:val="00C32085"/>
    <w:rsid w:val="00C40B5E"/>
    <w:rsid w:val="00C4277C"/>
    <w:rsid w:val="00C4478E"/>
    <w:rsid w:val="00C47D61"/>
    <w:rsid w:val="00C50526"/>
    <w:rsid w:val="00C522F0"/>
    <w:rsid w:val="00C56E38"/>
    <w:rsid w:val="00C57711"/>
    <w:rsid w:val="00C7153C"/>
    <w:rsid w:val="00C731DE"/>
    <w:rsid w:val="00C73235"/>
    <w:rsid w:val="00C73F53"/>
    <w:rsid w:val="00C80103"/>
    <w:rsid w:val="00C849E4"/>
    <w:rsid w:val="00C93252"/>
    <w:rsid w:val="00C933B1"/>
    <w:rsid w:val="00C963C9"/>
    <w:rsid w:val="00CA38AB"/>
    <w:rsid w:val="00CA5B11"/>
    <w:rsid w:val="00CA7911"/>
    <w:rsid w:val="00CB4E90"/>
    <w:rsid w:val="00CB5EA8"/>
    <w:rsid w:val="00CB733E"/>
    <w:rsid w:val="00CC4852"/>
    <w:rsid w:val="00CC5A6D"/>
    <w:rsid w:val="00CC6414"/>
    <w:rsid w:val="00CD575B"/>
    <w:rsid w:val="00CE23F6"/>
    <w:rsid w:val="00CE39CE"/>
    <w:rsid w:val="00CE3DA1"/>
    <w:rsid w:val="00CE4664"/>
    <w:rsid w:val="00CF0FE4"/>
    <w:rsid w:val="00CF724D"/>
    <w:rsid w:val="00D0235F"/>
    <w:rsid w:val="00D0455C"/>
    <w:rsid w:val="00D070D2"/>
    <w:rsid w:val="00D121B6"/>
    <w:rsid w:val="00D14062"/>
    <w:rsid w:val="00D147EE"/>
    <w:rsid w:val="00D14F85"/>
    <w:rsid w:val="00D17178"/>
    <w:rsid w:val="00D20A21"/>
    <w:rsid w:val="00D21648"/>
    <w:rsid w:val="00D2397A"/>
    <w:rsid w:val="00D2476F"/>
    <w:rsid w:val="00D26828"/>
    <w:rsid w:val="00D26FE4"/>
    <w:rsid w:val="00D32B86"/>
    <w:rsid w:val="00D332CE"/>
    <w:rsid w:val="00D3585D"/>
    <w:rsid w:val="00D36537"/>
    <w:rsid w:val="00D37240"/>
    <w:rsid w:val="00D4136D"/>
    <w:rsid w:val="00D41FEC"/>
    <w:rsid w:val="00D43094"/>
    <w:rsid w:val="00D44D49"/>
    <w:rsid w:val="00D46833"/>
    <w:rsid w:val="00D50025"/>
    <w:rsid w:val="00D54438"/>
    <w:rsid w:val="00D56041"/>
    <w:rsid w:val="00D565EE"/>
    <w:rsid w:val="00D56AD5"/>
    <w:rsid w:val="00D60BB7"/>
    <w:rsid w:val="00D617FF"/>
    <w:rsid w:val="00D7305A"/>
    <w:rsid w:val="00D81208"/>
    <w:rsid w:val="00D839A2"/>
    <w:rsid w:val="00D850F8"/>
    <w:rsid w:val="00D903CA"/>
    <w:rsid w:val="00D9222B"/>
    <w:rsid w:val="00D95EBE"/>
    <w:rsid w:val="00D95F01"/>
    <w:rsid w:val="00D96676"/>
    <w:rsid w:val="00DA0E5D"/>
    <w:rsid w:val="00DA17BB"/>
    <w:rsid w:val="00DA1B9F"/>
    <w:rsid w:val="00DA3E45"/>
    <w:rsid w:val="00DA6C32"/>
    <w:rsid w:val="00DB0F9E"/>
    <w:rsid w:val="00DB4ACB"/>
    <w:rsid w:val="00DB7D67"/>
    <w:rsid w:val="00DC0E71"/>
    <w:rsid w:val="00DC2EFA"/>
    <w:rsid w:val="00DC493D"/>
    <w:rsid w:val="00DC5D15"/>
    <w:rsid w:val="00DC6A14"/>
    <w:rsid w:val="00DC6D4D"/>
    <w:rsid w:val="00DD1E42"/>
    <w:rsid w:val="00DD2E9B"/>
    <w:rsid w:val="00DD3695"/>
    <w:rsid w:val="00DE1FF3"/>
    <w:rsid w:val="00DE5645"/>
    <w:rsid w:val="00DE59C0"/>
    <w:rsid w:val="00DE5F60"/>
    <w:rsid w:val="00DE7CC1"/>
    <w:rsid w:val="00DF032F"/>
    <w:rsid w:val="00DF13BF"/>
    <w:rsid w:val="00DF21D4"/>
    <w:rsid w:val="00DF248A"/>
    <w:rsid w:val="00DF650B"/>
    <w:rsid w:val="00DF6540"/>
    <w:rsid w:val="00DF68F0"/>
    <w:rsid w:val="00E01EE5"/>
    <w:rsid w:val="00E033C4"/>
    <w:rsid w:val="00E042EF"/>
    <w:rsid w:val="00E074BE"/>
    <w:rsid w:val="00E079B2"/>
    <w:rsid w:val="00E1275C"/>
    <w:rsid w:val="00E13339"/>
    <w:rsid w:val="00E139A6"/>
    <w:rsid w:val="00E14657"/>
    <w:rsid w:val="00E206C4"/>
    <w:rsid w:val="00E21104"/>
    <w:rsid w:val="00E214FB"/>
    <w:rsid w:val="00E22E20"/>
    <w:rsid w:val="00E230CE"/>
    <w:rsid w:val="00E24DD6"/>
    <w:rsid w:val="00E27E5E"/>
    <w:rsid w:val="00E36271"/>
    <w:rsid w:val="00E375AE"/>
    <w:rsid w:val="00E41205"/>
    <w:rsid w:val="00E42962"/>
    <w:rsid w:val="00E4470F"/>
    <w:rsid w:val="00E45F82"/>
    <w:rsid w:val="00E52789"/>
    <w:rsid w:val="00E6298A"/>
    <w:rsid w:val="00E63C73"/>
    <w:rsid w:val="00E67AA3"/>
    <w:rsid w:val="00E703E5"/>
    <w:rsid w:val="00E70588"/>
    <w:rsid w:val="00E70A43"/>
    <w:rsid w:val="00E71333"/>
    <w:rsid w:val="00E71494"/>
    <w:rsid w:val="00E75ADF"/>
    <w:rsid w:val="00E813BD"/>
    <w:rsid w:val="00E833FC"/>
    <w:rsid w:val="00E836C1"/>
    <w:rsid w:val="00E85EB9"/>
    <w:rsid w:val="00E929B3"/>
    <w:rsid w:val="00E935DA"/>
    <w:rsid w:val="00E9585D"/>
    <w:rsid w:val="00E96A6E"/>
    <w:rsid w:val="00EA080A"/>
    <w:rsid w:val="00EA1779"/>
    <w:rsid w:val="00EA1D95"/>
    <w:rsid w:val="00EA2422"/>
    <w:rsid w:val="00EA414B"/>
    <w:rsid w:val="00EA42B1"/>
    <w:rsid w:val="00EA4391"/>
    <w:rsid w:val="00EA540A"/>
    <w:rsid w:val="00EA55D8"/>
    <w:rsid w:val="00EA6B4A"/>
    <w:rsid w:val="00EB096F"/>
    <w:rsid w:val="00EB62B0"/>
    <w:rsid w:val="00EB6322"/>
    <w:rsid w:val="00EB7386"/>
    <w:rsid w:val="00EB7BD7"/>
    <w:rsid w:val="00EC08E9"/>
    <w:rsid w:val="00EC5900"/>
    <w:rsid w:val="00ED13B1"/>
    <w:rsid w:val="00ED1DE6"/>
    <w:rsid w:val="00ED2CA5"/>
    <w:rsid w:val="00ED4DEE"/>
    <w:rsid w:val="00ED7188"/>
    <w:rsid w:val="00EE29F2"/>
    <w:rsid w:val="00EE430C"/>
    <w:rsid w:val="00EE53D4"/>
    <w:rsid w:val="00EE6806"/>
    <w:rsid w:val="00EF1C76"/>
    <w:rsid w:val="00EF33D5"/>
    <w:rsid w:val="00EF378C"/>
    <w:rsid w:val="00EF4FE5"/>
    <w:rsid w:val="00EF690C"/>
    <w:rsid w:val="00F00F42"/>
    <w:rsid w:val="00F05A71"/>
    <w:rsid w:val="00F078DB"/>
    <w:rsid w:val="00F079CC"/>
    <w:rsid w:val="00F1046A"/>
    <w:rsid w:val="00F123E9"/>
    <w:rsid w:val="00F1246F"/>
    <w:rsid w:val="00F16C27"/>
    <w:rsid w:val="00F17CE2"/>
    <w:rsid w:val="00F23909"/>
    <w:rsid w:val="00F26CB8"/>
    <w:rsid w:val="00F34707"/>
    <w:rsid w:val="00F36FB3"/>
    <w:rsid w:val="00F37D6F"/>
    <w:rsid w:val="00F46636"/>
    <w:rsid w:val="00F50D79"/>
    <w:rsid w:val="00F54EDE"/>
    <w:rsid w:val="00F6132A"/>
    <w:rsid w:val="00F629B4"/>
    <w:rsid w:val="00F67289"/>
    <w:rsid w:val="00F7054B"/>
    <w:rsid w:val="00F72ADD"/>
    <w:rsid w:val="00F77AF9"/>
    <w:rsid w:val="00F81BBA"/>
    <w:rsid w:val="00F84A49"/>
    <w:rsid w:val="00F8532C"/>
    <w:rsid w:val="00F8744D"/>
    <w:rsid w:val="00F91650"/>
    <w:rsid w:val="00F91C8E"/>
    <w:rsid w:val="00FA0B16"/>
    <w:rsid w:val="00FA137F"/>
    <w:rsid w:val="00FA18C8"/>
    <w:rsid w:val="00FA2AA5"/>
    <w:rsid w:val="00FA3C51"/>
    <w:rsid w:val="00FB0F6F"/>
    <w:rsid w:val="00FB33EF"/>
    <w:rsid w:val="00FB4EF3"/>
    <w:rsid w:val="00FC08F9"/>
    <w:rsid w:val="00FC3C35"/>
    <w:rsid w:val="00FC494C"/>
    <w:rsid w:val="00FC5478"/>
    <w:rsid w:val="00FD2BCF"/>
    <w:rsid w:val="00FD3878"/>
    <w:rsid w:val="00FD6C03"/>
    <w:rsid w:val="00FE4041"/>
    <w:rsid w:val="00FE5357"/>
    <w:rsid w:val="00FF2AC7"/>
    <w:rsid w:val="00FF3820"/>
    <w:rsid w:val="00FF4447"/>
    <w:rsid w:val="00FF4D2C"/>
    <w:rsid w:val="00FF6F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2458E"/>
    <w:pPr>
      <w:spacing w:after="0"/>
    </w:pPr>
    <w:rPr>
      <w:rFonts w:ascii="Times New Roman" w:eastAsia="Times New Roman" w:hAnsi="Times New Roman" w:cs="Times New Roman"/>
      <w:sz w:val="24"/>
      <w:szCs w:val="24"/>
      <w:lang w:val="en-US"/>
    </w:rPr>
  </w:style>
  <w:style w:type="paragraph" w:styleId="berschrift3">
    <w:name w:val="heading 3"/>
    <w:basedOn w:val="Standard"/>
    <w:next w:val="Standard"/>
    <w:link w:val="berschrift3Zchn"/>
    <w:uiPriority w:val="9"/>
    <w:semiHidden/>
    <w:unhideWhenUsed/>
    <w:qFormat/>
    <w:rsid w:val="00961411"/>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qFormat/>
    <w:rsid w:val="0042458E"/>
    <w:pPr>
      <w:keepNext/>
      <w:keepLines/>
      <w:spacing w:before="320" w:after="240"/>
      <w:outlineLvl w:val="3"/>
    </w:pPr>
    <w:rPr>
      <w:rFonts w:ascii="Cambria" w:eastAsia="MS Gothic" w:hAnsi="Cambria"/>
      <w:b/>
      <w:bCs/>
      <w:i/>
      <w:iCs/>
      <w:color w:val="4F81BD"/>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rsid w:val="0042458E"/>
    <w:rPr>
      <w:rFonts w:ascii="Cambria" w:eastAsia="MS Gothic" w:hAnsi="Cambria" w:cs="Times New Roman"/>
      <w:b/>
      <w:bCs/>
      <w:i/>
      <w:iCs/>
      <w:color w:val="4F81BD"/>
      <w:sz w:val="24"/>
      <w:szCs w:val="24"/>
      <w:lang w:val="en-US" w:eastAsia="de-DE"/>
    </w:rPr>
  </w:style>
  <w:style w:type="paragraph" w:styleId="Funotentext">
    <w:name w:val="footnote text"/>
    <w:basedOn w:val="Standard"/>
    <w:link w:val="FunotentextZchn"/>
    <w:rsid w:val="0042458E"/>
    <w:rPr>
      <w:sz w:val="20"/>
      <w:szCs w:val="20"/>
    </w:rPr>
  </w:style>
  <w:style w:type="character" w:customStyle="1" w:styleId="FunotentextZchn">
    <w:name w:val="Fußnotentext Zchn"/>
    <w:basedOn w:val="Absatz-Standardschriftart"/>
    <w:link w:val="Funotentext"/>
    <w:rsid w:val="0042458E"/>
    <w:rPr>
      <w:rFonts w:ascii="Times New Roman" w:eastAsia="Times New Roman" w:hAnsi="Times New Roman" w:cs="Times New Roman"/>
      <w:sz w:val="20"/>
      <w:szCs w:val="20"/>
      <w:lang w:val="en-US"/>
    </w:rPr>
  </w:style>
  <w:style w:type="character" w:styleId="Funotenzeichen">
    <w:name w:val="footnote reference"/>
    <w:rsid w:val="0042458E"/>
    <w:rPr>
      <w:vertAlign w:val="superscript"/>
    </w:rPr>
  </w:style>
  <w:style w:type="paragraph" w:styleId="Sprechblasentext">
    <w:name w:val="Balloon Text"/>
    <w:basedOn w:val="Standard"/>
    <w:link w:val="SprechblasentextZchn"/>
    <w:uiPriority w:val="99"/>
    <w:semiHidden/>
    <w:unhideWhenUsed/>
    <w:rsid w:val="00AC062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0628"/>
    <w:rPr>
      <w:rFonts w:ascii="Tahoma" w:eastAsia="Times New Roman" w:hAnsi="Tahoma" w:cs="Tahoma"/>
      <w:sz w:val="16"/>
      <w:szCs w:val="16"/>
      <w:lang w:val="en-US"/>
    </w:rPr>
  </w:style>
  <w:style w:type="paragraph" w:styleId="Kopfzeile">
    <w:name w:val="header"/>
    <w:basedOn w:val="Standard"/>
    <w:link w:val="KopfzeileZchn"/>
    <w:uiPriority w:val="99"/>
    <w:unhideWhenUsed/>
    <w:rsid w:val="00061AE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61AE6"/>
    <w:rPr>
      <w:rFonts w:ascii="Times New Roman" w:eastAsia="Times New Roman" w:hAnsi="Times New Roman" w:cs="Times New Roman"/>
      <w:sz w:val="24"/>
      <w:szCs w:val="24"/>
      <w:lang w:val="en-US"/>
    </w:rPr>
  </w:style>
  <w:style w:type="paragraph" w:styleId="Fuzeile">
    <w:name w:val="footer"/>
    <w:basedOn w:val="Standard"/>
    <w:link w:val="FuzeileZchn"/>
    <w:uiPriority w:val="99"/>
    <w:unhideWhenUsed/>
    <w:rsid w:val="00061AE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61AE6"/>
    <w:rPr>
      <w:rFonts w:ascii="Times New Roman" w:eastAsia="Times New Roman" w:hAnsi="Times New Roman" w:cs="Times New Roman"/>
      <w:sz w:val="24"/>
      <w:szCs w:val="24"/>
      <w:lang w:val="en-US"/>
    </w:rPr>
  </w:style>
  <w:style w:type="character" w:styleId="Kommentarzeichen">
    <w:name w:val="annotation reference"/>
    <w:basedOn w:val="Absatz-Standardschriftart"/>
    <w:uiPriority w:val="99"/>
    <w:semiHidden/>
    <w:unhideWhenUsed/>
    <w:rsid w:val="00CC5A6D"/>
    <w:rPr>
      <w:sz w:val="16"/>
      <w:szCs w:val="16"/>
    </w:rPr>
  </w:style>
  <w:style w:type="paragraph" w:styleId="Kommentartext">
    <w:name w:val="annotation text"/>
    <w:basedOn w:val="Standard"/>
    <w:link w:val="KommentartextZchn"/>
    <w:uiPriority w:val="99"/>
    <w:semiHidden/>
    <w:unhideWhenUsed/>
    <w:rsid w:val="00CC5A6D"/>
    <w:pPr>
      <w:spacing w:after="200" w:line="240" w:lineRule="auto"/>
    </w:pPr>
    <w:rPr>
      <w:rFonts w:asciiTheme="minorHAnsi" w:eastAsiaTheme="minorHAnsi" w:hAnsiTheme="minorHAnsi" w:cstheme="minorBidi"/>
      <w:sz w:val="20"/>
      <w:szCs w:val="20"/>
      <w:lang w:val="de-DE"/>
    </w:rPr>
  </w:style>
  <w:style w:type="character" w:customStyle="1" w:styleId="KommentartextZchn">
    <w:name w:val="Kommentartext Zchn"/>
    <w:basedOn w:val="Absatz-Standardschriftart"/>
    <w:link w:val="Kommentartext"/>
    <w:uiPriority w:val="99"/>
    <w:semiHidden/>
    <w:rsid w:val="00CC5A6D"/>
    <w:rPr>
      <w:sz w:val="20"/>
      <w:szCs w:val="20"/>
    </w:rPr>
  </w:style>
  <w:style w:type="character" w:styleId="Platzhaltertext">
    <w:name w:val="Placeholder Text"/>
    <w:basedOn w:val="Absatz-Standardschriftart"/>
    <w:uiPriority w:val="99"/>
    <w:semiHidden/>
    <w:rsid w:val="001465F4"/>
    <w:rPr>
      <w:color w:val="808080"/>
    </w:rPr>
  </w:style>
  <w:style w:type="table" w:styleId="Tabellenraster">
    <w:name w:val="Table Grid"/>
    <w:basedOn w:val="NormaleTabelle"/>
    <w:uiPriority w:val="59"/>
    <w:rsid w:val="00C22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84C6E"/>
    <w:rPr>
      <w:color w:val="0000FF"/>
      <w:u w:val="single"/>
    </w:rPr>
  </w:style>
  <w:style w:type="paragraph" w:customStyle="1" w:styleId="EndNoteBibliographyTitle">
    <w:name w:val="EndNote Bibliography Title"/>
    <w:basedOn w:val="Standard"/>
    <w:link w:val="EndNoteBibliographyTitleChar"/>
    <w:rsid w:val="00CA38AB"/>
    <w:pPr>
      <w:jc w:val="center"/>
    </w:pPr>
    <w:rPr>
      <w:noProof/>
    </w:rPr>
  </w:style>
  <w:style w:type="character" w:customStyle="1" w:styleId="EndNoteBibliographyTitleChar">
    <w:name w:val="EndNote Bibliography Title Char"/>
    <w:basedOn w:val="Absatz-Standardschriftart"/>
    <w:link w:val="EndNoteBibliographyTitle"/>
    <w:rsid w:val="00CA38AB"/>
    <w:rPr>
      <w:rFonts w:ascii="Times New Roman" w:eastAsia="Times New Roman" w:hAnsi="Times New Roman" w:cs="Times New Roman"/>
      <w:noProof/>
      <w:sz w:val="24"/>
      <w:szCs w:val="24"/>
      <w:lang w:val="en-US"/>
    </w:rPr>
  </w:style>
  <w:style w:type="paragraph" w:customStyle="1" w:styleId="EndNoteBibliography">
    <w:name w:val="EndNote Bibliography"/>
    <w:basedOn w:val="Standard"/>
    <w:link w:val="EndNoteBibliographyChar"/>
    <w:rsid w:val="00CA38AB"/>
    <w:pPr>
      <w:spacing w:line="480" w:lineRule="auto"/>
    </w:pPr>
    <w:rPr>
      <w:noProof/>
    </w:rPr>
  </w:style>
  <w:style w:type="character" w:customStyle="1" w:styleId="EndNoteBibliographyChar">
    <w:name w:val="EndNote Bibliography Char"/>
    <w:basedOn w:val="Absatz-Standardschriftart"/>
    <w:link w:val="EndNoteBibliography"/>
    <w:rsid w:val="00CA38AB"/>
    <w:rPr>
      <w:rFonts w:ascii="Times New Roman" w:eastAsia="Times New Roman" w:hAnsi="Times New Roman" w:cs="Times New Roman"/>
      <w:noProof/>
      <w:sz w:val="24"/>
      <w:szCs w:val="24"/>
      <w:lang w:val="en-US"/>
    </w:rPr>
  </w:style>
  <w:style w:type="paragraph" w:styleId="Listenabsatz">
    <w:name w:val="List Paragraph"/>
    <w:basedOn w:val="Standard"/>
    <w:uiPriority w:val="34"/>
    <w:qFormat/>
    <w:rsid w:val="008C5E7C"/>
    <w:pPr>
      <w:ind w:left="720"/>
      <w:contextualSpacing/>
    </w:pPr>
  </w:style>
  <w:style w:type="paragraph" w:styleId="Kommentarthema">
    <w:name w:val="annotation subject"/>
    <w:basedOn w:val="Kommentartext"/>
    <w:next w:val="Kommentartext"/>
    <w:link w:val="KommentarthemaZchn"/>
    <w:uiPriority w:val="99"/>
    <w:semiHidden/>
    <w:unhideWhenUsed/>
    <w:rsid w:val="00E14657"/>
    <w:pPr>
      <w:spacing w:after="0"/>
    </w:pPr>
    <w:rPr>
      <w:rFonts w:ascii="Times New Roman" w:eastAsia="Times New Roman" w:hAnsi="Times New Roman" w:cs="Times New Roman"/>
      <w:b/>
      <w:bCs/>
      <w:lang w:val="en-US"/>
    </w:rPr>
  </w:style>
  <w:style w:type="character" w:customStyle="1" w:styleId="KommentarthemaZchn">
    <w:name w:val="Kommentarthema Zchn"/>
    <w:basedOn w:val="KommentartextZchn"/>
    <w:link w:val="Kommentarthema"/>
    <w:uiPriority w:val="99"/>
    <w:semiHidden/>
    <w:rsid w:val="00E14657"/>
    <w:rPr>
      <w:rFonts w:ascii="Times New Roman" w:eastAsia="Times New Roman" w:hAnsi="Times New Roman" w:cs="Times New Roman"/>
      <w:b/>
      <w:bCs/>
      <w:sz w:val="20"/>
      <w:szCs w:val="20"/>
      <w:lang w:val="en-US"/>
    </w:rPr>
  </w:style>
  <w:style w:type="paragraph" w:styleId="Textkrper">
    <w:name w:val="Body Text"/>
    <w:aliases w:val="本文 Char1,本文 Char Char,本文 Char"/>
    <w:basedOn w:val="Standard"/>
    <w:link w:val="TextkrperZchn"/>
    <w:uiPriority w:val="99"/>
    <w:rsid w:val="007964FE"/>
    <w:pPr>
      <w:spacing w:line="288" w:lineRule="auto"/>
    </w:pPr>
    <w:rPr>
      <w:sz w:val="20"/>
    </w:rPr>
  </w:style>
  <w:style w:type="character" w:customStyle="1" w:styleId="TextkrperZchn">
    <w:name w:val="Textkörper Zchn"/>
    <w:aliases w:val="本文 Char1 Zchn,本文 Char Char Zchn,本文 Char Zchn"/>
    <w:basedOn w:val="Absatz-Standardschriftart"/>
    <w:link w:val="Textkrper"/>
    <w:uiPriority w:val="99"/>
    <w:rsid w:val="007964FE"/>
    <w:rPr>
      <w:rFonts w:ascii="Times New Roman" w:eastAsia="Times New Roman" w:hAnsi="Times New Roman" w:cs="Times New Roman"/>
      <w:sz w:val="20"/>
      <w:szCs w:val="24"/>
      <w:lang w:val="en-US"/>
    </w:rPr>
  </w:style>
  <w:style w:type="character" w:customStyle="1" w:styleId="berschrift3Zchn">
    <w:name w:val="Überschrift 3 Zchn"/>
    <w:basedOn w:val="Absatz-Standardschriftart"/>
    <w:link w:val="berschrift3"/>
    <w:uiPriority w:val="9"/>
    <w:semiHidden/>
    <w:rsid w:val="00961411"/>
    <w:rPr>
      <w:rFonts w:asciiTheme="majorHAnsi" w:eastAsiaTheme="majorEastAsia" w:hAnsiTheme="majorHAnsi" w:cstheme="majorBidi"/>
      <w:b/>
      <w:bCs/>
      <w:color w:val="4F81BD" w:themeColor="accent1"/>
      <w:sz w:val="24"/>
      <w:szCs w:val="24"/>
      <w:lang w:val="en-US"/>
    </w:rPr>
  </w:style>
  <w:style w:type="paragraph" w:customStyle="1" w:styleId="BulletNormal">
    <w:name w:val="Bullet Normal"/>
    <w:basedOn w:val="Standard"/>
    <w:uiPriority w:val="99"/>
    <w:rsid w:val="00961411"/>
    <w:pPr>
      <w:tabs>
        <w:tab w:val="num" w:pos="576"/>
      </w:tabs>
      <w:spacing w:after="240" w:line="288" w:lineRule="auto"/>
      <w:ind w:left="576" w:hanging="432"/>
    </w:pPr>
    <w:rPr>
      <w:szCs w:val="20"/>
    </w:rPr>
  </w:style>
  <w:style w:type="paragraph" w:styleId="berarbeitung">
    <w:name w:val="Revision"/>
    <w:hidden/>
    <w:uiPriority w:val="99"/>
    <w:semiHidden/>
    <w:rsid w:val="008C603F"/>
    <w:pPr>
      <w:spacing w:after="0" w:line="240" w:lineRule="auto"/>
    </w:pPr>
    <w:rPr>
      <w:rFonts w:ascii="Times New Roman" w:eastAsia="Times New Roman" w:hAnsi="Times New Roman" w:cs="Times New Roman"/>
      <w:sz w:val="24"/>
      <w:szCs w:val="24"/>
      <w:lang w:val="en-US"/>
    </w:rPr>
  </w:style>
  <w:style w:type="character" w:styleId="BesuchterHyperlink">
    <w:name w:val="FollowedHyperlink"/>
    <w:basedOn w:val="Absatz-Standardschriftart"/>
    <w:uiPriority w:val="99"/>
    <w:semiHidden/>
    <w:unhideWhenUsed/>
    <w:rsid w:val="00004DA9"/>
    <w:rPr>
      <w:color w:val="800080" w:themeColor="followedHyperlink"/>
      <w:u w:val="single"/>
    </w:rPr>
  </w:style>
  <w:style w:type="character" w:styleId="Zeilennummer">
    <w:name w:val="line number"/>
    <w:basedOn w:val="Absatz-Standardschriftart"/>
    <w:uiPriority w:val="99"/>
    <w:semiHidden/>
    <w:unhideWhenUsed/>
    <w:rsid w:val="00B34F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2458E"/>
    <w:pPr>
      <w:spacing w:after="0"/>
    </w:pPr>
    <w:rPr>
      <w:rFonts w:ascii="Times New Roman" w:eastAsia="Times New Roman" w:hAnsi="Times New Roman" w:cs="Times New Roman"/>
      <w:sz w:val="24"/>
      <w:szCs w:val="24"/>
      <w:lang w:val="en-US"/>
    </w:rPr>
  </w:style>
  <w:style w:type="paragraph" w:styleId="berschrift3">
    <w:name w:val="heading 3"/>
    <w:basedOn w:val="Standard"/>
    <w:next w:val="Standard"/>
    <w:link w:val="berschrift3Zchn"/>
    <w:uiPriority w:val="9"/>
    <w:semiHidden/>
    <w:unhideWhenUsed/>
    <w:qFormat/>
    <w:rsid w:val="00961411"/>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qFormat/>
    <w:rsid w:val="0042458E"/>
    <w:pPr>
      <w:keepNext/>
      <w:keepLines/>
      <w:spacing w:before="320" w:after="240"/>
      <w:outlineLvl w:val="3"/>
    </w:pPr>
    <w:rPr>
      <w:rFonts w:ascii="Cambria" w:eastAsia="MS Gothic" w:hAnsi="Cambria"/>
      <w:b/>
      <w:bCs/>
      <w:i/>
      <w:iCs/>
      <w:color w:val="4F81BD"/>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rsid w:val="0042458E"/>
    <w:rPr>
      <w:rFonts w:ascii="Cambria" w:eastAsia="MS Gothic" w:hAnsi="Cambria" w:cs="Times New Roman"/>
      <w:b/>
      <w:bCs/>
      <w:i/>
      <w:iCs/>
      <w:color w:val="4F81BD"/>
      <w:sz w:val="24"/>
      <w:szCs w:val="24"/>
      <w:lang w:val="en-US" w:eastAsia="de-DE"/>
    </w:rPr>
  </w:style>
  <w:style w:type="paragraph" w:styleId="Funotentext">
    <w:name w:val="footnote text"/>
    <w:basedOn w:val="Standard"/>
    <w:link w:val="FunotentextZchn"/>
    <w:rsid w:val="0042458E"/>
    <w:rPr>
      <w:sz w:val="20"/>
      <w:szCs w:val="20"/>
    </w:rPr>
  </w:style>
  <w:style w:type="character" w:customStyle="1" w:styleId="FunotentextZchn">
    <w:name w:val="Fußnotentext Zchn"/>
    <w:basedOn w:val="Absatz-Standardschriftart"/>
    <w:link w:val="Funotentext"/>
    <w:rsid w:val="0042458E"/>
    <w:rPr>
      <w:rFonts w:ascii="Times New Roman" w:eastAsia="Times New Roman" w:hAnsi="Times New Roman" w:cs="Times New Roman"/>
      <w:sz w:val="20"/>
      <w:szCs w:val="20"/>
      <w:lang w:val="en-US"/>
    </w:rPr>
  </w:style>
  <w:style w:type="character" w:styleId="Funotenzeichen">
    <w:name w:val="footnote reference"/>
    <w:rsid w:val="0042458E"/>
    <w:rPr>
      <w:vertAlign w:val="superscript"/>
    </w:rPr>
  </w:style>
  <w:style w:type="paragraph" w:styleId="Sprechblasentext">
    <w:name w:val="Balloon Text"/>
    <w:basedOn w:val="Standard"/>
    <w:link w:val="SprechblasentextZchn"/>
    <w:uiPriority w:val="99"/>
    <w:semiHidden/>
    <w:unhideWhenUsed/>
    <w:rsid w:val="00AC062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0628"/>
    <w:rPr>
      <w:rFonts w:ascii="Tahoma" w:eastAsia="Times New Roman" w:hAnsi="Tahoma" w:cs="Tahoma"/>
      <w:sz w:val="16"/>
      <w:szCs w:val="16"/>
      <w:lang w:val="en-US"/>
    </w:rPr>
  </w:style>
  <w:style w:type="paragraph" w:styleId="Kopfzeile">
    <w:name w:val="header"/>
    <w:basedOn w:val="Standard"/>
    <w:link w:val="KopfzeileZchn"/>
    <w:uiPriority w:val="99"/>
    <w:unhideWhenUsed/>
    <w:rsid w:val="00061AE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61AE6"/>
    <w:rPr>
      <w:rFonts w:ascii="Times New Roman" w:eastAsia="Times New Roman" w:hAnsi="Times New Roman" w:cs="Times New Roman"/>
      <w:sz w:val="24"/>
      <w:szCs w:val="24"/>
      <w:lang w:val="en-US"/>
    </w:rPr>
  </w:style>
  <w:style w:type="paragraph" w:styleId="Fuzeile">
    <w:name w:val="footer"/>
    <w:basedOn w:val="Standard"/>
    <w:link w:val="FuzeileZchn"/>
    <w:uiPriority w:val="99"/>
    <w:unhideWhenUsed/>
    <w:rsid w:val="00061AE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61AE6"/>
    <w:rPr>
      <w:rFonts w:ascii="Times New Roman" w:eastAsia="Times New Roman" w:hAnsi="Times New Roman" w:cs="Times New Roman"/>
      <w:sz w:val="24"/>
      <w:szCs w:val="24"/>
      <w:lang w:val="en-US"/>
    </w:rPr>
  </w:style>
  <w:style w:type="character" w:styleId="Kommentarzeichen">
    <w:name w:val="annotation reference"/>
    <w:basedOn w:val="Absatz-Standardschriftart"/>
    <w:uiPriority w:val="99"/>
    <w:semiHidden/>
    <w:unhideWhenUsed/>
    <w:rsid w:val="00CC5A6D"/>
    <w:rPr>
      <w:sz w:val="16"/>
      <w:szCs w:val="16"/>
    </w:rPr>
  </w:style>
  <w:style w:type="paragraph" w:styleId="Kommentartext">
    <w:name w:val="annotation text"/>
    <w:basedOn w:val="Standard"/>
    <w:link w:val="KommentartextZchn"/>
    <w:uiPriority w:val="99"/>
    <w:semiHidden/>
    <w:unhideWhenUsed/>
    <w:rsid w:val="00CC5A6D"/>
    <w:pPr>
      <w:spacing w:after="200" w:line="240" w:lineRule="auto"/>
    </w:pPr>
    <w:rPr>
      <w:rFonts w:asciiTheme="minorHAnsi" w:eastAsiaTheme="minorHAnsi" w:hAnsiTheme="minorHAnsi" w:cstheme="minorBidi"/>
      <w:sz w:val="20"/>
      <w:szCs w:val="20"/>
      <w:lang w:val="de-DE"/>
    </w:rPr>
  </w:style>
  <w:style w:type="character" w:customStyle="1" w:styleId="KommentartextZchn">
    <w:name w:val="Kommentartext Zchn"/>
    <w:basedOn w:val="Absatz-Standardschriftart"/>
    <w:link w:val="Kommentartext"/>
    <w:uiPriority w:val="99"/>
    <w:semiHidden/>
    <w:rsid w:val="00CC5A6D"/>
    <w:rPr>
      <w:sz w:val="20"/>
      <w:szCs w:val="20"/>
    </w:rPr>
  </w:style>
  <w:style w:type="character" w:styleId="Platzhaltertext">
    <w:name w:val="Placeholder Text"/>
    <w:basedOn w:val="Absatz-Standardschriftart"/>
    <w:uiPriority w:val="99"/>
    <w:semiHidden/>
    <w:rsid w:val="001465F4"/>
    <w:rPr>
      <w:color w:val="808080"/>
    </w:rPr>
  </w:style>
  <w:style w:type="table" w:styleId="Tabellenraster">
    <w:name w:val="Table Grid"/>
    <w:basedOn w:val="NormaleTabelle"/>
    <w:uiPriority w:val="59"/>
    <w:rsid w:val="00C22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84C6E"/>
    <w:rPr>
      <w:color w:val="0000FF"/>
      <w:u w:val="single"/>
    </w:rPr>
  </w:style>
  <w:style w:type="paragraph" w:customStyle="1" w:styleId="EndNoteBibliographyTitle">
    <w:name w:val="EndNote Bibliography Title"/>
    <w:basedOn w:val="Standard"/>
    <w:link w:val="EndNoteBibliographyTitleChar"/>
    <w:rsid w:val="00CA38AB"/>
    <w:pPr>
      <w:jc w:val="center"/>
    </w:pPr>
    <w:rPr>
      <w:noProof/>
    </w:rPr>
  </w:style>
  <w:style w:type="character" w:customStyle="1" w:styleId="EndNoteBibliographyTitleChar">
    <w:name w:val="EndNote Bibliography Title Char"/>
    <w:basedOn w:val="Absatz-Standardschriftart"/>
    <w:link w:val="EndNoteBibliographyTitle"/>
    <w:rsid w:val="00CA38AB"/>
    <w:rPr>
      <w:rFonts w:ascii="Times New Roman" w:eastAsia="Times New Roman" w:hAnsi="Times New Roman" w:cs="Times New Roman"/>
      <w:noProof/>
      <w:sz w:val="24"/>
      <w:szCs w:val="24"/>
      <w:lang w:val="en-US"/>
    </w:rPr>
  </w:style>
  <w:style w:type="paragraph" w:customStyle="1" w:styleId="EndNoteBibliography">
    <w:name w:val="EndNote Bibliography"/>
    <w:basedOn w:val="Standard"/>
    <w:link w:val="EndNoteBibliographyChar"/>
    <w:rsid w:val="00CA38AB"/>
    <w:pPr>
      <w:spacing w:line="480" w:lineRule="auto"/>
    </w:pPr>
    <w:rPr>
      <w:noProof/>
    </w:rPr>
  </w:style>
  <w:style w:type="character" w:customStyle="1" w:styleId="EndNoteBibliographyChar">
    <w:name w:val="EndNote Bibliography Char"/>
    <w:basedOn w:val="Absatz-Standardschriftart"/>
    <w:link w:val="EndNoteBibliography"/>
    <w:rsid w:val="00CA38AB"/>
    <w:rPr>
      <w:rFonts w:ascii="Times New Roman" w:eastAsia="Times New Roman" w:hAnsi="Times New Roman" w:cs="Times New Roman"/>
      <w:noProof/>
      <w:sz w:val="24"/>
      <w:szCs w:val="24"/>
      <w:lang w:val="en-US"/>
    </w:rPr>
  </w:style>
  <w:style w:type="paragraph" w:styleId="Listenabsatz">
    <w:name w:val="List Paragraph"/>
    <w:basedOn w:val="Standard"/>
    <w:uiPriority w:val="34"/>
    <w:qFormat/>
    <w:rsid w:val="008C5E7C"/>
    <w:pPr>
      <w:ind w:left="720"/>
      <w:contextualSpacing/>
    </w:pPr>
  </w:style>
  <w:style w:type="paragraph" w:styleId="Kommentarthema">
    <w:name w:val="annotation subject"/>
    <w:basedOn w:val="Kommentartext"/>
    <w:next w:val="Kommentartext"/>
    <w:link w:val="KommentarthemaZchn"/>
    <w:uiPriority w:val="99"/>
    <w:semiHidden/>
    <w:unhideWhenUsed/>
    <w:rsid w:val="00E14657"/>
    <w:pPr>
      <w:spacing w:after="0"/>
    </w:pPr>
    <w:rPr>
      <w:rFonts w:ascii="Times New Roman" w:eastAsia="Times New Roman" w:hAnsi="Times New Roman" w:cs="Times New Roman"/>
      <w:b/>
      <w:bCs/>
      <w:lang w:val="en-US"/>
    </w:rPr>
  </w:style>
  <w:style w:type="character" w:customStyle="1" w:styleId="KommentarthemaZchn">
    <w:name w:val="Kommentarthema Zchn"/>
    <w:basedOn w:val="KommentartextZchn"/>
    <w:link w:val="Kommentarthema"/>
    <w:uiPriority w:val="99"/>
    <w:semiHidden/>
    <w:rsid w:val="00E14657"/>
    <w:rPr>
      <w:rFonts w:ascii="Times New Roman" w:eastAsia="Times New Roman" w:hAnsi="Times New Roman" w:cs="Times New Roman"/>
      <w:b/>
      <w:bCs/>
      <w:sz w:val="20"/>
      <w:szCs w:val="20"/>
      <w:lang w:val="en-US"/>
    </w:rPr>
  </w:style>
  <w:style w:type="paragraph" w:styleId="Textkrper">
    <w:name w:val="Body Text"/>
    <w:aliases w:val="本文 Char1,本文 Char Char,本文 Char"/>
    <w:basedOn w:val="Standard"/>
    <w:link w:val="TextkrperZchn"/>
    <w:uiPriority w:val="99"/>
    <w:rsid w:val="007964FE"/>
    <w:pPr>
      <w:spacing w:line="288" w:lineRule="auto"/>
    </w:pPr>
    <w:rPr>
      <w:sz w:val="20"/>
    </w:rPr>
  </w:style>
  <w:style w:type="character" w:customStyle="1" w:styleId="TextkrperZchn">
    <w:name w:val="Textkörper Zchn"/>
    <w:aliases w:val="本文 Char1 Zchn,本文 Char Char Zchn,本文 Char Zchn"/>
    <w:basedOn w:val="Absatz-Standardschriftart"/>
    <w:link w:val="Textkrper"/>
    <w:uiPriority w:val="99"/>
    <w:rsid w:val="007964FE"/>
    <w:rPr>
      <w:rFonts w:ascii="Times New Roman" w:eastAsia="Times New Roman" w:hAnsi="Times New Roman" w:cs="Times New Roman"/>
      <w:sz w:val="20"/>
      <w:szCs w:val="24"/>
      <w:lang w:val="en-US"/>
    </w:rPr>
  </w:style>
  <w:style w:type="character" w:customStyle="1" w:styleId="berschrift3Zchn">
    <w:name w:val="Überschrift 3 Zchn"/>
    <w:basedOn w:val="Absatz-Standardschriftart"/>
    <w:link w:val="berschrift3"/>
    <w:uiPriority w:val="9"/>
    <w:semiHidden/>
    <w:rsid w:val="00961411"/>
    <w:rPr>
      <w:rFonts w:asciiTheme="majorHAnsi" w:eastAsiaTheme="majorEastAsia" w:hAnsiTheme="majorHAnsi" w:cstheme="majorBidi"/>
      <w:b/>
      <w:bCs/>
      <w:color w:val="4F81BD" w:themeColor="accent1"/>
      <w:sz w:val="24"/>
      <w:szCs w:val="24"/>
      <w:lang w:val="en-US"/>
    </w:rPr>
  </w:style>
  <w:style w:type="paragraph" w:customStyle="1" w:styleId="BulletNormal">
    <w:name w:val="Bullet Normal"/>
    <w:basedOn w:val="Standard"/>
    <w:uiPriority w:val="99"/>
    <w:rsid w:val="00961411"/>
    <w:pPr>
      <w:tabs>
        <w:tab w:val="num" w:pos="576"/>
      </w:tabs>
      <w:spacing w:after="240" w:line="288" w:lineRule="auto"/>
      <w:ind w:left="576" w:hanging="432"/>
    </w:pPr>
    <w:rPr>
      <w:szCs w:val="20"/>
    </w:rPr>
  </w:style>
  <w:style w:type="paragraph" w:styleId="berarbeitung">
    <w:name w:val="Revision"/>
    <w:hidden/>
    <w:uiPriority w:val="99"/>
    <w:semiHidden/>
    <w:rsid w:val="008C603F"/>
    <w:pPr>
      <w:spacing w:after="0" w:line="240" w:lineRule="auto"/>
    </w:pPr>
    <w:rPr>
      <w:rFonts w:ascii="Times New Roman" w:eastAsia="Times New Roman" w:hAnsi="Times New Roman" w:cs="Times New Roman"/>
      <w:sz w:val="24"/>
      <w:szCs w:val="24"/>
      <w:lang w:val="en-US"/>
    </w:rPr>
  </w:style>
  <w:style w:type="character" w:styleId="BesuchterHyperlink">
    <w:name w:val="FollowedHyperlink"/>
    <w:basedOn w:val="Absatz-Standardschriftart"/>
    <w:uiPriority w:val="99"/>
    <w:semiHidden/>
    <w:unhideWhenUsed/>
    <w:rsid w:val="00004DA9"/>
    <w:rPr>
      <w:color w:val="800080" w:themeColor="followedHyperlink"/>
      <w:u w:val="single"/>
    </w:rPr>
  </w:style>
  <w:style w:type="character" w:styleId="Zeilennummer">
    <w:name w:val="line number"/>
    <w:basedOn w:val="Absatz-Standardschriftart"/>
    <w:uiPriority w:val="99"/>
    <w:semiHidden/>
    <w:unhideWhenUsed/>
    <w:rsid w:val="00B34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75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image" Target="media/image11.tiff"/><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tif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tif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6EC71-7B9F-44A6-9EE4-9747E91F3AF2}">
  <ds:schemaRefs>
    <ds:schemaRef ds:uri="http://schemas.openxmlformats.org/officeDocument/2006/bibliography"/>
  </ds:schemaRefs>
</ds:datastoreItem>
</file>

<file path=customXml/itemProps2.xml><?xml version="1.0" encoding="utf-8"?>
<ds:datastoreItem xmlns:ds="http://schemas.openxmlformats.org/officeDocument/2006/customXml" ds:itemID="{EB0D7D06-3451-4650-B059-D9766D5A78DE}">
  <ds:schemaRefs>
    <ds:schemaRef ds:uri="http://schemas.openxmlformats.org/officeDocument/2006/bibliography"/>
  </ds:schemaRefs>
</ds:datastoreItem>
</file>

<file path=customXml/itemProps3.xml><?xml version="1.0" encoding="utf-8"?>
<ds:datastoreItem xmlns:ds="http://schemas.openxmlformats.org/officeDocument/2006/customXml" ds:itemID="{11752F32-4E72-44C0-B2F7-18EC2A3F9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3425</Words>
  <Characters>21581</Characters>
  <Application>Microsoft Office Word</Application>
  <DocSecurity>0</DocSecurity>
  <Lines>179</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KFA</Company>
  <LinksUpToDate>false</LinksUpToDate>
  <CharactersWithSpaces>24957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Ihmsen, Harald</dc:creator>
  <cp:lastModifiedBy>Ihmsen, Harald</cp:lastModifiedBy>
  <cp:revision>19</cp:revision>
  <cp:lastPrinted>2018-11-15T11:42:00Z</cp:lastPrinted>
  <dcterms:created xsi:type="dcterms:W3CDTF">2019-11-12T08:18:00Z</dcterms:created>
  <dcterms:modified xsi:type="dcterms:W3CDTF">2019-11-14T14:45:00Z</dcterms:modified>
</cp:coreProperties>
</file>