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A0929" w14:textId="77777777" w:rsidR="00BF2A39" w:rsidRPr="00833898" w:rsidRDefault="003D27A9" w:rsidP="00BF2A39">
      <w:pPr>
        <w:rPr>
          <w:rFonts w:ascii="Times New Roman" w:hAnsi="Times New Roman" w:cs="Times New Roman"/>
          <w:b/>
        </w:rPr>
      </w:pPr>
      <w:bookmarkStart w:id="0" w:name="_GoBack"/>
      <w:r w:rsidRPr="00833898">
        <w:rPr>
          <w:rFonts w:ascii="Times New Roman" w:hAnsi="Times New Roman" w:cs="Times New Roman"/>
          <w:b/>
        </w:rPr>
        <w:t xml:space="preserve">Supplementary </w:t>
      </w:r>
      <w:r w:rsidR="00BF2A39" w:rsidRPr="00833898">
        <w:rPr>
          <w:rFonts w:ascii="Times New Roman" w:hAnsi="Times New Roman" w:cs="Times New Roman"/>
          <w:b/>
        </w:rPr>
        <w:t>Table 1: Summary of the general demographic and surgical/medical model input features.</w:t>
      </w:r>
    </w:p>
    <w:p w14:paraId="115E4AEE" w14:textId="77777777" w:rsidR="00BF2A39" w:rsidRPr="00833898" w:rsidRDefault="00BF2A39" w:rsidP="00BF2A39">
      <w:pPr>
        <w:spacing w:line="480" w:lineRule="auto"/>
        <w:rPr>
          <w:rFonts w:ascii="Times New Roman" w:hAnsi="Times New Roman" w:cs="Times New Roman"/>
          <w:b/>
        </w:rPr>
      </w:pPr>
    </w:p>
    <w:tbl>
      <w:tblPr>
        <w:tblW w:w="10170" w:type="dxa"/>
        <w:tblCellMar>
          <w:top w:w="72" w:type="dxa"/>
          <w:left w:w="115" w:type="dxa"/>
          <w:bottom w:w="72" w:type="dxa"/>
          <w:right w:w="115" w:type="dxa"/>
        </w:tblCellMar>
        <w:tblLook w:val="04A0" w:firstRow="1" w:lastRow="0" w:firstColumn="1" w:lastColumn="0" w:noHBand="0" w:noVBand="1"/>
      </w:tblPr>
      <w:tblGrid>
        <w:gridCol w:w="4860"/>
        <w:gridCol w:w="5310"/>
      </w:tblGrid>
      <w:tr w:rsidR="00833898" w:rsidRPr="00833898" w14:paraId="328181BD" w14:textId="77777777" w:rsidTr="00631344">
        <w:trPr>
          <w:trHeight w:val="20"/>
        </w:trPr>
        <w:tc>
          <w:tcPr>
            <w:tcW w:w="4860" w:type="dxa"/>
            <w:tcBorders>
              <w:top w:val="nil"/>
              <w:left w:val="nil"/>
              <w:bottom w:val="nil"/>
              <w:right w:val="nil"/>
            </w:tcBorders>
            <w:shd w:val="clear" w:color="auto" w:fill="auto"/>
            <w:noWrap/>
            <w:hideMark/>
          </w:tcPr>
          <w:p w14:paraId="696D488D" w14:textId="77777777" w:rsidR="00F407B2" w:rsidRPr="00833898" w:rsidRDefault="00F407B2" w:rsidP="00F407B2">
            <w:pPr>
              <w:rPr>
                <w:rFonts w:ascii="Times New Roman" w:eastAsia="Times New Roman" w:hAnsi="Times New Roman" w:cs="Times New Roman"/>
                <w:b/>
                <w:bCs/>
              </w:rPr>
            </w:pPr>
            <w:r w:rsidRPr="00833898">
              <w:rPr>
                <w:rFonts w:ascii="Times New Roman" w:eastAsia="Times New Roman" w:hAnsi="Times New Roman" w:cs="Times New Roman"/>
                <w:b/>
                <w:bCs/>
              </w:rPr>
              <w:t xml:space="preserve">Feature </w:t>
            </w:r>
          </w:p>
        </w:tc>
        <w:tc>
          <w:tcPr>
            <w:tcW w:w="5310" w:type="dxa"/>
            <w:tcBorders>
              <w:top w:val="nil"/>
              <w:left w:val="nil"/>
              <w:bottom w:val="nil"/>
              <w:right w:val="nil"/>
            </w:tcBorders>
            <w:shd w:val="clear" w:color="auto" w:fill="auto"/>
            <w:noWrap/>
            <w:hideMark/>
          </w:tcPr>
          <w:p w14:paraId="20853CFD" w14:textId="77777777" w:rsidR="00F407B2" w:rsidRPr="00833898" w:rsidRDefault="00F407B2" w:rsidP="00F407B2">
            <w:pPr>
              <w:rPr>
                <w:rFonts w:ascii="Times New Roman" w:eastAsia="Times New Roman" w:hAnsi="Times New Roman" w:cs="Times New Roman"/>
                <w:b/>
                <w:bCs/>
              </w:rPr>
            </w:pPr>
            <w:r w:rsidRPr="00833898">
              <w:rPr>
                <w:rFonts w:ascii="Times New Roman" w:eastAsia="Times New Roman" w:hAnsi="Times New Roman" w:cs="Times New Roman"/>
                <w:b/>
                <w:bCs/>
              </w:rPr>
              <w:t>Description</w:t>
            </w:r>
          </w:p>
        </w:tc>
      </w:tr>
      <w:tr w:rsidR="00833898" w:rsidRPr="00833898" w14:paraId="1D84746F" w14:textId="77777777" w:rsidTr="00631344">
        <w:trPr>
          <w:trHeight w:val="20"/>
        </w:trPr>
        <w:tc>
          <w:tcPr>
            <w:tcW w:w="4860" w:type="dxa"/>
            <w:tcBorders>
              <w:top w:val="nil"/>
              <w:left w:val="nil"/>
              <w:bottom w:val="nil"/>
              <w:right w:val="nil"/>
            </w:tcBorders>
            <w:shd w:val="clear" w:color="auto" w:fill="auto"/>
            <w:noWrap/>
            <w:hideMark/>
          </w:tcPr>
          <w:p w14:paraId="2D5B029B"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Age</w:t>
            </w:r>
          </w:p>
        </w:tc>
        <w:tc>
          <w:tcPr>
            <w:tcW w:w="5310" w:type="dxa"/>
            <w:tcBorders>
              <w:top w:val="nil"/>
              <w:left w:val="nil"/>
              <w:bottom w:val="nil"/>
              <w:right w:val="nil"/>
            </w:tcBorders>
            <w:shd w:val="clear" w:color="auto" w:fill="auto"/>
            <w:hideMark/>
          </w:tcPr>
          <w:p w14:paraId="177FD113"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Patient's age at time of admission</w:t>
            </w:r>
          </w:p>
        </w:tc>
      </w:tr>
      <w:tr w:rsidR="00833898" w:rsidRPr="00833898" w14:paraId="25DDB530" w14:textId="77777777" w:rsidTr="00631344">
        <w:trPr>
          <w:trHeight w:val="20"/>
        </w:trPr>
        <w:tc>
          <w:tcPr>
            <w:tcW w:w="4860" w:type="dxa"/>
            <w:tcBorders>
              <w:top w:val="nil"/>
              <w:left w:val="nil"/>
              <w:bottom w:val="nil"/>
              <w:right w:val="nil"/>
            </w:tcBorders>
            <w:shd w:val="clear" w:color="auto" w:fill="auto"/>
            <w:noWrap/>
            <w:hideMark/>
          </w:tcPr>
          <w:p w14:paraId="7D739871" w14:textId="211DE6DC" w:rsidR="00F407B2" w:rsidRPr="00833898" w:rsidRDefault="00B82543" w:rsidP="00F407B2">
            <w:pPr>
              <w:rPr>
                <w:rFonts w:ascii="Times New Roman" w:eastAsia="Times New Roman" w:hAnsi="Times New Roman" w:cs="Times New Roman"/>
              </w:rPr>
            </w:pPr>
            <w:r w:rsidRPr="00833898">
              <w:rPr>
                <w:rFonts w:ascii="Times New Roman" w:eastAsia="Times New Roman" w:hAnsi="Times New Roman" w:cs="Times New Roman"/>
              </w:rPr>
              <w:t>Acute Kidney Injury (</w:t>
            </w:r>
            <w:r w:rsidR="00F407B2" w:rsidRPr="00833898">
              <w:rPr>
                <w:rFonts w:ascii="Times New Roman" w:eastAsia="Times New Roman" w:hAnsi="Times New Roman" w:cs="Times New Roman"/>
              </w:rPr>
              <w:t>AKI</w:t>
            </w:r>
            <w:r w:rsidRPr="00833898">
              <w:rPr>
                <w:rFonts w:ascii="Times New Roman" w:eastAsia="Times New Roman" w:hAnsi="Times New Roman" w:cs="Times New Roman"/>
              </w:rPr>
              <w:t>)</w:t>
            </w:r>
            <w:r w:rsidR="00F407B2" w:rsidRPr="00833898">
              <w:rPr>
                <w:rFonts w:ascii="Times New Roman" w:eastAsia="Times New Roman" w:hAnsi="Times New Roman" w:cs="Times New Roman"/>
              </w:rPr>
              <w:t xml:space="preserve"> Class</w:t>
            </w:r>
          </w:p>
        </w:tc>
        <w:tc>
          <w:tcPr>
            <w:tcW w:w="5310" w:type="dxa"/>
            <w:tcBorders>
              <w:top w:val="nil"/>
              <w:left w:val="nil"/>
              <w:bottom w:val="nil"/>
              <w:right w:val="nil"/>
            </w:tcBorders>
            <w:shd w:val="clear" w:color="auto" w:fill="auto"/>
            <w:hideMark/>
          </w:tcPr>
          <w:p w14:paraId="56AC2A40" w14:textId="0E38F006" w:rsidR="00F407B2" w:rsidRPr="00833898" w:rsidRDefault="00B82543" w:rsidP="00F407B2">
            <w:pPr>
              <w:rPr>
                <w:rFonts w:ascii="Times New Roman" w:eastAsia="Times New Roman" w:hAnsi="Times New Roman" w:cs="Times New Roman"/>
              </w:rPr>
            </w:pPr>
            <w:r w:rsidRPr="00833898">
              <w:rPr>
                <w:rFonts w:ascii="Times New Roman" w:eastAsia="Times New Roman" w:hAnsi="Times New Roman" w:cs="Times New Roman"/>
              </w:rPr>
              <w:t>Categorical</w:t>
            </w:r>
            <w:r w:rsidR="00F407B2" w:rsidRPr="00833898">
              <w:rPr>
                <w:rFonts w:ascii="Times New Roman" w:eastAsia="Times New Roman" w:hAnsi="Times New Roman" w:cs="Times New Roman"/>
              </w:rPr>
              <w:t xml:space="preserve"> variable; one of: 1, 2, 3 or NA</w:t>
            </w:r>
            <w:r w:rsidRPr="00833898">
              <w:rPr>
                <w:rFonts w:ascii="Times New Roman" w:eastAsia="Times New Roman" w:hAnsi="Times New Roman" w:cs="Times New Roman"/>
              </w:rPr>
              <w:t xml:space="preserve">. Computed using method of Mehta </w:t>
            </w:r>
            <w:r w:rsidRPr="00833898">
              <w:rPr>
                <w:rFonts w:ascii="Times New Roman" w:eastAsia="Times New Roman" w:hAnsi="Times New Roman" w:cs="Times New Roman"/>
                <w:i/>
              </w:rPr>
              <w:t>et al</w:t>
            </w:r>
            <w:r w:rsidR="001F2138" w:rsidRPr="00833898">
              <w:rPr>
                <w:rFonts w:ascii="Times New Roman" w:eastAsia="Times New Roman" w:hAnsi="Times New Roman" w:cs="Times New Roman"/>
                <w:i/>
              </w:rPr>
              <w:fldChar w:fldCharType="begin" w:fldLock="1"/>
            </w:r>
            <w:r w:rsidR="001F2138" w:rsidRPr="00833898">
              <w:rPr>
                <w:rFonts w:ascii="Times New Roman" w:eastAsia="Times New Roman" w:hAnsi="Times New Roman" w:cs="Times New Roman"/>
                <w:i/>
              </w:rPr>
              <w:instrText>ADDIN CSL_CITATION {"citationItems":[{"id":"ITEM-1","itemData":{"DOI":"10.1186/cc5713","author":[{"dropping-particle":"","family":"Mehta","given":"Ravindra L","non-dropping-particle":"","parse-names":false,"suffix":""},{"dropping-particle":"","family":"Kellum","given":"John A","non-dropping-particle":"","parse-names":false,"suffix":""},{"dropping-particle":"V","family":"Shah","given":"Sudhir","non-dropping-particle":"","parse-names":false,"suffix":""},{"dropping-particle":"","family":"Molitoris","given":"Bruce A","non-dropping-particle":"","parse-names":false,"suffix":""},{"dropping-particle":"","family":"Ronco","given":"Claudio","non-dropping-particle":"","parse-names":false,"suffix":""},{"dropping-particle":"","family":"Warnock","given":"David G","non-dropping-particle":"","parse-names":false,"suffix":""},{"dropping-particle":"","family":"Levin","given":"Adeera","non-dropping-particle":"","parse-names":false,"suffix":""}],"container-title":"Critical Care","id":"ITEM-1","issue":"2","issued":{"date-parts":[["2007"]]},"page":"R31","title":"Acute Kidney Injury Network: report of an initiative to improve outcomes in acute kidney injury","type":"article-journal","volume":"11"},"uris":["http://www.mendeley.com/documents/?uuid=2e237f80-89a6-4dcc-a463-7def702484e1"]}],"mendeley":{"formattedCitation":"&lt;sup&gt;1&lt;/sup&gt;","plainTextFormattedCitation":"1","previouslyFormattedCitation":"&lt;sup&gt;1&lt;/sup&gt;"},"properties":{"noteIndex":0},"schema":"https://github.com/citation-style-language/schema/raw/master/csl-citation.json"}</w:instrText>
            </w:r>
            <w:r w:rsidR="001F2138" w:rsidRPr="00833898">
              <w:rPr>
                <w:rFonts w:ascii="Times New Roman" w:eastAsia="Times New Roman" w:hAnsi="Times New Roman" w:cs="Times New Roman"/>
                <w:i/>
              </w:rPr>
              <w:fldChar w:fldCharType="separate"/>
            </w:r>
            <w:r w:rsidR="001F2138" w:rsidRPr="00833898">
              <w:rPr>
                <w:rFonts w:ascii="Times New Roman" w:eastAsia="Times New Roman" w:hAnsi="Times New Roman" w:cs="Times New Roman"/>
                <w:noProof/>
                <w:vertAlign w:val="superscript"/>
              </w:rPr>
              <w:t>1</w:t>
            </w:r>
            <w:r w:rsidR="001F2138" w:rsidRPr="00833898">
              <w:rPr>
                <w:rFonts w:ascii="Times New Roman" w:eastAsia="Times New Roman" w:hAnsi="Times New Roman" w:cs="Times New Roman"/>
                <w:i/>
              </w:rPr>
              <w:fldChar w:fldCharType="end"/>
            </w:r>
            <w:r w:rsidRPr="00833898">
              <w:rPr>
                <w:rFonts w:ascii="Times New Roman" w:eastAsia="Times New Roman" w:hAnsi="Times New Roman" w:cs="Times New Roman"/>
              </w:rPr>
              <w:t xml:space="preserve"> </w:t>
            </w:r>
          </w:p>
        </w:tc>
      </w:tr>
      <w:tr w:rsidR="00833898" w:rsidRPr="00833898" w14:paraId="53B978BA" w14:textId="77777777" w:rsidTr="00631344">
        <w:trPr>
          <w:trHeight w:val="20"/>
        </w:trPr>
        <w:tc>
          <w:tcPr>
            <w:tcW w:w="4860" w:type="dxa"/>
            <w:tcBorders>
              <w:top w:val="nil"/>
              <w:left w:val="nil"/>
              <w:bottom w:val="nil"/>
              <w:right w:val="nil"/>
            </w:tcBorders>
            <w:shd w:val="clear" w:color="auto" w:fill="auto"/>
            <w:noWrap/>
            <w:hideMark/>
          </w:tcPr>
          <w:p w14:paraId="457CC768"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Alcohol Consumption</w:t>
            </w:r>
          </w:p>
        </w:tc>
        <w:tc>
          <w:tcPr>
            <w:tcW w:w="5310" w:type="dxa"/>
            <w:tcBorders>
              <w:top w:val="nil"/>
              <w:left w:val="nil"/>
              <w:bottom w:val="nil"/>
              <w:right w:val="nil"/>
            </w:tcBorders>
            <w:shd w:val="clear" w:color="auto" w:fill="auto"/>
            <w:hideMark/>
          </w:tcPr>
          <w:p w14:paraId="5EFAB9DF"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Measured in oz / week</w:t>
            </w:r>
          </w:p>
        </w:tc>
      </w:tr>
      <w:tr w:rsidR="00833898" w:rsidRPr="00833898" w14:paraId="4F9AE124" w14:textId="77777777" w:rsidTr="00631344">
        <w:trPr>
          <w:trHeight w:val="20"/>
        </w:trPr>
        <w:tc>
          <w:tcPr>
            <w:tcW w:w="4860" w:type="dxa"/>
            <w:tcBorders>
              <w:top w:val="nil"/>
              <w:left w:val="nil"/>
              <w:bottom w:val="nil"/>
              <w:right w:val="nil"/>
            </w:tcBorders>
            <w:shd w:val="clear" w:color="auto" w:fill="auto"/>
            <w:noWrap/>
            <w:hideMark/>
          </w:tcPr>
          <w:p w14:paraId="0D5953CF"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ASA Score</w:t>
            </w:r>
          </w:p>
        </w:tc>
        <w:tc>
          <w:tcPr>
            <w:tcW w:w="5310" w:type="dxa"/>
            <w:tcBorders>
              <w:top w:val="nil"/>
              <w:left w:val="nil"/>
              <w:bottom w:val="nil"/>
              <w:right w:val="nil"/>
            </w:tcBorders>
            <w:shd w:val="clear" w:color="auto" w:fill="auto"/>
            <w:hideMark/>
          </w:tcPr>
          <w:p w14:paraId="36F0F6AE"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 xml:space="preserve">American Society of Anesthesiologists (ASA) score. Categorical variable; one of: 1, 2, 3, 4, 5 or NA </w:t>
            </w:r>
          </w:p>
          <w:p w14:paraId="553439D1" w14:textId="77777777" w:rsidR="00F407B2" w:rsidRPr="00833898" w:rsidRDefault="00F407B2" w:rsidP="00F407B2">
            <w:pPr>
              <w:rPr>
                <w:rFonts w:ascii="Times New Roman" w:eastAsia="Times New Roman" w:hAnsi="Times New Roman" w:cs="Times New Roman"/>
              </w:rPr>
            </w:pPr>
          </w:p>
        </w:tc>
      </w:tr>
      <w:tr w:rsidR="00833898" w:rsidRPr="00833898" w14:paraId="65D65071" w14:textId="77777777" w:rsidTr="00631344">
        <w:trPr>
          <w:trHeight w:val="20"/>
        </w:trPr>
        <w:tc>
          <w:tcPr>
            <w:tcW w:w="4860" w:type="dxa"/>
            <w:tcBorders>
              <w:top w:val="nil"/>
              <w:left w:val="nil"/>
              <w:bottom w:val="nil"/>
              <w:right w:val="nil"/>
            </w:tcBorders>
            <w:shd w:val="clear" w:color="auto" w:fill="auto"/>
            <w:noWrap/>
            <w:hideMark/>
          </w:tcPr>
          <w:p w14:paraId="03BBF03B" w14:textId="077392C5"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B</w:t>
            </w:r>
            <w:r w:rsidR="00716B9A" w:rsidRPr="00833898">
              <w:rPr>
                <w:rFonts w:ascii="Times New Roman" w:eastAsia="Times New Roman" w:hAnsi="Times New Roman" w:cs="Times New Roman"/>
              </w:rPr>
              <w:t>ody Mass Index</w:t>
            </w:r>
          </w:p>
        </w:tc>
        <w:tc>
          <w:tcPr>
            <w:tcW w:w="5310" w:type="dxa"/>
            <w:tcBorders>
              <w:top w:val="nil"/>
              <w:left w:val="nil"/>
              <w:bottom w:val="nil"/>
              <w:right w:val="nil"/>
            </w:tcBorders>
            <w:shd w:val="clear" w:color="auto" w:fill="auto"/>
            <w:hideMark/>
          </w:tcPr>
          <w:p w14:paraId="5BFBCC37" w14:textId="6C526722" w:rsidR="00F407B2" w:rsidRPr="00833898" w:rsidRDefault="00A74232" w:rsidP="00F407B2">
            <w:pPr>
              <w:rPr>
                <w:rFonts w:ascii="Times New Roman" w:eastAsia="Times New Roman" w:hAnsi="Times New Roman" w:cs="Times New Roman"/>
              </w:rPr>
            </w:pPr>
            <w:r w:rsidRPr="00833898">
              <w:rPr>
                <w:rFonts w:ascii="Times New Roman" w:eastAsia="Times New Roman" w:hAnsi="Times New Roman" w:cs="Times New Roman"/>
              </w:rPr>
              <w:t>Measured in kg / m</w:t>
            </w:r>
            <w:r w:rsidRPr="00833898">
              <w:rPr>
                <w:rFonts w:ascii="Times New Roman" w:eastAsia="Times New Roman" w:hAnsi="Times New Roman" w:cs="Times New Roman"/>
                <w:vertAlign w:val="superscript"/>
              </w:rPr>
              <w:t>2</w:t>
            </w:r>
            <w:r w:rsidRPr="00833898">
              <w:rPr>
                <w:rFonts w:ascii="Times New Roman" w:eastAsia="Times New Roman" w:hAnsi="Times New Roman" w:cs="Times New Roman"/>
              </w:rPr>
              <w:t xml:space="preserve"> </w:t>
            </w:r>
          </w:p>
        </w:tc>
      </w:tr>
      <w:tr w:rsidR="00833898" w:rsidRPr="00833898" w14:paraId="6A4F7A19" w14:textId="77777777" w:rsidTr="00631344">
        <w:trPr>
          <w:trHeight w:val="20"/>
        </w:trPr>
        <w:tc>
          <w:tcPr>
            <w:tcW w:w="4860" w:type="dxa"/>
            <w:tcBorders>
              <w:top w:val="nil"/>
              <w:left w:val="nil"/>
              <w:bottom w:val="nil"/>
              <w:right w:val="nil"/>
            </w:tcBorders>
            <w:shd w:val="clear" w:color="auto" w:fill="auto"/>
            <w:noWrap/>
            <w:hideMark/>
          </w:tcPr>
          <w:p w14:paraId="69D8DF8E"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Disposition</w:t>
            </w:r>
          </w:p>
        </w:tc>
        <w:tc>
          <w:tcPr>
            <w:tcW w:w="5310" w:type="dxa"/>
            <w:tcBorders>
              <w:top w:val="nil"/>
              <w:left w:val="nil"/>
              <w:bottom w:val="nil"/>
              <w:right w:val="nil"/>
            </w:tcBorders>
            <w:shd w:val="clear" w:color="auto" w:fill="auto"/>
            <w:hideMark/>
          </w:tcPr>
          <w:p w14:paraId="400548FE"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 xml:space="preserve">Where patient was discharged to. Categorical variable; one of: Home or </w:t>
            </w:r>
            <w:proofErr w:type="spellStart"/>
            <w:r w:rsidRPr="00833898">
              <w:rPr>
                <w:rFonts w:ascii="Times New Roman" w:eastAsia="Times New Roman" w:hAnsi="Times New Roman" w:cs="Times New Roman"/>
              </w:rPr>
              <w:t>self care</w:t>
            </w:r>
            <w:proofErr w:type="spellEnd"/>
            <w:r w:rsidRPr="00833898">
              <w:rPr>
                <w:rFonts w:ascii="Times New Roman" w:eastAsia="Times New Roman" w:hAnsi="Times New Roman" w:cs="Times New Roman"/>
              </w:rPr>
              <w:t>, Home health service, Skilled nursing facility, Other</w:t>
            </w:r>
          </w:p>
          <w:p w14:paraId="25CDFC29" w14:textId="77777777" w:rsidR="00F407B2" w:rsidRPr="00833898" w:rsidRDefault="00F407B2" w:rsidP="00F407B2">
            <w:pPr>
              <w:rPr>
                <w:rFonts w:ascii="Times New Roman" w:eastAsia="Times New Roman" w:hAnsi="Times New Roman" w:cs="Times New Roman"/>
              </w:rPr>
            </w:pPr>
          </w:p>
        </w:tc>
      </w:tr>
      <w:tr w:rsidR="00833898" w:rsidRPr="00833898" w14:paraId="5AE44442" w14:textId="77777777" w:rsidTr="00631344">
        <w:trPr>
          <w:trHeight w:val="20"/>
        </w:trPr>
        <w:tc>
          <w:tcPr>
            <w:tcW w:w="4860" w:type="dxa"/>
            <w:tcBorders>
              <w:top w:val="nil"/>
              <w:left w:val="nil"/>
              <w:bottom w:val="nil"/>
              <w:right w:val="nil"/>
            </w:tcBorders>
            <w:shd w:val="clear" w:color="auto" w:fill="auto"/>
            <w:noWrap/>
            <w:hideMark/>
          </w:tcPr>
          <w:p w14:paraId="060BFCAF"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Duration of Surgery</w:t>
            </w:r>
          </w:p>
        </w:tc>
        <w:tc>
          <w:tcPr>
            <w:tcW w:w="5310" w:type="dxa"/>
            <w:tcBorders>
              <w:top w:val="nil"/>
              <w:left w:val="nil"/>
              <w:bottom w:val="nil"/>
              <w:right w:val="nil"/>
            </w:tcBorders>
            <w:shd w:val="clear" w:color="auto" w:fill="auto"/>
            <w:hideMark/>
          </w:tcPr>
          <w:p w14:paraId="14E972C2"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Measured in minutes</w:t>
            </w:r>
          </w:p>
        </w:tc>
      </w:tr>
      <w:tr w:rsidR="00833898" w:rsidRPr="00833898" w14:paraId="00AEB4E8" w14:textId="77777777" w:rsidTr="00631344">
        <w:trPr>
          <w:trHeight w:val="20"/>
        </w:trPr>
        <w:tc>
          <w:tcPr>
            <w:tcW w:w="4860" w:type="dxa"/>
            <w:tcBorders>
              <w:top w:val="nil"/>
              <w:left w:val="nil"/>
              <w:bottom w:val="nil"/>
              <w:right w:val="nil"/>
            </w:tcBorders>
            <w:shd w:val="clear" w:color="auto" w:fill="auto"/>
            <w:noWrap/>
            <w:hideMark/>
          </w:tcPr>
          <w:p w14:paraId="021B7245"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Duration of Mechanical Ventilation</w:t>
            </w:r>
          </w:p>
        </w:tc>
        <w:tc>
          <w:tcPr>
            <w:tcW w:w="5310" w:type="dxa"/>
            <w:tcBorders>
              <w:top w:val="nil"/>
              <w:left w:val="nil"/>
              <w:bottom w:val="nil"/>
              <w:right w:val="nil"/>
            </w:tcBorders>
            <w:shd w:val="clear" w:color="auto" w:fill="auto"/>
            <w:hideMark/>
          </w:tcPr>
          <w:p w14:paraId="71FB6FD2" w14:textId="436AF5A3"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Total duration (in hours) of mechanical ventilation post-operatively</w:t>
            </w:r>
            <w:r w:rsidR="00B82543" w:rsidRPr="00833898">
              <w:rPr>
                <w:rFonts w:ascii="Times New Roman" w:eastAsia="Times New Roman" w:hAnsi="Times New Roman" w:cs="Times New Roman"/>
              </w:rPr>
              <w:t xml:space="preserve">. Computed using method of </w:t>
            </w:r>
            <w:r w:rsidR="001F2138" w:rsidRPr="00833898">
              <w:rPr>
                <w:rFonts w:ascii="Times New Roman" w:eastAsia="Times New Roman" w:hAnsi="Times New Roman" w:cs="Times New Roman"/>
              </w:rPr>
              <w:t xml:space="preserve">Gabel </w:t>
            </w:r>
            <w:r w:rsidR="001F2138" w:rsidRPr="00833898">
              <w:rPr>
                <w:rFonts w:ascii="Times New Roman" w:eastAsia="Times New Roman" w:hAnsi="Times New Roman" w:cs="Times New Roman"/>
                <w:i/>
              </w:rPr>
              <w:t>et al</w:t>
            </w:r>
            <w:r w:rsidR="001F2138" w:rsidRPr="00833898">
              <w:rPr>
                <w:rFonts w:ascii="Times New Roman" w:eastAsia="Times New Roman" w:hAnsi="Times New Roman" w:cs="Times New Roman"/>
                <w:i/>
              </w:rPr>
              <w:fldChar w:fldCharType="begin" w:fldLock="1"/>
            </w:r>
            <w:r w:rsidR="001F2138" w:rsidRPr="00833898">
              <w:rPr>
                <w:rFonts w:ascii="Times New Roman" w:eastAsia="Times New Roman" w:hAnsi="Times New Roman" w:cs="Times New Roman"/>
                <w:i/>
              </w:rPr>
              <w:instrText>ADDIN CSL_CITATION {"citationItems":[{"id":"ITEM-1","itemData":{"DOI":"10.1213/ANE.0000000000001997","PMID":"28431419","abstract":"BACKGROUND In medical practice today, clinical data registries have become a powerful tool for measuring and driving quality improvement, especially among multicenter projects. Registries face the known problem of trying to create dependable and clear metrics from electronic medical records data, which are typically scattered and often based on unreliable data sources. The Society for Thoracic Surgery (STS) is one such example, and it supports manually collected data by trained clinical staff in an effort to obtain the highest-fidelity data possible. As a possible alternative, our team designed an algorithm to test the feasibility of producing computer-derived data for the case of postoperative mechanical ventilation hours. In this article, we study and compare the accuracy of algorithm-derived mechanical ventilation data with manual data extraction. METHODS We created a novel algorithm that is able to calculate mechanical ventilation duration for any postoperative patient using raw data from our EPIC electronic medical record. Utilizing nursing documentation of airway devices, documentation of lines, drains, and airways, and respiratory therapist ventilator settings, the algorithm produced results that were then validated against the STS registry. This enabled us to compare our algorithm results with data collected by human chart review. Any discrepancies were then resolved with manual calculation by a research team member. RESULTS The STS registry contained a total of 439 University of California Los Angeles cardiac cases from April 1, 2013, to March 31, 2014. After excluding 201 patients for not remaining intubated, tracheostomy use, or for having 2 surgeries on the same day, 238 cases met inclusion criteria. Comparing the postoperative ventilation durations between the 2 data sources resulted in 158 (66%) ventilation durations agreeing within 1 hour, indicating a probable correct value for both sources. Among the discrepant cases, the algorithm yielded results that were exclusively correct in 75 (93.8%) cases, whereas the STS results were exclusively correct once (1.3%). The remaining 4 cases had inconclusive results after manual review because of a prolonged documentation gap between mechanical and spontaneous ventilation. In these cases, STS and algorithm results were different from one another but were both within the transition timespan. This yields an overall accuracy of 99.6% (95% confidence interval, 98.7%-100%) for the algorithm when compare…","author":[{"dropping-particle":"","family":"Gabel","given":"Eilon","non-dropping-particle":"","parse-names":false,"suffix":""},{"dropping-particle":"","family":"Hofer","given":"Ira S.","non-dropping-particle":"","parse-names":false,"suffix":""},{"dropping-particle":"","family":"Satou","given":"Nancy","non-dropping-particle":"","parse-names":false,"suffix":""},{"dropping-particle":"","family":"Grogan","given":"Tristan","non-dropping-particle":"","parse-names":false,"suffix":""},{"dropping-particle":"","family":"Shemin","given":"Richard","non-dropping-particle":"","parse-names":false,"suffix":""},{"dropping-particle":"","family":"Mahajan","given":"Aman","non-dropping-particle":"","parse-names":false,"suffix":""},{"dropping-particle":"","family":"Cannesson","given":"Maxime","non-dropping-particle":"","parse-names":false,"suffix":""}],"container-title":"Anesthesia &amp; Analgesia","id":"ITEM-1","issue":"5","issued":{"date-parts":[["2017","5"]]},"page":"1423-1430","title":"Creation and Validation of an Automated Algorithm to Determine Postoperative Ventilator Requirements After Cardiac Surgery","type":"article-journal","volume":"124"},"uris":["http://www.mendeley.com/documents/?uuid=4ea6b91b-925f-47a4-9011-573d5c157455"]}],"mendeley":{"formattedCitation":"&lt;sup&gt;2&lt;/sup&gt;","plainTextFormattedCitation":"2","previouslyFormattedCitation":"&lt;sup&gt;2&lt;/sup&gt;"},"properties":{"noteIndex":0},"schema":"https://github.com/citation-style-language/schema/raw/master/csl-citation.json"}</w:instrText>
            </w:r>
            <w:r w:rsidR="001F2138" w:rsidRPr="00833898">
              <w:rPr>
                <w:rFonts w:ascii="Times New Roman" w:eastAsia="Times New Roman" w:hAnsi="Times New Roman" w:cs="Times New Roman"/>
                <w:i/>
              </w:rPr>
              <w:fldChar w:fldCharType="separate"/>
            </w:r>
            <w:r w:rsidR="001F2138" w:rsidRPr="00833898">
              <w:rPr>
                <w:rFonts w:ascii="Times New Roman" w:eastAsia="Times New Roman" w:hAnsi="Times New Roman" w:cs="Times New Roman"/>
                <w:noProof/>
                <w:vertAlign w:val="superscript"/>
              </w:rPr>
              <w:t>2</w:t>
            </w:r>
            <w:r w:rsidR="001F2138" w:rsidRPr="00833898">
              <w:rPr>
                <w:rFonts w:ascii="Times New Roman" w:eastAsia="Times New Roman" w:hAnsi="Times New Roman" w:cs="Times New Roman"/>
                <w:i/>
              </w:rPr>
              <w:fldChar w:fldCharType="end"/>
            </w:r>
          </w:p>
          <w:p w14:paraId="55FDB251" w14:textId="77777777" w:rsidR="00F407B2" w:rsidRPr="00833898" w:rsidRDefault="00F407B2" w:rsidP="00F407B2">
            <w:pPr>
              <w:rPr>
                <w:rFonts w:ascii="Times New Roman" w:eastAsia="Times New Roman" w:hAnsi="Times New Roman" w:cs="Times New Roman"/>
              </w:rPr>
            </w:pPr>
          </w:p>
        </w:tc>
      </w:tr>
      <w:tr w:rsidR="00833898" w:rsidRPr="00833898" w14:paraId="16C82296" w14:textId="77777777" w:rsidTr="00631344">
        <w:trPr>
          <w:trHeight w:val="20"/>
        </w:trPr>
        <w:tc>
          <w:tcPr>
            <w:tcW w:w="4860" w:type="dxa"/>
            <w:tcBorders>
              <w:top w:val="nil"/>
              <w:left w:val="nil"/>
              <w:bottom w:val="nil"/>
              <w:right w:val="nil"/>
            </w:tcBorders>
            <w:shd w:val="clear" w:color="auto" w:fill="auto"/>
            <w:noWrap/>
            <w:hideMark/>
          </w:tcPr>
          <w:p w14:paraId="495ED5D6"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Ethnicity</w:t>
            </w:r>
          </w:p>
        </w:tc>
        <w:tc>
          <w:tcPr>
            <w:tcW w:w="5310" w:type="dxa"/>
            <w:tcBorders>
              <w:top w:val="nil"/>
              <w:left w:val="nil"/>
              <w:bottom w:val="nil"/>
              <w:right w:val="nil"/>
            </w:tcBorders>
            <w:shd w:val="clear" w:color="auto" w:fill="auto"/>
            <w:hideMark/>
          </w:tcPr>
          <w:p w14:paraId="563E5D5E"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 xml:space="preserve">Patient's ethnicity. Categorical variable; one of: Cuban, Hispanic/Latino, Hispanic/Spanish Origin Other, Mexican, Not </w:t>
            </w:r>
            <w:proofErr w:type="spellStart"/>
            <w:r w:rsidRPr="00833898">
              <w:rPr>
                <w:rFonts w:ascii="Times New Roman" w:eastAsia="Times New Roman" w:hAnsi="Times New Roman" w:cs="Times New Roman"/>
              </w:rPr>
              <w:t>Hispanico</w:t>
            </w:r>
            <w:proofErr w:type="spellEnd"/>
            <w:r w:rsidRPr="00833898">
              <w:rPr>
                <w:rFonts w:ascii="Times New Roman" w:eastAsia="Times New Roman" w:hAnsi="Times New Roman" w:cs="Times New Roman"/>
              </w:rPr>
              <w:t xml:space="preserve"> or Latino, Null, Patient Refused, Puerto Rican, Unknown</w:t>
            </w:r>
          </w:p>
          <w:p w14:paraId="3190B04C" w14:textId="77777777" w:rsidR="00F407B2" w:rsidRPr="00833898" w:rsidRDefault="00F407B2" w:rsidP="00F407B2">
            <w:pPr>
              <w:rPr>
                <w:rFonts w:ascii="Times New Roman" w:eastAsia="Times New Roman" w:hAnsi="Times New Roman" w:cs="Times New Roman"/>
              </w:rPr>
            </w:pPr>
          </w:p>
        </w:tc>
      </w:tr>
      <w:tr w:rsidR="00833898" w:rsidRPr="00833898" w14:paraId="32D0B215" w14:textId="77777777" w:rsidTr="00631344">
        <w:trPr>
          <w:trHeight w:val="20"/>
        </w:trPr>
        <w:tc>
          <w:tcPr>
            <w:tcW w:w="4860" w:type="dxa"/>
            <w:tcBorders>
              <w:top w:val="nil"/>
              <w:left w:val="nil"/>
              <w:bottom w:val="nil"/>
              <w:right w:val="nil"/>
            </w:tcBorders>
            <w:shd w:val="clear" w:color="auto" w:fill="auto"/>
            <w:noWrap/>
            <w:hideMark/>
          </w:tcPr>
          <w:p w14:paraId="16E39934"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Financial Class</w:t>
            </w:r>
          </w:p>
        </w:tc>
        <w:tc>
          <w:tcPr>
            <w:tcW w:w="5310" w:type="dxa"/>
            <w:tcBorders>
              <w:top w:val="nil"/>
              <w:left w:val="nil"/>
              <w:bottom w:val="nil"/>
              <w:right w:val="nil"/>
            </w:tcBorders>
            <w:shd w:val="clear" w:color="auto" w:fill="auto"/>
            <w:hideMark/>
          </w:tcPr>
          <w:p w14:paraId="34792906"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 xml:space="preserve">Patent's financial class. Categorical variable; one of: Commercial, Group Health Plan, International </w:t>
            </w:r>
            <w:proofErr w:type="spellStart"/>
            <w:r w:rsidRPr="00833898">
              <w:rPr>
                <w:rFonts w:ascii="Times New Roman" w:eastAsia="Times New Roman" w:hAnsi="Times New Roman" w:cs="Times New Roman"/>
              </w:rPr>
              <w:t>Payor</w:t>
            </w:r>
            <w:proofErr w:type="spellEnd"/>
            <w:r w:rsidRPr="00833898">
              <w:rPr>
                <w:rFonts w:ascii="Times New Roman" w:eastAsia="Times New Roman" w:hAnsi="Times New Roman" w:cs="Times New Roman"/>
              </w:rPr>
              <w:t xml:space="preserve">, </w:t>
            </w:r>
            <w:proofErr w:type="spellStart"/>
            <w:r w:rsidRPr="00833898">
              <w:rPr>
                <w:rFonts w:ascii="Times New Roman" w:eastAsia="Times New Roman" w:hAnsi="Times New Roman" w:cs="Times New Roman"/>
              </w:rPr>
              <w:t>Medi</w:t>
            </w:r>
            <w:proofErr w:type="spellEnd"/>
            <w:r w:rsidRPr="00833898">
              <w:rPr>
                <w:rFonts w:ascii="Times New Roman" w:eastAsia="Times New Roman" w:hAnsi="Times New Roman" w:cs="Times New Roman"/>
              </w:rPr>
              <w:t xml:space="preserve">-Cal, </w:t>
            </w:r>
            <w:proofErr w:type="spellStart"/>
            <w:r w:rsidRPr="00833898">
              <w:rPr>
                <w:rFonts w:ascii="Times New Roman" w:eastAsia="Times New Roman" w:hAnsi="Times New Roman" w:cs="Times New Roman"/>
              </w:rPr>
              <w:t>Medi</w:t>
            </w:r>
            <w:proofErr w:type="spellEnd"/>
            <w:r w:rsidRPr="00833898">
              <w:rPr>
                <w:rFonts w:ascii="Times New Roman" w:eastAsia="Times New Roman" w:hAnsi="Times New Roman" w:cs="Times New Roman"/>
              </w:rPr>
              <w:t>-Cal Assigned, Medicare, Medicare Assigned, Null, Other, Self-Pay, Tricare, UCLA Managed Care, Worker’s Comp</w:t>
            </w:r>
          </w:p>
          <w:p w14:paraId="27278972" w14:textId="77777777" w:rsidR="00F407B2" w:rsidRPr="00833898" w:rsidRDefault="00F407B2" w:rsidP="00F407B2">
            <w:pPr>
              <w:rPr>
                <w:rFonts w:ascii="Times New Roman" w:eastAsia="Times New Roman" w:hAnsi="Times New Roman" w:cs="Times New Roman"/>
              </w:rPr>
            </w:pPr>
          </w:p>
        </w:tc>
      </w:tr>
      <w:tr w:rsidR="00833898" w:rsidRPr="00833898" w14:paraId="15A53911" w14:textId="77777777" w:rsidTr="00631344">
        <w:trPr>
          <w:trHeight w:val="20"/>
        </w:trPr>
        <w:tc>
          <w:tcPr>
            <w:tcW w:w="4860" w:type="dxa"/>
            <w:tcBorders>
              <w:top w:val="nil"/>
              <w:left w:val="nil"/>
              <w:bottom w:val="nil"/>
              <w:right w:val="nil"/>
            </w:tcBorders>
            <w:shd w:val="clear" w:color="auto" w:fill="auto"/>
            <w:noWrap/>
            <w:hideMark/>
          </w:tcPr>
          <w:p w14:paraId="0B4C970A" w14:textId="23F68133"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 xml:space="preserve">Indicator for Admission with Primary </w:t>
            </w:r>
            <w:r w:rsidR="00404122" w:rsidRPr="00833898">
              <w:rPr>
                <w:rFonts w:ascii="Times New Roman" w:eastAsia="Times New Roman" w:hAnsi="Times New Roman" w:cs="Times New Roman"/>
              </w:rPr>
              <w:t>Diagnosis-Related Group (DRG) code</w:t>
            </w:r>
          </w:p>
        </w:tc>
        <w:tc>
          <w:tcPr>
            <w:tcW w:w="5310" w:type="dxa"/>
            <w:tcBorders>
              <w:top w:val="nil"/>
              <w:left w:val="nil"/>
              <w:bottom w:val="nil"/>
              <w:right w:val="nil"/>
            </w:tcBorders>
            <w:shd w:val="clear" w:color="auto" w:fill="auto"/>
            <w:hideMark/>
          </w:tcPr>
          <w:p w14:paraId="144B1215" w14:textId="33AD2F63"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0/1 to indicate whether patient was admitted with a primary</w:t>
            </w:r>
            <w:r w:rsidR="00F73365" w:rsidRPr="00833898">
              <w:rPr>
                <w:rFonts w:ascii="Times New Roman" w:eastAsia="Times New Roman" w:hAnsi="Times New Roman" w:cs="Times New Roman"/>
              </w:rPr>
              <w:t xml:space="preserve"> diagnosis-related group (DRG)</w:t>
            </w:r>
            <w:r w:rsidRPr="00833898">
              <w:rPr>
                <w:rFonts w:ascii="Times New Roman" w:eastAsia="Times New Roman" w:hAnsi="Times New Roman" w:cs="Times New Roman"/>
              </w:rPr>
              <w:t xml:space="preserve"> code</w:t>
            </w:r>
          </w:p>
          <w:p w14:paraId="1F0172FE" w14:textId="77777777" w:rsidR="00F407B2" w:rsidRPr="00833898" w:rsidRDefault="00F407B2" w:rsidP="00F407B2">
            <w:pPr>
              <w:rPr>
                <w:rFonts w:ascii="Times New Roman" w:eastAsia="Times New Roman" w:hAnsi="Times New Roman" w:cs="Times New Roman"/>
              </w:rPr>
            </w:pPr>
          </w:p>
        </w:tc>
      </w:tr>
      <w:tr w:rsidR="00833898" w:rsidRPr="00833898" w14:paraId="75686EF7" w14:textId="77777777" w:rsidTr="00631344">
        <w:trPr>
          <w:trHeight w:val="20"/>
        </w:trPr>
        <w:tc>
          <w:tcPr>
            <w:tcW w:w="4860" w:type="dxa"/>
            <w:tcBorders>
              <w:top w:val="nil"/>
              <w:left w:val="nil"/>
              <w:bottom w:val="nil"/>
              <w:right w:val="nil"/>
            </w:tcBorders>
            <w:shd w:val="clear" w:color="auto" w:fill="auto"/>
            <w:noWrap/>
            <w:hideMark/>
          </w:tcPr>
          <w:p w14:paraId="7E8AFCE4"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Indicator for Alcohol Use</w:t>
            </w:r>
          </w:p>
        </w:tc>
        <w:tc>
          <w:tcPr>
            <w:tcW w:w="5310" w:type="dxa"/>
            <w:tcBorders>
              <w:top w:val="nil"/>
              <w:left w:val="nil"/>
              <w:bottom w:val="nil"/>
              <w:right w:val="nil"/>
            </w:tcBorders>
            <w:shd w:val="clear" w:color="auto" w:fill="auto"/>
            <w:hideMark/>
          </w:tcPr>
          <w:p w14:paraId="3514AE1D"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0/1 to indicate whether patient consumes alcohol</w:t>
            </w:r>
          </w:p>
        </w:tc>
      </w:tr>
      <w:tr w:rsidR="00833898" w:rsidRPr="00833898" w14:paraId="5C23970F" w14:textId="77777777" w:rsidTr="00631344">
        <w:trPr>
          <w:trHeight w:val="20"/>
        </w:trPr>
        <w:tc>
          <w:tcPr>
            <w:tcW w:w="4860" w:type="dxa"/>
            <w:tcBorders>
              <w:top w:val="nil"/>
              <w:left w:val="nil"/>
              <w:bottom w:val="nil"/>
              <w:right w:val="nil"/>
            </w:tcBorders>
            <w:shd w:val="clear" w:color="auto" w:fill="auto"/>
            <w:noWrap/>
            <w:hideMark/>
          </w:tcPr>
          <w:p w14:paraId="4275F12B"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Indicator for Anesthesia Type: Bier Block</w:t>
            </w:r>
          </w:p>
        </w:tc>
        <w:tc>
          <w:tcPr>
            <w:tcW w:w="5310" w:type="dxa"/>
            <w:vMerge w:val="restart"/>
            <w:tcBorders>
              <w:top w:val="nil"/>
              <w:left w:val="nil"/>
              <w:right w:val="nil"/>
            </w:tcBorders>
            <w:shd w:val="clear" w:color="auto" w:fill="auto"/>
            <w:hideMark/>
          </w:tcPr>
          <w:p w14:paraId="41B1C6C7"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0/1 indicators for various types of anesthesia (patients may have more than one type)</w:t>
            </w:r>
          </w:p>
        </w:tc>
      </w:tr>
      <w:tr w:rsidR="00833898" w:rsidRPr="00833898" w14:paraId="0E16F5F4" w14:textId="77777777" w:rsidTr="00631344">
        <w:trPr>
          <w:trHeight w:val="20"/>
        </w:trPr>
        <w:tc>
          <w:tcPr>
            <w:tcW w:w="4860" w:type="dxa"/>
            <w:tcBorders>
              <w:top w:val="nil"/>
              <w:left w:val="nil"/>
              <w:bottom w:val="nil"/>
              <w:right w:val="nil"/>
            </w:tcBorders>
            <w:shd w:val="clear" w:color="auto" w:fill="auto"/>
            <w:noWrap/>
            <w:hideMark/>
          </w:tcPr>
          <w:p w14:paraId="5C670153"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Indicator for Anesthesia Type: Epidural</w:t>
            </w:r>
          </w:p>
        </w:tc>
        <w:tc>
          <w:tcPr>
            <w:tcW w:w="5310" w:type="dxa"/>
            <w:vMerge/>
            <w:tcBorders>
              <w:left w:val="nil"/>
              <w:right w:val="nil"/>
            </w:tcBorders>
            <w:shd w:val="clear" w:color="auto" w:fill="auto"/>
            <w:hideMark/>
          </w:tcPr>
          <w:p w14:paraId="76AAB60D" w14:textId="77777777" w:rsidR="00F407B2" w:rsidRPr="00833898" w:rsidRDefault="00F407B2" w:rsidP="00F407B2">
            <w:pPr>
              <w:rPr>
                <w:rFonts w:ascii="Times New Roman" w:eastAsia="Times New Roman" w:hAnsi="Times New Roman" w:cs="Times New Roman"/>
              </w:rPr>
            </w:pPr>
          </w:p>
        </w:tc>
      </w:tr>
      <w:tr w:rsidR="00833898" w:rsidRPr="00833898" w14:paraId="7C26591F" w14:textId="77777777" w:rsidTr="00631344">
        <w:trPr>
          <w:trHeight w:val="20"/>
        </w:trPr>
        <w:tc>
          <w:tcPr>
            <w:tcW w:w="4860" w:type="dxa"/>
            <w:tcBorders>
              <w:top w:val="nil"/>
              <w:left w:val="nil"/>
              <w:bottom w:val="nil"/>
              <w:right w:val="nil"/>
            </w:tcBorders>
            <w:shd w:val="clear" w:color="auto" w:fill="auto"/>
            <w:noWrap/>
            <w:hideMark/>
          </w:tcPr>
          <w:p w14:paraId="21E65467"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lastRenderedPageBreak/>
              <w:t>Indicator for Anesthesia Type: General</w:t>
            </w:r>
          </w:p>
        </w:tc>
        <w:tc>
          <w:tcPr>
            <w:tcW w:w="5310" w:type="dxa"/>
            <w:vMerge/>
            <w:tcBorders>
              <w:left w:val="nil"/>
              <w:right w:val="nil"/>
            </w:tcBorders>
            <w:shd w:val="clear" w:color="auto" w:fill="auto"/>
            <w:hideMark/>
          </w:tcPr>
          <w:p w14:paraId="1C40C731" w14:textId="77777777" w:rsidR="00F407B2" w:rsidRPr="00833898" w:rsidRDefault="00F407B2" w:rsidP="00F407B2">
            <w:pPr>
              <w:rPr>
                <w:rFonts w:ascii="Times New Roman" w:eastAsia="Times New Roman" w:hAnsi="Times New Roman" w:cs="Times New Roman"/>
              </w:rPr>
            </w:pPr>
          </w:p>
        </w:tc>
      </w:tr>
      <w:tr w:rsidR="00833898" w:rsidRPr="00833898" w14:paraId="242D4AB2" w14:textId="77777777" w:rsidTr="00631344">
        <w:trPr>
          <w:trHeight w:val="20"/>
        </w:trPr>
        <w:tc>
          <w:tcPr>
            <w:tcW w:w="4860" w:type="dxa"/>
            <w:tcBorders>
              <w:top w:val="nil"/>
              <w:left w:val="nil"/>
              <w:bottom w:val="nil"/>
              <w:right w:val="nil"/>
            </w:tcBorders>
            <w:shd w:val="clear" w:color="auto" w:fill="auto"/>
            <w:noWrap/>
            <w:hideMark/>
          </w:tcPr>
          <w:p w14:paraId="6635EE8C"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Indicator for Anesthesia Type: MAC</w:t>
            </w:r>
          </w:p>
        </w:tc>
        <w:tc>
          <w:tcPr>
            <w:tcW w:w="5310" w:type="dxa"/>
            <w:vMerge/>
            <w:tcBorders>
              <w:left w:val="nil"/>
              <w:right w:val="nil"/>
            </w:tcBorders>
            <w:shd w:val="clear" w:color="auto" w:fill="auto"/>
            <w:hideMark/>
          </w:tcPr>
          <w:p w14:paraId="3E0D6D77" w14:textId="77777777" w:rsidR="00F407B2" w:rsidRPr="00833898" w:rsidRDefault="00F407B2" w:rsidP="00F407B2">
            <w:pPr>
              <w:rPr>
                <w:rFonts w:ascii="Times New Roman" w:eastAsia="Times New Roman" w:hAnsi="Times New Roman" w:cs="Times New Roman"/>
              </w:rPr>
            </w:pPr>
          </w:p>
        </w:tc>
      </w:tr>
      <w:tr w:rsidR="00833898" w:rsidRPr="00833898" w14:paraId="1DA2AB0D" w14:textId="77777777" w:rsidTr="00631344">
        <w:trPr>
          <w:trHeight w:val="20"/>
        </w:trPr>
        <w:tc>
          <w:tcPr>
            <w:tcW w:w="4860" w:type="dxa"/>
            <w:tcBorders>
              <w:top w:val="nil"/>
              <w:left w:val="nil"/>
              <w:bottom w:val="nil"/>
              <w:right w:val="nil"/>
            </w:tcBorders>
            <w:shd w:val="clear" w:color="auto" w:fill="auto"/>
            <w:noWrap/>
            <w:hideMark/>
          </w:tcPr>
          <w:p w14:paraId="789747AE"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Indicator for Anesthesia Type: MAC with Local</w:t>
            </w:r>
          </w:p>
        </w:tc>
        <w:tc>
          <w:tcPr>
            <w:tcW w:w="5310" w:type="dxa"/>
            <w:vMerge/>
            <w:tcBorders>
              <w:left w:val="nil"/>
              <w:right w:val="nil"/>
            </w:tcBorders>
            <w:shd w:val="clear" w:color="auto" w:fill="auto"/>
            <w:hideMark/>
          </w:tcPr>
          <w:p w14:paraId="5EA5E72E" w14:textId="77777777" w:rsidR="00F407B2" w:rsidRPr="00833898" w:rsidRDefault="00F407B2" w:rsidP="00F407B2">
            <w:pPr>
              <w:rPr>
                <w:rFonts w:ascii="Times New Roman" w:eastAsia="Times New Roman" w:hAnsi="Times New Roman" w:cs="Times New Roman"/>
              </w:rPr>
            </w:pPr>
          </w:p>
        </w:tc>
      </w:tr>
      <w:tr w:rsidR="00833898" w:rsidRPr="00833898" w14:paraId="1BFDF769" w14:textId="77777777" w:rsidTr="00631344">
        <w:trPr>
          <w:trHeight w:val="20"/>
        </w:trPr>
        <w:tc>
          <w:tcPr>
            <w:tcW w:w="4860" w:type="dxa"/>
            <w:tcBorders>
              <w:top w:val="nil"/>
              <w:left w:val="nil"/>
              <w:bottom w:val="nil"/>
              <w:right w:val="nil"/>
            </w:tcBorders>
            <w:shd w:val="clear" w:color="auto" w:fill="auto"/>
            <w:noWrap/>
            <w:hideMark/>
          </w:tcPr>
          <w:p w14:paraId="0488D550"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Indicator for Anesthesia Type: Regional Block</w:t>
            </w:r>
          </w:p>
        </w:tc>
        <w:tc>
          <w:tcPr>
            <w:tcW w:w="5310" w:type="dxa"/>
            <w:vMerge/>
            <w:tcBorders>
              <w:left w:val="nil"/>
              <w:right w:val="nil"/>
            </w:tcBorders>
            <w:shd w:val="clear" w:color="auto" w:fill="auto"/>
            <w:hideMark/>
          </w:tcPr>
          <w:p w14:paraId="106C0B66" w14:textId="77777777" w:rsidR="00F407B2" w:rsidRPr="00833898" w:rsidRDefault="00F407B2" w:rsidP="00F407B2">
            <w:pPr>
              <w:rPr>
                <w:rFonts w:ascii="Times New Roman" w:eastAsia="Times New Roman" w:hAnsi="Times New Roman" w:cs="Times New Roman"/>
              </w:rPr>
            </w:pPr>
          </w:p>
        </w:tc>
      </w:tr>
      <w:tr w:rsidR="00833898" w:rsidRPr="00833898" w14:paraId="4A582A41" w14:textId="77777777" w:rsidTr="00631344">
        <w:trPr>
          <w:trHeight w:val="20"/>
        </w:trPr>
        <w:tc>
          <w:tcPr>
            <w:tcW w:w="4860" w:type="dxa"/>
            <w:tcBorders>
              <w:top w:val="nil"/>
              <w:left w:val="nil"/>
              <w:bottom w:val="nil"/>
              <w:right w:val="nil"/>
            </w:tcBorders>
            <w:shd w:val="clear" w:color="auto" w:fill="auto"/>
            <w:noWrap/>
            <w:hideMark/>
          </w:tcPr>
          <w:p w14:paraId="79094930"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Indicator for Anesthesia Type: Spinal</w:t>
            </w:r>
          </w:p>
        </w:tc>
        <w:tc>
          <w:tcPr>
            <w:tcW w:w="5310" w:type="dxa"/>
            <w:vMerge/>
            <w:tcBorders>
              <w:left w:val="nil"/>
              <w:bottom w:val="nil"/>
              <w:right w:val="nil"/>
            </w:tcBorders>
            <w:shd w:val="clear" w:color="auto" w:fill="auto"/>
            <w:hideMark/>
          </w:tcPr>
          <w:p w14:paraId="7449B2AA" w14:textId="77777777" w:rsidR="00F407B2" w:rsidRPr="00833898" w:rsidRDefault="00F407B2" w:rsidP="00F407B2">
            <w:pPr>
              <w:rPr>
                <w:rFonts w:ascii="Times New Roman" w:eastAsia="Times New Roman" w:hAnsi="Times New Roman" w:cs="Times New Roman"/>
              </w:rPr>
            </w:pPr>
          </w:p>
        </w:tc>
      </w:tr>
      <w:tr w:rsidR="00833898" w:rsidRPr="00833898" w14:paraId="5510DA54" w14:textId="77777777" w:rsidTr="00631344">
        <w:trPr>
          <w:trHeight w:val="20"/>
        </w:trPr>
        <w:tc>
          <w:tcPr>
            <w:tcW w:w="4860" w:type="dxa"/>
            <w:tcBorders>
              <w:top w:val="nil"/>
              <w:left w:val="nil"/>
              <w:bottom w:val="nil"/>
              <w:right w:val="nil"/>
            </w:tcBorders>
            <w:shd w:val="clear" w:color="auto" w:fill="auto"/>
            <w:noWrap/>
            <w:hideMark/>
          </w:tcPr>
          <w:p w14:paraId="3359DB40"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Indicator for Hemodialysis</w:t>
            </w:r>
          </w:p>
        </w:tc>
        <w:tc>
          <w:tcPr>
            <w:tcW w:w="5310" w:type="dxa"/>
            <w:tcBorders>
              <w:top w:val="nil"/>
              <w:left w:val="nil"/>
              <w:bottom w:val="nil"/>
              <w:right w:val="nil"/>
            </w:tcBorders>
            <w:shd w:val="clear" w:color="auto" w:fill="auto"/>
            <w:hideMark/>
          </w:tcPr>
          <w:p w14:paraId="193D05B6"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0/1 for whether patient is on inpatient dialysis</w:t>
            </w:r>
          </w:p>
        </w:tc>
      </w:tr>
      <w:tr w:rsidR="00833898" w:rsidRPr="00833898" w14:paraId="6DA9BB26" w14:textId="77777777" w:rsidTr="00631344">
        <w:trPr>
          <w:trHeight w:val="20"/>
        </w:trPr>
        <w:tc>
          <w:tcPr>
            <w:tcW w:w="4860" w:type="dxa"/>
            <w:tcBorders>
              <w:top w:val="nil"/>
              <w:left w:val="nil"/>
              <w:bottom w:val="nil"/>
              <w:right w:val="nil"/>
            </w:tcBorders>
            <w:shd w:val="clear" w:color="auto" w:fill="auto"/>
            <w:noWrap/>
            <w:hideMark/>
          </w:tcPr>
          <w:p w14:paraId="02949FBC"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Indicator for Missing Alcohol Use Indicator</w:t>
            </w:r>
          </w:p>
        </w:tc>
        <w:tc>
          <w:tcPr>
            <w:tcW w:w="5310" w:type="dxa"/>
            <w:tcBorders>
              <w:top w:val="nil"/>
              <w:left w:val="nil"/>
              <w:bottom w:val="nil"/>
              <w:right w:val="nil"/>
            </w:tcBorders>
            <w:shd w:val="clear" w:color="auto" w:fill="auto"/>
            <w:hideMark/>
          </w:tcPr>
          <w:p w14:paraId="1AC0B342"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0/1 for whether alcohol use indicator is missing</w:t>
            </w:r>
          </w:p>
        </w:tc>
      </w:tr>
      <w:tr w:rsidR="00833898" w:rsidRPr="00833898" w14:paraId="3580EDF6" w14:textId="77777777" w:rsidTr="00631344">
        <w:trPr>
          <w:trHeight w:val="20"/>
        </w:trPr>
        <w:tc>
          <w:tcPr>
            <w:tcW w:w="4860" w:type="dxa"/>
            <w:tcBorders>
              <w:top w:val="nil"/>
              <w:left w:val="nil"/>
              <w:bottom w:val="nil"/>
              <w:right w:val="nil"/>
            </w:tcBorders>
            <w:shd w:val="clear" w:color="auto" w:fill="auto"/>
            <w:noWrap/>
            <w:hideMark/>
          </w:tcPr>
          <w:p w14:paraId="237D9F49"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Indicator for Missing Alcohol Consumption</w:t>
            </w:r>
          </w:p>
        </w:tc>
        <w:tc>
          <w:tcPr>
            <w:tcW w:w="5310" w:type="dxa"/>
            <w:tcBorders>
              <w:top w:val="nil"/>
              <w:left w:val="nil"/>
              <w:bottom w:val="nil"/>
              <w:right w:val="nil"/>
            </w:tcBorders>
            <w:shd w:val="clear" w:color="auto" w:fill="auto"/>
            <w:hideMark/>
          </w:tcPr>
          <w:p w14:paraId="25547E60"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0/1 for whether alcohol consumption is missing</w:t>
            </w:r>
          </w:p>
        </w:tc>
      </w:tr>
      <w:tr w:rsidR="00833898" w:rsidRPr="00833898" w14:paraId="6B137901" w14:textId="77777777" w:rsidTr="00631344">
        <w:trPr>
          <w:trHeight w:val="20"/>
        </w:trPr>
        <w:tc>
          <w:tcPr>
            <w:tcW w:w="4860" w:type="dxa"/>
            <w:tcBorders>
              <w:top w:val="nil"/>
              <w:left w:val="nil"/>
              <w:bottom w:val="nil"/>
              <w:right w:val="nil"/>
            </w:tcBorders>
            <w:shd w:val="clear" w:color="auto" w:fill="auto"/>
            <w:noWrap/>
            <w:hideMark/>
          </w:tcPr>
          <w:p w14:paraId="2E35BBFA"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Indicator for Missing Age</w:t>
            </w:r>
          </w:p>
        </w:tc>
        <w:tc>
          <w:tcPr>
            <w:tcW w:w="5310" w:type="dxa"/>
            <w:tcBorders>
              <w:top w:val="nil"/>
              <w:left w:val="nil"/>
              <w:bottom w:val="nil"/>
              <w:right w:val="nil"/>
            </w:tcBorders>
            <w:shd w:val="clear" w:color="auto" w:fill="auto"/>
            <w:hideMark/>
          </w:tcPr>
          <w:p w14:paraId="5E7935D8"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0/1 for whether age is missing</w:t>
            </w:r>
          </w:p>
        </w:tc>
      </w:tr>
      <w:tr w:rsidR="00833898" w:rsidRPr="00833898" w14:paraId="5C72977F" w14:textId="77777777" w:rsidTr="00631344">
        <w:trPr>
          <w:trHeight w:val="20"/>
        </w:trPr>
        <w:tc>
          <w:tcPr>
            <w:tcW w:w="4860" w:type="dxa"/>
            <w:tcBorders>
              <w:top w:val="nil"/>
              <w:left w:val="nil"/>
              <w:bottom w:val="nil"/>
              <w:right w:val="nil"/>
            </w:tcBorders>
            <w:shd w:val="clear" w:color="auto" w:fill="auto"/>
            <w:noWrap/>
            <w:hideMark/>
          </w:tcPr>
          <w:p w14:paraId="65161DE3"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Indicator for Pain Management</w:t>
            </w:r>
          </w:p>
        </w:tc>
        <w:tc>
          <w:tcPr>
            <w:tcW w:w="5310" w:type="dxa"/>
            <w:tcBorders>
              <w:top w:val="nil"/>
              <w:left w:val="nil"/>
              <w:bottom w:val="nil"/>
              <w:right w:val="nil"/>
            </w:tcBorders>
            <w:shd w:val="clear" w:color="auto" w:fill="auto"/>
            <w:hideMark/>
          </w:tcPr>
          <w:p w14:paraId="1C85777E"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0/1 for whether patient has history of pre-admission pain management</w:t>
            </w:r>
          </w:p>
          <w:p w14:paraId="4745D113" w14:textId="77777777" w:rsidR="00F407B2" w:rsidRPr="00833898" w:rsidRDefault="00F407B2" w:rsidP="00F407B2">
            <w:pPr>
              <w:rPr>
                <w:rFonts w:ascii="Times New Roman" w:eastAsia="Times New Roman" w:hAnsi="Times New Roman" w:cs="Times New Roman"/>
              </w:rPr>
            </w:pPr>
          </w:p>
        </w:tc>
      </w:tr>
      <w:tr w:rsidR="00833898" w:rsidRPr="00833898" w14:paraId="58065401" w14:textId="77777777" w:rsidTr="00631344">
        <w:trPr>
          <w:trHeight w:val="20"/>
        </w:trPr>
        <w:tc>
          <w:tcPr>
            <w:tcW w:w="4860" w:type="dxa"/>
            <w:tcBorders>
              <w:top w:val="nil"/>
              <w:left w:val="nil"/>
              <w:bottom w:val="nil"/>
              <w:right w:val="nil"/>
            </w:tcBorders>
            <w:shd w:val="clear" w:color="auto" w:fill="auto"/>
            <w:noWrap/>
            <w:hideMark/>
          </w:tcPr>
          <w:p w14:paraId="332ADBEC"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Indicator for Smoking</w:t>
            </w:r>
          </w:p>
        </w:tc>
        <w:tc>
          <w:tcPr>
            <w:tcW w:w="5310" w:type="dxa"/>
            <w:tcBorders>
              <w:top w:val="nil"/>
              <w:left w:val="nil"/>
              <w:bottom w:val="nil"/>
              <w:right w:val="nil"/>
            </w:tcBorders>
            <w:shd w:val="clear" w:color="auto" w:fill="auto"/>
            <w:hideMark/>
          </w:tcPr>
          <w:p w14:paraId="0E43BF15"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0/1 for whether patient is a smoker</w:t>
            </w:r>
          </w:p>
        </w:tc>
      </w:tr>
      <w:tr w:rsidR="00833898" w:rsidRPr="00833898" w14:paraId="579A70CF" w14:textId="77777777" w:rsidTr="00631344">
        <w:trPr>
          <w:trHeight w:val="20"/>
        </w:trPr>
        <w:tc>
          <w:tcPr>
            <w:tcW w:w="4860" w:type="dxa"/>
            <w:tcBorders>
              <w:top w:val="nil"/>
              <w:left w:val="nil"/>
              <w:bottom w:val="nil"/>
              <w:right w:val="nil"/>
            </w:tcBorders>
            <w:shd w:val="clear" w:color="auto" w:fill="auto"/>
            <w:noWrap/>
            <w:hideMark/>
          </w:tcPr>
          <w:p w14:paraId="05D1A03B"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 xml:space="preserve">Indicator for Tracheostomy </w:t>
            </w:r>
          </w:p>
        </w:tc>
        <w:tc>
          <w:tcPr>
            <w:tcW w:w="5310" w:type="dxa"/>
            <w:tcBorders>
              <w:top w:val="nil"/>
              <w:left w:val="nil"/>
              <w:bottom w:val="nil"/>
              <w:right w:val="nil"/>
            </w:tcBorders>
            <w:shd w:val="clear" w:color="auto" w:fill="auto"/>
            <w:hideMark/>
          </w:tcPr>
          <w:p w14:paraId="55FCA032"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 xml:space="preserve">0/1 for whether patient was administered tracheostomy during admission </w:t>
            </w:r>
          </w:p>
        </w:tc>
      </w:tr>
      <w:tr w:rsidR="00833898" w:rsidRPr="00833898" w14:paraId="72274827" w14:textId="77777777" w:rsidTr="00631344">
        <w:trPr>
          <w:trHeight w:val="20"/>
        </w:trPr>
        <w:tc>
          <w:tcPr>
            <w:tcW w:w="4860" w:type="dxa"/>
            <w:tcBorders>
              <w:top w:val="nil"/>
              <w:left w:val="nil"/>
              <w:bottom w:val="nil"/>
              <w:right w:val="nil"/>
            </w:tcBorders>
            <w:shd w:val="clear" w:color="auto" w:fill="auto"/>
            <w:noWrap/>
            <w:hideMark/>
          </w:tcPr>
          <w:p w14:paraId="5AE69C73"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Number of Admissions in Previous Year</w:t>
            </w:r>
          </w:p>
        </w:tc>
        <w:tc>
          <w:tcPr>
            <w:tcW w:w="5310" w:type="dxa"/>
            <w:tcBorders>
              <w:top w:val="nil"/>
              <w:left w:val="nil"/>
              <w:bottom w:val="nil"/>
              <w:right w:val="nil"/>
            </w:tcBorders>
            <w:shd w:val="clear" w:color="auto" w:fill="auto"/>
            <w:hideMark/>
          </w:tcPr>
          <w:p w14:paraId="5C0CCD27"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 xml:space="preserve">Number of prior admissions in one year period before current admission </w:t>
            </w:r>
          </w:p>
        </w:tc>
      </w:tr>
      <w:tr w:rsidR="00833898" w:rsidRPr="00833898" w14:paraId="7D1CD9C9" w14:textId="77777777" w:rsidTr="00631344">
        <w:trPr>
          <w:trHeight w:val="20"/>
        </w:trPr>
        <w:tc>
          <w:tcPr>
            <w:tcW w:w="4860" w:type="dxa"/>
            <w:tcBorders>
              <w:top w:val="nil"/>
              <w:left w:val="nil"/>
              <w:bottom w:val="nil"/>
              <w:right w:val="nil"/>
            </w:tcBorders>
            <w:shd w:val="clear" w:color="auto" w:fill="auto"/>
            <w:noWrap/>
            <w:hideMark/>
          </w:tcPr>
          <w:p w14:paraId="77A4588F"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Patient Class</w:t>
            </w:r>
          </w:p>
        </w:tc>
        <w:tc>
          <w:tcPr>
            <w:tcW w:w="5310" w:type="dxa"/>
            <w:tcBorders>
              <w:top w:val="nil"/>
              <w:left w:val="nil"/>
              <w:bottom w:val="nil"/>
              <w:right w:val="nil"/>
            </w:tcBorders>
            <w:shd w:val="clear" w:color="auto" w:fill="auto"/>
            <w:hideMark/>
          </w:tcPr>
          <w:p w14:paraId="76E67030"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Categorical variable; one of: Emergency, Inpatient, Outpatient, Overnight recovery, Same day admit, Surgery outpatient</w:t>
            </w:r>
          </w:p>
          <w:p w14:paraId="016AE697" w14:textId="77777777" w:rsidR="00F407B2" w:rsidRPr="00833898" w:rsidRDefault="00F407B2" w:rsidP="00F407B2">
            <w:pPr>
              <w:rPr>
                <w:rFonts w:ascii="Times New Roman" w:eastAsia="Times New Roman" w:hAnsi="Times New Roman" w:cs="Times New Roman"/>
              </w:rPr>
            </w:pPr>
          </w:p>
        </w:tc>
      </w:tr>
      <w:tr w:rsidR="00833898" w:rsidRPr="00833898" w14:paraId="33D51431" w14:textId="77777777" w:rsidTr="00631344">
        <w:trPr>
          <w:trHeight w:val="20"/>
        </w:trPr>
        <w:tc>
          <w:tcPr>
            <w:tcW w:w="4860" w:type="dxa"/>
            <w:tcBorders>
              <w:top w:val="nil"/>
              <w:left w:val="nil"/>
              <w:bottom w:val="nil"/>
              <w:right w:val="nil"/>
            </w:tcBorders>
            <w:shd w:val="clear" w:color="auto" w:fill="auto"/>
            <w:noWrap/>
            <w:hideMark/>
          </w:tcPr>
          <w:p w14:paraId="56DBF74B"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Primary Language</w:t>
            </w:r>
          </w:p>
        </w:tc>
        <w:tc>
          <w:tcPr>
            <w:tcW w:w="5310" w:type="dxa"/>
            <w:tcBorders>
              <w:top w:val="nil"/>
              <w:left w:val="nil"/>
              <w:bottom w:val="nil"/>
              <w:right w:val="nil"/>
            </w:tcBorders>
            <w:shd w:val="clear" w:color="auto" w:fill="auto"/>
            <w:hideMark/>
          </w:tcPr>
          <w:p w14:paraId="4FAAE69D"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Categorical variable; one of: English, Spanish, Other</w:t>
            </w:r>
          </w:p>
          <w:p w14:paraId="6A5E043A" w14:textId="77777777" w:rsidR="00F407B2" w:rsidRPr="00833898" w:rsidRDefault="00F407B2" w:rsidP="00F407B2">
            <w:pPr>
              <w:rPr>
                <w:rFonts w:ascii="Times New Roman" w:eastAsia="Times New Roman" w:hAnsi="Times New Roman" w:cs="Times New Roman"/>
              </w:rPr>
            </w:pPr>
          </w:p>
        </w:tc>
      </w:tr>
      <w:tr w:rsidR="00833898" w:rsidRPr="00833898" w14:paraId="27D716B8" w14:textId="77777777" w:rsidTr="00631344">
        <w:trPr>
          <w:trHeight w:val="20"/>
        </w:trPr>
        <w:tc>
          <w:tcPr>
            <w:tcW w:w="4860" w:type="dxa"/>
            <w:tcBorders>
              <w:top w:val="nil"/>
              <w:left w:val="nil"/>
              <w:bottom w:val="nil"/>
              <w:right w:val="nil"/>
            </w:tcBorders>
            <w:shd w:val="clear" w:color="auto" w:fill="auto"/>
            <w:noWrap/>
            <w:hideMark/>
          </w:tcPr>
          <w:p w14:paraId="10745D97"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Race</w:t>
            </w:r>
          </w:p>
        </w:tc>
        <w:tc>
          <w:tcPr>
            <w:tcW w:w="5310" w:type="dxa"/>
            <w:tcBorders>
              <w:top w:val="nil"/>
              <w:left w:val="nil"/>
              <w:bottom w:val="nil"/>
              <w:right w:val="nil"/>
            </w:tcBorders>
            <w:shd w:val="clear" w:color="auto" w:fill="auto"/>
            <w:hideMark/>
          </w:tcPr>
          <w:p w14:paraId="5B372FC3"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Categorical variable; one of: Asian, Black, White, Other</w:t>
            </w:r>
          </w:p>
          <w:p w14:paraId="6F3037BC" w14:textId="77777777" w:rsidR="00F407B2" w:rsidRPr="00833898" w:rsidRDefault="00F407B2" w:rsidP="00F407B2">
            <w:pPr>
              <w:rPr>
                <w:rFonts w:ascii="Times New Roman" w:eastAsia="Times New Roman" w:hAnsi="Times New Roman" w:cs="Times New Roman"/>
              </w:rPr>
            </w:pPr>
          </w:p>
        </w:tc>
      </w:tr>
      <w:tr w:rsidR="00833898" w:rsidRPr="00833898" w14:paraId="4E3D3D92" w14:textId="77777777" w:rsidTr="00631344">
        <w:trPr>
          <w:trHeight w:val="20"/>
        </w:trPr>
        <w:tc>
          <w:tcPr>
            <w:tcW w:w="4860" w:type="dxa"/>
            <w:tcBorders>
              <w:top w:val="nil"/>
              <w:left w:val="nil"/>
              <w:bottom w:val="nil"/>
              <w:right w:val="nil"/>
            </w:tcBorders>
            <w:shd w:val="clear" w:color="auto" w:fill="auto"/>
            <w:noWrap/>
            <w:hideMark/>
          </w:tcPr>
          <w:p w14:paraId="018F4838"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Relative Time to Surgery from Admission</w:t>
            </w:r>
          </w:p>
        </w:tc>
        <w:tc>
          <w:tcPr>
            <w:tcW w:w="5310" w:type="dxa"/>
            <w:tcBorders>
              <w:top w:val="nil"/>
              <w:left w:val="nil"/>
              <w:bottom w:val="nil"/>
              <w:right w:val="nil"/>
            </w:tcBorders>
            <w:shd w:val="clear" w:color="auto" w:fill="auto"/>
            <w:hideMark/>
          </w:tcPr>
          <w:p w14:paraId="70D248BC"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Measured in hours</w:t>
            </w:r>
          </w:p>
        </w:tc>
      </w:tr>
      <w:tr w:rsidR="00833898" w:rsidRPr="00833898" w14:paraId="404E211B" w14:textId="77777777" w:rsidTr="00631344">
        <w:trPr>
          <w:trHeight w:val="20"/>
        </w:trPr>
        <w:tc>
          <w:tcPr>
            <w:tcW w:w="4860" w:type="dxa"/>
            <w:tcBorders>
              <w:top w:val="nil"/>
              <w:left w:val="nil"/>
              <w:bottom w:val="nil"/>
              <w:right w:val="nil"/>
            </w:tcBorders>
            <w:shd w:val="clear" w:color="auto" w:fill="auto"/>
            <w:noWrap/>
            <w:hideMark/>
          </w:tcPr>
          <w:p w14:paraId="1E6FF75D" w14:textId="1EA53EF9" w:rsidR="00F407B2" w:rsidRPr="00833898" w:rsidRDefault="001F2138" w:rsidP="00F407B2">
            <w:pPr>
              <w:rPr>
                <w:rFonts w:ascii="Times New Roman" w:eastAsia="Times New Roman" w:hAnsi="Times New Roman" w:cs="Times New Roman"/>
              </w:rPr>
            </w:pPr>
            <w:r w:rsidRPr="00833898">
              <w:rPr>
                <w:rFonts w:ascii="Times New Roman" w:eastAsia="Times New Roman" w:hAnsi="Times New Roman" w:cs="Times New Roman"/>
              </w:rPr>
              <w:t>Risk, Injury, Failure, Sustained Loss and End-Stage (</w:t>
            </w:r>
            <w:r w:rsidR="00F407B2" w:rsidRPr="00833898">
              <w:rPr>
                <w:rFonts w:ascii="Times New Roman" w:eastAsia="Times New Roman" w:hAnsi="Times New Roman" w:cs="Times New Roman"/>
              </w:rPr>
              <w:t>RIFLE</w:t>
            </w:r>
            <w:r w:rsidRPr="00833898">
              <w:rPr>
                <w:rFonts w:ascii="Times New Roman" w:eastAsia="Times New Roman" w:hAnsi="Times New Roman" w:cs="Times New Roman"/>
              </w:rPr>
              <w:t>)</w:t>
            </w:r>
            <w:r w:rsidR="00F407B2" w:rsidRPr="00833898">
              <w:rPr>
                <w:rFonts w:ascii="Times New Roman" w:eastAsia="Times New Roman" w:hAnsi="Times New Roman" w:cs="Times New Roman"/>
              </w:rPr>
              <w:t xml:space="preserve"> Class</w:t>
            </w:r>
          </w:p>
        </w:tc>
        <w:tc>
          <w:tcPr>
            <w:tcW w:w="5310" w:type="dxa"/>
            <w:tcBorders>
              <w:top w:val="nil"/>
              <w:left w:val="nil"/>
              <w:bottom w:val="nil"/>
              <w:right w:val="nil"/>
            </w:tcBorders>
            <w:shd w:val="clear" w:color="auto" w:fill="auto"/>
            <w:hideMark/>
          </w:tcPr>
          <w:p w14:paraId="48715EC9" w14:textId="6BA2F754"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Categorical variable; one of: 1, 2, 3 or NA</w:t>
            </w:r>
            <w:r w:rsidR="001F2138" w:rsidRPr="00833898">
              <w:rPr>
                <w:rFonts w:ascii="Times New Roman" w:eastAsia="Times New Roman" w:hAnsi="Times New Roman" w:cs="Times New Roman"/>
              </w:rPr>
              <w:t xml:space="preserve">; computed using method of </w:t>
            </w:r>
            <w:proofErr w:type="spellStart"/>
            <w:r w:rsidR="001F2138" w:rsidRPr="00833898">
              <w:rPr>
                <w:rFonts w:ascii="Times New Roman" w:eastAsia="Times New Roman" w:hAnsi="Times New Roman" w:cs="Times New Roman"/>
              </w:rPr>
              <w:t>Bellomo</w:t>
            </w:r>
            <w:proofErr w:type="spellEnd"/>
            <w:r w:rsidR="001F2138" w:rsidRPr="00833898">
              <w:rPr>
                <w:rFonts w:ascii="Times New Roman" w:eastAsia="Times New Roman" w:hAnsi="Times New Roman" w:cs="Times New Roman"/>
              </w:rPr>
              <w:t xml:space="preserve"> </w:t>
            </w:r>
            <w:r w:rsidR="001F2138" w:rsidRPr="00833898">
              <w:rPr>
                <w:rFonts w:ascii="Times New Roman" w:eastAsia="Times New Roman" w:hAnsi="Times New Roman" w:cs="Times New Roman"/>
                <w:i/>
              </w:rPr>
              <w:t>et al</w:t>
            </w:r>
            <w:r w:rsidR="001F2138" w:rsidRPr="00833898">
              <w:rPr>
                <w:rFonts w:ascii="Times New Roman" w:eastAsia="Times New Roman" w:hAnsi="Times New Roman" w:cs="Times New Roman"/>
                <w:i/>
              </w:rPr>
              <w:fldChar w:fldCharType="begin" w:fldLock="1"/>
            </w:r>
            <w:r w:rsidR="001F2138" w:rsidRPr="00833898">
              <w:rPr>
                <w:rFonts w:ascii="Times New Roman" w:eastAsia="Times New Roman" w:hAnsi="Times New Roman" w:cs="Times New Roman"/>
                <w:i/>
              </w:rPr>
              <w:instrText>ADDIN CSL_CITATION {"citationItems":[{"id":"ITEM-1","itemData":{"author":[{"dropping-particle":"","family":"Bellomo","given":"Rinaldo","non-dropping-particle":"","parse-names":false,"suffix":""},{"dropping-particle":"","family":"Kellum","given":"John A","non-dropping-particle":"","parse-names":false,"suffix":""},{"dropping-particle":"","family":"Ronco","given":"Claudio","non-dropping-particle":"","parse-names":false,"suffix":""}],"container-title":"Intensive care medicine","id":"ITEM-1","issue":"3","issued":{"date-parts":[["2007"]]},"page":"409-413","publisher":"Springer","title":"Defining and classifying acute renal failure: from advocacy to consensus and validation of the RIFLE criteria","type":"article-journal","volume":"33"},"uris":["http://www.mendeley.com/documents/?uuid=d205a072-4801-4745-8855-b3dae881fc1b"]}],"mendeley":{"formattedCitation":"&lt;sup&gt;3&lt;/sup&gt;","plainTextFormattedCitation":"3","previouslyFormattedCitation":"&lt;sup&gt;3&lt;/sup&gt;"},"properties":{"noteIndex":0},"schema":"https://github.com/citation-style-language/schema/raw/master/csl-citation.json"}</w:instrText>
            </w:r>
            <w:r w:rsidR="001F2138" w:rsidRPr="00833898">
              <w:rPr>
                <w:rFonts w:ascii="Times New Roman" w:eastAsia="Times New Roman" w:hAnsi="Times New Roman" w:cs="Times New Roman"/>
                <w:i/>
              </w:rPr>
              <w:fldChar w:fldCharType="separate"/>
            </w:r>
            <w:r w:rsidR="001F2138" w:rsidRPr="00833898">
              <w:rPr>
                <w:rFonts w:ascii="Times New Roman" w:eastAsia="Times New Roman" w:hAnsi="Times New Roman" w:cs="Times New Roman"/>
                <w:noProof/>
                <w:vertAlign w:val="superscript"/>
              </w:rPr>
              <w:t>3</w:t>
            </w:r>
            <w:r w:rsidR="001F2138" w:rsidRPr="00833898">
              <w:rPr>
                <w:rFonts w:ascii="Times New Roman" w:eastAsia="Times New Roman" w:hAnsi="Times New Roman" w:cs="Times New Roman"/>
                <w:i/>
              </w:rPr>
              <w:fldChar w:fldCharType="end"/>
            </w:r>
          </w:p>
        </w:tc>
      </w:tr>
      <w:tr w:rsidR="00833898" w:rsidRPr="00833898" w14:paraId="42151BFB" w14:textId="77777777" w:rsidTr="00631344">
        <w:trPr>
          <w:trHeight w:val="20"/>
        </w:trPr>
        <w:tc>
          <w:tcPr>
            <w:tcW w:w="4860" w:type="dxa"/>
            <w:tcBorders>
              <w:top w:val="nil"/>
              <w:left w:val="nil"/>
              <w:bottom w:val="nil"/>
              <w:right w:val="nil"/>
            </w:tcBorders>
            <w:shd w:val="clear" w:color="auto" w:fill="auto"/>
            <w:noWrap/>
            <w:hideMark/>
          </w:tcPr>
          <w:p w14:paraId="1058EBB8"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Sex</w:t>
            </w:r>
          </w:p>
        </w:tc>
        <w:tc>
          <w:tcPr>
            <w:tcW w:w="5310" w:type="dxa"/>
            <w:tcBorders>
              <w:top w:val="nil"/>
              <w:left w:val="nil"/>
              <w:bottom w:val="nil"/>
              <w:right w:val="nil"/>
            </w:tcBorders>
            <w:shd w:val="clear" w:color="auto" w:fill="auto"/>
            <w:hideMark/>
          </w:tcPr>
          <w:p w14:paraId="3E579C54"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Categorical variable; one of: Male, Female</w:t>
            </w:r>
          </w:p>
        </w:tc>
      </w:tr>
      <w:tr w:rsidR="00833898" w:rsidRPr="00833898" w14:paraId="31B4DD26" w14:textId="77777777" w:rsidTr="00631344">
        <w:trPr>
          <w:trHeight w:val="20"/>
        </w:trPr>
        <w:tc>
          <w:tcPr>
            <w:tcW w:w="4860" w:type="dxa"/>
            <w:tcBorders>
              <w:top w:val="nil"/>
              <w:left w:val="nil"/>
              <w:bottom w:val="nil"/>
              <w:right w:val="nil"/>
            </w:tcBorders>
            <w:shd w:val="clear" w:color="auto" w:fill="auto"/>
            <w:noWrap/>
            <w:hideMark/>
          </w:tcPr>
          <w:p w14:paraId="3EDF4161"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Surgical Service Line</w:t>
            </w:r>
          </w:p>
        </w:tc>
        <w:tc>
          <w:tcPr>
            <w:tcW w:w="5310" w:type="dxa"/>
            <w:tcBorders>
              <w:top w:val="nil"/>
              <w:left w:val="nil"/>
              <w:bottom w:val="nil"/>
              <w:right w:val="nil"/>
            </w:tcBorders>
            <w:shd w:val="clear" w:color="auto" w:fill="auto"/>
            <w:hideMark/>
          </w:tcPr>
          <w:p w14:paraId="15DBEDDF"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 xml:space="preserve">Categorical variable; one of: Cardiac, General, Liver Transplant, Neurosurgery, Obstetrics and Gynecology, Ophthalmology, Oral and Maxillofacial, </w:t>
            </w:r>
            <w:proofErr w:type="spellStart"/>
            <w:r w:rsidRPr="00833898">
              <w:rPr>
                <w:rFonts w:ascii="Times New Roman" w:eastAsia="Times New Roman" w:hAnsi="Times New Roman" w:cs="Times New Roman"/>
              </w:rPr>
              <w:t>Orthopaedics</w:t>
            </w:r>
            <w:proofErr w:type="spellEnd"/>
            <w:r w:rsidRPr="00833898">
              <w:rPr>
                <w:rFonts w:ascii="Times New Roman" w:eastAsia="Times New Roman" w:hAnsi="Times New Roman" w:cs="Times New Roman"/>
              </w:rPr>
              <w:t xml:space="preserve">, Other, Otolaryngology, Pediatric, Plastic, Radiation Oncology, Radiology, </w:t>
            </w:r>
            <w:r w:rsidRPr="00833898">
              <w:rPr>
                <w:rFonts w:ascii="Times New Roman" w:eastAsia="Times New Roman" w:hAnsi="Times New Roman" w:cs="Times New Roman"/>
              </w:rPr>
              <w:lastRenderedPageBreak/>
              <w:t>Surgical Oncology, Thoracic Surgery, Urology, Vascular</w:t>
            </w:r>
          </w:p>
          <w:p w14:paraId="3141505D" w14:textId="77777777" w:rsidR="00F407B2" w:rsidRPr="00833898" w:rsidRDefault="00F407B2" w:rsidP="00F407B2">
            <w:pPr>
              <w:rPr>
                <w:rFonts w:ascii="Times New Roman" w:eastAsia="Times New Roman" w:hAnsi="Times New Roman" w:cs="Times New Roman"/>
              </w:rPr>
            </w:pPr>
          </w:p>
        </w:tc>
      </w:tr>
      <w:tr w:rsidR="00833898" w:rsidRPr="00833898" w14:paraId="129D3543" w14:textId="77777777" w:rsidTr="00631344">
        <w:trPr>
          <w:trHeight w:val="20"/>
        </w:trPr>
        <w:tc>
          <w:tcPr>
            <w:tcW w:w="4860" w:type="dxa"/>
            <w:tcBorders>
              <w:top w:val="nil"/>
              <w:left w:val="nil"/>
              <w:bottom w:val="nil"/>
              <w:right w:val="nil"/>
            </w:tcBorders>
            <w:shd w:val="clear" w:color="auto" w:fill="auto"/>
            <w:noWrap/>
            <w:hideMark/>
          </w:tcPr>
          <w:p w14:paraId="0294BAB9"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lastRenderedPageBreak/>
              <w:t>Total Blood Transfused</w:t>
            </w:r>
          </w:p>
        </w:tc>
        <w:tc>
          <w:tcPr>
            <w:tcW w:w="5310" w:type="dxa"/>
            <w:tcBorders>
              <w:top w:val="nil"/>
              <w:left w:val="nil"/>
              <w:bottom w:val="nil"/>
              <w:right w:val="nil"/>
            </w:tcBorders>
            <w:shd w:val="clear" w:color="auto" w:fill="auto"/>
            <w:hideMark/>
          </w:tcPr>
          <w:p w14:paraId="1ECBFC5D"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Measured in mL</w:t>
            </w:r>
          </w:p>
        </w:tc>
      </w:tr>
      <w:tr w:rsidR="00833898" w:rsidRPr="00833898" w14:paraId="5EAE8C90" w14:textId="77777777" w:rsidTr="00631344">
        <w:trPr>
          <w:trHeight w:val="20"/>
        </w:trPr>
        <w:tc>
          <w:tcPr>
            <w:tcW w:w="4860" w:type="dxa"/>
            <w:tcBorders>
              <w:top w:val="nil"/>
              <w:left w:val="nil"/>
              <w:bottom w:val="nil"/>
              <w:right w:val="nil"/>
            </w:tcBorders>
            <w:shd w:val="clear" w:color="auto" w:fill="auto"/>
            <w:noWrap/>
            <w:hideMark/>
          </w:tcPr>
          <w:p w14:paraId="3410FBAB"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Total Colloid Transfused</w:t>
            </w:r>
          </w:p>
        </w:tc>
        <w:tc>
          <w:tcPr>
            <w:tcW w:w="5310" w:type="dxa"/>
            <w:tcBorders>
              <w:top w:val="nil"/>
              <w:left w:val="nil"/>
              <w:bottom w:val="nil"/>
              <w:right w:val="nil"/>
            </w:tcBorders>
            <w:shd w:val="clear" w:color="auto" w:fill="auto"/>
            <w:hideMark/>
          </w:tcPr>
          <w:p w14:paraId="0A93AF08"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Measured in mL</w:t>
            </w:r>
          </w:p>
        </w:tc>
      </w:tr>
      <w:tr w:rsidR="00833898" w:rsidRPr="00833898" w14:paraId="6E805E6B" w14:textId="77777777" w:rsidTr="00631344">
        <w:trPr>
          <w:trHeight w:val="20"/>
        </w:trPr>
        <w:tc>
          <w:tcPr>
            <w:tcW w:w="4860" w:type="dxa"/>
            <w:tcBorders>
              <w:top w:val="nil"/>
              <w:left w:val="nil"/>
              <w:bottom w:val="nil"/>
              <w:right w:val="nil"/>
            </w:tcBorders>
            <w:shd w:val="clear" w:color="auto" w:fill="auto"/>
            <w:noWrap/>
            <w:hideMark/>
          </w:tcPr>
          <w:p w14:paraId="6953552A"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Total Estimated Blood Loss</w:t>
            </w:r>
          </w:p>
        </w:tc>
        <w:tc>
          <w:tcPr>
            <w:tcW w:w="5310" w:type="dxa"/>
            <w:tcBorders>
              <w:top w:val="nil"/>
              <w:left w:val="nil"/>
              <w:bottom w:val="nil"/>
              <w:right w:val="nil"/>
            </w:tcBorders>
            <w:shd w:val="clear" w:color="auto" w:fill="auto"/>
            <w:hideMark/>
          </w:tcPr>
          <w:p w14:paraId="3CF718D4"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Measured in mL</w:t>
            </w:r>
          </w:p>
        </w:tc>
      </w:tr>
      <w:tr w:rsidR="00833898" w:rsidRPr="00833898" w14:paraId="6A298A3A" w14:textId="77777777" w:rsidTr="00631344">
        <w:trPr>
          <w:trHeight w:val="20"/>
        </w:trPr>
        <w:tc>
          <w:tcPr>
            <w:tcW w:w="4860" w:type="dxa"/>
            <w:tcBorders>
              <w:top w:val="nil"/>
              <w:left w:val="nil"/>
              <w:bottom w:val="nil"/>
              <w:right w:val="nil"/>
            </w:tcBorders>
            <w:shd w:val="clear" w:color="auto" w:fill="auto"/>
            <w:noWrap/>
            <w:hideMark/>
          </w:tcPr>
          <w:p w14:paraId="4DB3342B"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Total Fluid Transfused</w:t>
            </w:r>
          </w:p>
        </w:tc>
        <w:tc>
          <w:tcPr>
            <w:tcW w:w="5310" w:type="dxa"/>
            <w:tcBorders>
              <w:top w:val="nil"/>
              <w:left w:val="nil"/>
              <w:bottom w:val="nil"/>
              <w:right w:val="nil"/>
            </w:tcBorders>
            <w:shd w:val="clear" w:color="auto" w:fill="auto"/>
            <w:hideMark/>
          </w:tcPr>
          <w:p w14:paraId="6EE534DA"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Measured in mL</w:t>
            </w:r>
          </w:p>
        </w:tc>
      </w:tr>
      <w:tr w:rsidR="00833898" w:rsidRPr="00833898" w14:paraId="5311EE62" w14:textId="77777777" w:rsidTr="00631344">
        <w:trPr>
          <w:trHeight w:val="20"/>
        </w:trPr>
        <w:tc>
          <w:tcPr>
            <w:tcW w:w="4860" w:type="dxa"/>
            <w:tcBorders>
              <w:top w:val="nil"/>
              <w:left w:val="nil"/>
              <w:bottom w:val="nil"/>
              <w:right w:val="nil"/>
            </w:tcBorders>
            <w:shd w:val="clear" w:color="auto" w:fill="auto"/>
            <w:noWrap/>
            <w:hideMark/>
          </w:tcPr>
          <w:p w14:paraId="56A8B6CC"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Weight</w:t>
            </w:r>
          </w:p>
        </w:tc>
        <w:tc>
          <w:tcPr>
            <w:tcW w:w="5310" w:type="dxa"/>
            <w:tcBorders>
              <w:top w:val="nil"/>
              <w:left w:val="nil"/>
              <w:bottom w:val="nil"/>
              <w:right w:val="nil"/>
            </w:tcBorders>
            <w:shd w:val="clear" w:color="auto" w:fill="auto"/>
            <w:hideMark/>
          </w:tcPr>
          <w:p w14:paraId="2179A73F" w14:textId="77777777" w:rsidR="00F407B2" w:rsidRPr="00833898" w:rsidRDefault="00F407B2" w:rsidP="00F407B2">
            <w:pPr>
              <w:rPr>
                <w:rFonts w:ascii="Times New Roman" w:eastAsia="Times New Roman" w:hAnsi="Times New Roman" w:cs="Times New Roman"/>
              </w:rPr>
            </w:pPr>
            <w:r w:rsidRPr="00833898">
              <w:rPr>
                <w:rFonts w:ascii="Times New Roman" w:eastAsia="Times New Roman" w:hAnsi="Times New Roman" w:cs="Times New Roman"/>
              </w:rPr>
              <w:t>Patient's weight (in kg) at admission</w:t>
            </w:r>
          </w:p>
        </w:tc>
      </w:tr>
    </w:tbl>
    <w:p w14:paraId="1615DC31" w14:textId="133709BB" w:rsidR="001F2138" w:rsidRPr="00833898" w:rsidRDefault="001F2138" w:rsidP="001F2138">
      <w:pPr>
        <w:widowControl w:val="0"/>
        <w:autoSpaceDE w:val="0"/>
        <w:autoSpaceDN w:val="0"/>
        <w:adjustRightInd w:val="0"/>
        <w:ind w:left="640" w:hanging="640"/>
        <w:rPr>
          <w:rFonts w:ascii="Times New Roman" w:hAnsi="Times New Roman" w:cs="Times New Roman"/>
          <w:b/>
        </w:rPr>
      </w:pPr>
      <w:r w:rsidRPr="00833898">
        <w:rPr>
          <w:rFonts w:ascii="Times New Roman" w:hAnsi="Times New Roman" w:cs="Times New Roman"/>
          <w:b/>
        </w:rPr>
        <w:t xml:space="preserve">References: </w:t>
      </w:r>
    </w:p>
    <w:p w14:paraId="417D0CB9" w14:textId="77777777" w:rsidR="001F2138" w:rsidRPr="00833898" w:rsidRDefault="001F2138" w:rsidP="001F2138">
      <w:pPr>
        <w:widowControl w:val="0"/>
        <w:autoSpaceDE w:val="0"/>
        <w:autoSpaceDN w:val="0"/>
        <w:adjustRightInd w:val="0"/>
        <w:ind w:left="640" w:hanging="640"/>
        <w:rPr>
          <w:rFonts w:ascii="Times New Roman" w:hAnsi="Times New Roman" w:cs="Times New Roman"/>
          <w:b/>
        </w:rPr>
      </w:pPr>
    </w:p>
    <w:p w14:paraId="362F11E8" w14:textId="6BFE4E7C" w:rsidR="001F2138" w:rsidRPr="00833898" w:rsidRDefault="001F2138" w:rsidP="001F2138">
      <w:pPr>
        <w:widowControl w:val="0"/>
        <w:autoSpaceDE w:val="0"/>
        <w:autoSpaceDN w:val="0"/>
        <w:adjustRightInd w:val="0"/>
        <w:ind w:left="640" w:hanging="640"/>
        <w:rPr>
          <w:rFonts w:ascii="Times New Roman" w:hAnsi="Times New Roman" w:cs="Times New Roman"/>
          <w:noProof/>
        </w:rPr>
      </w:pPr>
      <w:r w:rsidRPr="00833898">
        <w:rPr>
          <w:rFonts w:ascii="Times New Roman" w:hAnsi="Times New Roman" w:cs="Times New Roman"/>
        </w:rPr>
        <w:fldChar w:fldCharType="begin" w:fldLock="1"/>
      </w:r>
      <w:r w:rsidRPr="00833898">
        <w:rPr>
          <w:rFonts w:ascii="Times New Roman" w:hAnsi="Times New Roman" w:cs="Times New Roman"/>
        </w:rPr>
        <w:instrText xml:space="preserve">ADDIN Mendeley Bibliography CSL_BIBLIOGRAPHY </w:instrText>
      </w:r>
      <w:r w:rsidRPr="00833898">
        <w:rPr>
          <w:rFonts w:ascii="Times New Roman" w:hAnsi="Times New Roman" w:cs="Times New Roman"/>
        </w:rPr>
        <w:fldChar w:fldCharType="separate"/>
      </w:r>
      <w:r w:rsidRPr="00833898">
        <w:rPr>
          <w:rFonts w:ascii="Times New Roman" w:hAnsi="Times New Roman" w:cs="Times New Roman"/>
          <w:noProof/>
        </w:rPr>
        <w:t xml:space="preserve">1. </w:t>
      </w:r>
      <w:r w:rsidRPr="00833898">
        <w:rPr>
          <w:rFonts w:ascii="Times New Roman" w:hAnsi="Times New Roman" w:cs="Times New Roman"/>
          <w:noProof/>
        </w:rPr>
        <w:tab/>
        <w:t>Mehta RL, Kellum JA, Shah S V, Molitoris BA, Ronco C, Warnock DG, Levin A. Acute Kidney Injury Network: report of an initiative to improve outcomes in acute kidney injury. Crit Care 2007;11:R31.</w:t>
      </w:r>
    </w:p>
    <w:p w14:paraId="46CEC520" w14:textId="77777777" w:rsidR="001F2138" w:rsidRPr="00833898" w:rsidRDefault="001F2138" w:rsidP="001F2138">
      <w:pPr>
        <w:widowControl w:val="0"/>
        <w:autoSpaceDE w:val="0"/>
        <w:autoSpaceDN w:val="0"/>
        <w:adjustRightInd w:val="0"/>
        <w:ind w:left="640" w:hanging="640"/>
        <w:rPr>
          <w:rFonts w:ascii="Times New Roman" w:hAnsi="Times New Roman" w:cs="Times New Roman"/>
          <w:noProof/>
        </w:rPr>
      </w:pPr>
      <w:r w:rsidRPr="00833898">
        <w:rPr>
          <w:rFonts w:ascii="Times New Roman" w:hAnsi="Times New Roman" w:cs="Times New Roman"/>
          <w:noProof/>
        </w:rPr>
        <w:t xml:space="preserve">2. </w:t>
      </w:r>
      <w:r w:rsidRPr="00833898">
        <w:rPr>
          <w:rFonts w:ascii="Times New Roman" w:hAnsi="Times New Roman" w:cs="Times New Roman"/>
          <w:noProof/>
        </w:rPr>
        <w:tab/>
        <w:t>Gabel E, Hofer IS, Satou N, Grogan T, Shemin R, Mahajan A, Cannesson M. Creation and Validation of an Automated Algorithm to Determine Postoperative Ventilator Requirements After Cardiac Surgery. Anesth Analg 2017;124:1423–30.</w:t>
      </w:r>
    </w:p>
    <w:p w14:paraId="056D4049" w14:textId="77777777" w:rsidR="001F2138" w:rsidRPr="00833898" w:rsidRDefault="001F2138" w:rsidP="001F2138">
      <w:pPr>
        <w:widowControl w:val="0"/>
        <w:autoSpaceDE w:val="0"/>
        <w:autoSpaceDN w:val="0"/>
        <w:adjustRightInd w:val="0"/>
        <w:ind w:left="640" w:hanging="640"/>
        <w:rPr>
          <w:rFonts w:ascii="Times New Roman" w:hAnsi="Times New Roman" w:cs="Times New Roman"/>
          <w:noProof/>
        </w:rPr>
      </w:pPr>
      <w:r w:rsidRPr="00833898">
        <w:rPr>
          <w:rFonts w:ascii="Times New Roman" w:hAnsi="Times New Roman" w:cs="Times New Roman"/>
          <w:noProof/>
        </w:rPr>
        <w:t xml:space="preserve">3. </w:t>
      </w:r>
      <w:r w:rsidRPr="00833898">
        <w:rPr>
          <w:rFonts w:ascii="Times New Roman" w:hAnsi="Times New Roman" w:cs="Times New Roman"/>
          <w:noProof/>
        </w:rPr>
        <w:tab/>
        <w:t>Bellomo R, Kellum JA, Ronco C. Defining and classifying acute renal failure: from advocacy to consensus and validation of the RIFLE criteria. Intensive Care Med 2007;33:409–13.</w:t>
      </w:r>
    </w:p>
    <w:p w14:paraId="71F2FEEA" w14:textId="65F7504B" w:rsidR="00357EEA" w:rsidRPr="00833898" w:rsidRDefault="001F2138">
      <w:pPr>
        <w:rPr>
          <w:rFonts w:ascii="Times New Roman" w:hAnsi="Times New Roman" w:cs="Times New Roman"/>
        </w:rPr>
      </w:pPr>
      <w:r w:rsidRPr="00833898">
        <w:rPr>
          <w:rFonts w:ascii="Times New Roman" w:hAnsi="Times New Roman" w:cs="Times New Roman"/>
        </w:rPr>
        <w:fldChar w:fldCharType="end"/>
      </w:r>
      <w:bookmarkEnd w:id="0"/>
    </w:p>
    <w:sectPr w:rsidR="00357EEA" w:rsidRPr="00833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39"/>
    <w:rsid w:val="000A2049"/>
    <w:rsid w:val="001F2138"/>
    <w:rsid w:val="002F60D4"/>
    <w:rsid w:val="00357EEA"/>
    <w:rsid w:val="003D27A9"/>
    <w:rsid w:val="00404122"/>
    <w:rsid w:val="00631344"/>
    <w:rsid w:val="006B01A7"/>
    <w:rsid w:val="00716B9A"/>
    <w:rsid w:val="00782EF8"/>
    <w:rsid w:val="00805228"/>
    <w:rsid w:val="00833898"/>
    <w:rsid w:val="008D7CFE"/>
    <w:rsid w:val="00A74232"/>
    <w:rsid w:val="00B82543"/>
    <w:rsid w:val="00BF2A39"/>
    <w:rsid w:val="00CD6152"/>
    <w:rsid w:val="00F407B2"/>
    <w:rsid w:val="00F7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62AB"/>
  <w15:chartTrackingRefBased/>
  <w15:docId w15:val="{2BC89945-AFA9-43CB-ACEF-58DA60A3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A3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01A7"/>
    <w:rPr>
      <w:sz w:val="16"/>
      <w:szCs w:val="16"/>
    </w:rPr>
  </w:style>
  <w:style w:type="paragraph" w:styleId="CommentText">
    <w:name w:val="annotation text"/>
    <w:basedOn w:val="Normal"/>
    <w:link w:val="CommentTextChar"/>
    <w:uiPriority w:val="99"/>
    <w:semiHidden/>
    <w:unhideWhenUsed/>
    <w:rsid w:val="006B01A7"/>
    <w:rPr>
      <w:sz w:val="20"/>
      <w:szCs w:val="20"/>
    </w:rPr>
  </w:style>
  <w:style w:type="character" w:customStyle="1" w:styleId="CommentTextChar">
    <w:name w:val="Comment Text Char"/>
    <w:basedOn w:val="DefaultParagraphFont"/>
    <w:link w:val="CommentText"/>
    <w:uiPriority w:val="99"/>
    <w:semiHidden/>
    <w:rsid w:val="006B01A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B01A7"/>
    <w:rPr>
      <w:b/>
      <w:bCs/>
    </w:rPr>
  </w:style>
  <w:style w:type="character" w:customStyle="1" w:styleId="CommentSubjectChar">
    <w:name w:val="Comment Subject Char"/>
    <w:basedOn w:val="CommentTextChar"/>
    <w:link w:val="CommentSubject"/>
    <w:uiPriority w:val="99"/>
    <w:semiHidden/>
    <w:rsid w:val="006B01A7"/>
    <w:rPr>
      <w:rFonts w:eastAsiaTheme="minorEastAsia"/>
      <w:b/>
      <w:bCs/>
      <w:sz w:val="20"/>
      <w:szCs w:val="20"/>
    </w:rPr>
  </w:style>
  <w:style w:type="paragraph" w:styleId="BalloonText">
    <w:name w:val="Balloon Text"/>
    <w:basedOn w:val="Normal"/>
    <w:link w:val="BalloonTextChar"/>
    <w:uiPriority w:val="99"/>
    <w:semiHidden/>
    <w:unhideWhenUsed/>
    <w:rsid w:val="006B01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1A7"/>
    <w:rPr>
      <w:rFonts w:ascii="Segoe UI" w:eastAsiaTheme="minorEastAsia" w:hAnsi="Segoe UI" w:cs="Segoe UI"/>
      <w:sz w:val="18"/>
      <w:szCs w:val="18"/>
    </w:rPr>
  </w:style>
  <w:style w:type="character" w:styleId="Hyperlink">
    <w:name w:val="Hyperlink"/>
    <w:basedOn w:val="DefaultParagraphFont"/>
    <w:uiPriority w:val="99"/>
    <w:semiHidden/>
    <w:unhideWhenUsed/>
    <w:rsid w:val="006B01A7"/>
    <w:rPr>
      <w:color w:val="0000FF"/>
      <w:u w:val="single"/>
    </w:rPr>
  </w:style>
  <w:style w:type="character" w:styleId="FollowedHyperlink">
    <w:name w:val="FollowedHyperlink"/>
    <w:basedOn w:val="DefaultParagraphFont"/>
    <w:uiPriority w:val="99"/>
    <w:semiHidden/>
    <w:unhideWhenUsed/>
    <w:rsid w:val="00B82543"/>
    <w:rPr>
      <w:color w:val="954F72" w:themeColor="followedHyperlink"/>
      <w:u w:val="single"/>
    </w:rPr>
  </w:style>
  <w:style w:type="paragraph" w:styleId="ListParagraph">
    <w:name w:val="List Paragraph"/>
    <w:basedOn w:val="Normal"/>
    <w:uiPriority w:val="34"/>
    <w:qFormat/>
    <w:rsid w:val="00716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196809">
      <w:bodyDiv w:val="1"/>
      <w:marLeft w:val="0"/>
      <w:marRight w:val="0"/>
      <w:marTop w:val="0"/>
      <w:marBottom w:val="0"/>
      <w:divBdr>
        <w:top w:val="none" w:sz="0" w:space="0" w:color="auto"/>
        <w:left w:val="none" w:sz="0" w:space="0" w:color="auto"/>
        <w:bottom w:val="none" w:sz="0" w:space="0" w:color="auto"/>
        <w:right w:val="none" w:sz="0" w:space="0" w:color="auto"/>
      </w:divBdr>
    </w:div>
    <w:div w:id="64397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5D0D4-0A4B-4B29-B376-F79E865C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UCLA Anesthesiology</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Eilon Gabel</dc:creator>
  <cp:keywords/>
  <dc:description/>
  <cp:lastModifiedBy>Eilon Gabel</cp:lastModifiedBy>
  <cp:revision>19</cp:revision>
  <dcterms:created xsi:type="dcterms:W3CDTF">2018-05-28T04:22:00Z</dcterms:created>
  <dcterms:modified xsi:type="dcterms:W3CDTF">2019-11-10T06:57:00Z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http://www.zotero.org/styles/anesthesia-and-analgesia</vt:lpwstr>
  </property>
  <property fmtid="{D5CDD505-2E9C-101B-9397-08002B2CF9AE}" pid="4" name="Mendeley Unique User Id_1">
    <vt:lpwstr>46df9c24-2793-326f-93df-ac787e380241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http://www.zotero.org/styles/anesthesia-and-analgesia</vt:lpwstr>
  </property>
  <property fmtid="{D5CDD505-2E9C-101B-9397-08002B2CF9AE}" pid="14" name="Mendeley Recent Style Name 4_1">
    <vt:lpwstr>Anesthesia and Analgesia</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