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4" w:rsidRPr="005E57CE" w:rsidRDefault="003A1214" w:rsidP="003A1214">
      <w:pPr>
        <w:ind w:right="-1"/>
        <w:jc w:val="center"/>
        <w:rPr>
          <w:rFonts w:ascii="Arial" w:hAnsi="Arial"/>
          <w:b/>
          <w:iCs/>
          <w:color w:val="000000" w:themeColor="text1"/>
          <w:sz w:val="52"/>
          <w:szCs w:val="52"/>
          <w:lang w:val="en-US"/>
        </w:rPr>
      </w:pPr>
      <w:r w:rsidRPr="005E57CE">
        <w:rPr>
          <w:rFonts w:ascii="Arial" w:hAnsi="Arial"/>
          <w:b/>
          <w:iCs/>
          <w:color w:val="000000" w:themeColor="text1"/>
          <w:sz w:val="52"/>
          <w:szCs w:val="52"/>
          <w:lang w:val="en-US"/>
        </w:rPr>
        <w:t>Intra–abdominal Pressure Targeted PEEP During Laparoscopic Surgery – an open–label non–randomized, crossover, clinical trial.</w:t>
      </w:r>
    </w:p>
    <w:p w:rsidR="006C0553" w:rsidRPr="005E57CE" w:rsidRDefault="006C0553" w:rsidP="006C0553">
      <w:pPr>
        <w:jc w:val="center"/>
        <w:rPr>
          <w:rFonts w:ascii="Arial" w:hAnsi="Arial"/>
          <w:b/>
          <w:color w:val="000000" w:themeColor="text1"/>
          <w:sz w:val="52"/>
          <w:szCs w:val="52"/>
          <w:lang w:val="en-US"/>
        </w:rPr>
      </w:pP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SUPPLEMENTARY DIGITAL CONTENT</w:t>
      </w:r>
    </w:p>
    <w:p w:rsidR="006C0553" w:rsidRPr="005E57CE" w:rsidRDefault="006C0553" w:rsidP="006C0553">
      <w:pPr>
        <w:spacing w:line="276" w:lineRule="auto"/>
        <w:ind w:right="-1"/>
        <w:jc w:val="center"/>
        <w:rPr>
          <w:rFonts w:ascii="Arial" w:hAnsi="Arial"/>
          <w:color w:val="000000" w:themeColor="text1"/>
          <w:sz w:val="24"/>
          <w:szCs w:val="24"/>
        </w:rPr>
      </w:pPr>
    </w:p>
    <w:p w:rsidR="006C0553" w:rsidRPr="005E57CE" w:rsidRDefault="006C0553" w:rsidP="006C0553">
      <w:pPr>
        <w:spacing w:line="276" w:lineRule="auto"/>
        <w:ind w:right="-1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Guido Mazzinari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1,2 *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 M.Sc., Oscar Diaz-Cambronero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1,2 *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M.D., Jose Miguel Alonso-I</w:t>
      </w: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ñigo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2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M.D. Ph.D.,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Nuria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Garcia-Gregorio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1,2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M.D.,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Bego</w:t>
      </w: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ña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Ayas-Montero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1,2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Ph.D.,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Jose Luis. Iba</w:t>
      </w: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ñ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ez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3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M.D. Ph.D.,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Ary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Serpa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Neto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4,5,6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 M.Sc., Lorenzo Ball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7,8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M.D., Marcelo Gama de Abreu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9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Ph.D., Paolo Pelosi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7,8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FERS, Javier Maupoey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3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M.D., Maria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Pilar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Argente</w:t>
      </w:r>
      <w:proofErr w:type="spellEnd"/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Navarro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1,2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and Marcus J. Schultz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6,10</w:t>
      </w:r>
      <w:r w:rsidR="005E4173"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,11</w:t>
      </w: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M.D. Ph.D.</w:t>
      </w:r>
    </w:p>
    <w:p w:rsidR="006C0553" w:rsidRPr="005E57CE" w:rsidRDefault="006C0553" w:rsidP="006C0553">
      <w:pPr>
        <w:spacing w:line="276" w:lineRule="auto"/>
        <w:ind w:right="-1"/>
        <w:jc w:val="center"/>
        <w:rPr>
          <w:rFonts w:ascii="Arial" w:hAnsi="Arial"/>
          <w:color w:val="000000" w:themeColor="text1"/>
          <w:sz w:val="24"/>
          <w:szCs w:val="24"/>
          <w:lang w:val="en-GB"/>
        </w:rPr>
      </w:pP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b/>
          <w:color w:val="000000" w:themeColor="text1"/>
          <w:lang w:val="en-GB"/>
        </w:rPr>
      </w:pPr>
      <w:r w:rsidRPr="005E57CE">
        <w:rPr>
          <w:rFonts w:ascii="Arial" w:hAnsi="Arial"/>
          <w:b/>
          <w:color w:val="000000" w:themeColor="text1"/>
          <w:lang w:val="en-GB"/>
        </w:rPr>
        <w:t xml:space="preserve">Hospital </w:t>
      </w:r>
      <w:proofErr w:type="spellStart"/>
      <w:r w:rsidRPr="005E57CE">
        <w:rPr>
          <w:rFonts w:ascii="Arial" w:hAnsi="Arial"/>
          <w:b/>
          <w:color w:val="000000" w:themeColor="text1"/>
          <w:lang w:val="en-GB"/>
        </w:rPr>
        <w:t>Universitario</w:t>
      </w:r>
      <w:proofErr w:type="spellEnd"/>
      <w:r w:rsidRPr="005E57CE">
        <w:rPr>
          <w:rFonts w:ascii="Arial" w:hAnsi="Arial"/>
          <w:b/>
          <w:color w:val="000000" w:themeColor="text1"/>
          <w:lang w:val="en-GB"/>
        </w:rPr>
        <w:t xml:space="preserve"> y </w:t>
      </w:r>
      <w:proofErr w:type="spellStart"/>
      <w:r w:rsidRPr="005E57CE">
        <w:rPr>
          <w:rFonts w:ascii="Arial" w:hAnsi="Arial"/>
          <w:b/>
          <w:color w:val="000000" w:themeColor="text1"/>
          <w:lang w:val="en-GB"/>
        </w:rPr>
        <w:t>Politecnico</w:t>
      </w:r>
      <w:proofErr w:type="spellEnd"/>
      <w:r w:rsidRPr="005E57CE">
        <w:rPr>
          <w:rFonts w:ascii="Arial" w:hAnsi="Arial"/>
          <w:b/>
          <w:color w:val="000000" w:themeColor="text1"/>
          <w:lang w:val="en-GB"/>
        </w:rPr>
        <w:t xml:space="preserve"> la Fe, Valencia, Spain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US"/>
        </w:rPr>
      </w:pPr>
      <w:r w:rsidRPr="005E57CE">
        <w:rPr>
          <w:rFonts w:ascii="Arial" w:hAnsi="Arial"/>
          <w:color w:val="000000" w:themeColor="text1"/>
          <w:vertAlign w:val="superscript"/>
          <w:lang w:val="en-US"/>
        </w:rPr>
        <w:t>1</w:t>
      </w:r>
      <w:r w:rsidRPr="005E57CE">
        <w:rPr>
          <w:rFonts w:ascii="Arial" w:hAnsi="Arial"/>
          <w:color w:val="000000" w:themeColor="text1"/>
          <w:lang w:val="en-US"/>
        </w:rPr>
        <w:t xml:space="preserve">Research Group in </w:t>
      </w:r>
      <w:proofErr w:type="spellStart"/>
      <w:r w:rsidRPr="005E57CE">
        <w:rPr>
          <w:rFonts w:ascii="Arial" w:hAnsi="Arial"/>
          <w:color w:val="000000" w:themeColor="text1"/>
          <w:lang w:val="en-US"/>
        </w:rPr>
        <w:t>Perioperative</w:t>
      </w:r>
      <w:proofErr w:type="spellEnd"/>
      <w:r w:rsidRPr="005E57CE">
        <w:rPr>
          <w:rFonts w:ascii="Arial" w:hAnsi="Arial"/>
          <w:color w:val="000000" w:themeColor="text1"/>
          <w:lang w:val="en-US"/>
        </w:rPr>
        <w:t xml:space="preserve"> Medicine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GB"/>
        </w:rPr>
      </w:pPr>
      <w:r w:rsidRPr="005E57CE">
        <w:rPr>
          <w:rFonts w:ascii="Arial" w:hAnsi="Arial"/>
          <w:color w:val="000000" w:themeColor="text1"/>
          <w:vertAlign w:val="superscript"/>
          <w:lang w:val="en-GB"/>
        </w:rPr>
        <w:t>2</w:t>
      </w:r>
      <w:r w:rsidRPr="005E57CE">
        <w:rPr>
          <w:rFonts w:ascii="Arial" w:hAnsi="Arial"/>
          <w:color w:val="000000" w:themeColor="text1"/>
          <w:lang w:val="en-GB"/>
        </w:rPr>
        <w:t>Department of Anaesthesiology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GB"/>
        </w:rPr>
      </w:pPr>
      <w:r w:rsidRPr="005E57CE">
        <w:rPr>
          <w:rFonts w:ascii="Arial" w:hAnsi="Arial"/>
          <w:color w:val="000000" w:themeColor="text1"/>
          <w:vertAlign w:val="superscript"/>
          <w:lang w:val="en-GB"/>
        </w:rPr>
        <w:t>3</w:t>
      </w:r>
      <w:r w:rsidRPr="005E57CE">
        <w:rPr>
          <w:rFonts w:ascii="Arial" w:hAnsi="Arial"/>
          <w:color w:val="000000" w:themeColor="text1"/>
          <w:lang w:val="en-GB"/>
        </w:rPr>
        <w:t>Hepatobiliopancreatic Surgery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GB"/>
        </w:rPr>
      </w:pP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b/>
          <w:color w:val="000000" w:themeColor="text1"/>
          <w:lang w:val="en-US"/>
        </w:rPr>
      </w:pPr>
      <w:r w:rsidRPr="005E57CE">
        <w:rPr>
          <w:rFonts w:ascii="Arial" w:hAnsi="Arial"/>
          <w:b/>
          <w:color w:val="000000" w:themeColor="text1"/>
          <w:lang w:val="en-US"/>
        </w:rPr>
        <w:t xml:space="preserve">Hospital </w:t>
      </w:r>
      <w:proofErr w:type="spellStart"/>
      <w:r w:rsidRPr="005E57CE">
        <w:rPr>
          <w:rFonts w:ascii="Arial" w:hAnsi="Arial"/>
          <w:b/>
          <w:color w:val="000000" w:themeColor="text1"/>
          <w:lang w:val="en-US"/>
        </w:rPr>
        <w:t>Israelita</w:t>
      </w:r>
      <w:proofErr w:type="spellEnd"/>
      <w:r w:rsidRPr="005E57CE">
        <w:rPr>
          <w:rFonts w:ascii="Arial" w:hAnsi="Arial"/>
          <w:b/>
          <w:color w:val="000000" w:themeColor="text1"/>
          <w:lang w:val="en-US"/>
        </w:rPr>
        <w:t xml:space="preserve"> Albert Einstein, São Paulo, Brazil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US"/>
        </w:rPr>
      </w:pPr>
      <w:r w:rsidRPr="005E57CE">
        <w:rPr>
          <w:rFonts w:ascii="Arial" w:hAnsi="Arial"/>
          <w:color w:val="000000" w:themeColor="text1"/>
          <w:vertAlign w:val="superscript"/>
          <w:lang w:val="en-US"/>
        </w:rPr>
        <w:t>4</w:t>
      </w:r>
      <w:r w:rsidRPr="005E57CE">
        <w:rPr>
          <w:rFonts w:ascii="Arial" w:hAnsi="Arial"/>
          <w:color w:val="000000" w:themeColor="text1"/>
          <w:lang w:val="en-US"/>
        </w:rPr>
        <w:t>Department of Critical Care Medicine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color w:val="000000" w:themeColor="text1"/>
          <w:lang w:val="en-US"/>
        </w:rPr>
      </w:pP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5E57CE">
        <w:rPr>
          <w:rFonts w:ascii="Arial" w:hAnsi="Arial"/>
          <w:b/>
          <w:color w:val="000000" w:themeColor="text1"/>
          <w:sz w:val="24"/>
          <w:szCs w:val="24"/>
        </w:rPr>
        <w:t xml:space="preserve">Instituto do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</w:rPr>
        <w:t>Coração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</w:rPr>
        <w:t xml:space="preserve">, Hospital das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</w:rPr>
        <w:t>Clinicas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</w:rPr>
        <w:t xml:space="preserve"> HCFMUSP,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</w:rPr>
        <w:t>Faculdade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</w:rPr>
        <w:t xml:space="preserve"> de Medicina,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</w:rPr>
        <w:t>Universidade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</w:rPr>
        <w:t xml:space="preserve"> de Sao Paulo, Sao Paulo,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</w:rPr>
        <w:t>Brazil</w:t>
      </w:r>
      <w:proofErr w:type="spellEnd"/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5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Cardio-Pulmonary Department, Pulmonary Division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b/>
          <w:iCs/>
          <w:color w:val="000000" w:themeColor="text1"/>
          <w:lang w:val="en-GB"/>
        </w:rPr>
      </w:pPr>
      <w:r w:rsidRPr="005E57CE">
        <w:rPr>
          <w:rFonts w:ascii="Arial" w:hAnsi="Arial"/>
          <w:b/>
          <w:iCs/>
          <w:color w:val="000000" w:themeColor="text1"/>
          <w:lang w:val="en-GB"/>
        </w:rPr>
        <w:t xml:space="preserve">Academic Medical </w:t>
      </w:r>
      <w:proofErr w:type="spellStart"/>
      <w:r w:rsidRPr="005E57CE">
        <w:rPr>
          <w:rFonts w:ascii="Arial" w:hAnsi="Arial"/>
          <w:b/>
          <w:iCs/>
          <w:color w:val="000000" w:themeColor="text1"/>
          <w:lang w:val="en-GB"/>
        </w:rPr>
        <w:t>Center</w:t>
      </w:r>
      <w:proofErr w:type="spellEnd"/>
      <w:r w:rsidRPr="005E57CE">
        <w:rPr>
          <w:rFonts w:ascii="Arial" w:hAnsi="Arial"/>
          <w:b/>
          <w:iCs/>
          <w:color w:val="000000" w:themeColor="text1"/>
          <w:lang w:val="en-GB"/>
        </w:rPr>
        <w:t>, Amsterdam, The Netherlands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iCs/>
          <w:color w:val="000000" w:themeColor="text1"/>
          <w:lang w:val="en-GB"/>
        </w:rPr>
      </w:pPr>
      <w:r w:rsidRPr="005E57CE">
        <w:rPr>
          <w:rFonts w:ascii="Arial" w:hAnsi="Arial"/>
          <w:iCs/>
          <w:color w:val="000000" w:themeColor="text1"/>
          <w:vertAlign w:val="superscript"/>
          <w:lang w:val="en-GB"/>
        </w:rPr>
        <w:t>6</w:t>
      </w:r>
      <w:r w:rsidRPr="005E57CE">
        <w:rPr>
          <w:rFonts w:ascii="Arial" w:hAnsi="Arial"/>
          <w:iCs/>
          <w:color w:val="000000" w:themeColor="text1"/>
          <w:lang w:val="en-GB"/>
        </w:rPr>
        <w:t xml:space="preserve">Department of Intensive Care &amp; Laboratory of Experimental Intensive Care and </w:t>
      </w:r>
      <w:proofErr w:type="spellStart"/>
      <w:r w:rsidRPr="005E57CE">
        <w:rPr>
          <w:rFonts w:ascii="Arial" w:hAnsi="Arial"/>
          <w:iCs/>
          <w:color w:val="000000" w:themeColor="text1"/>
          <w:lang w:val="en-GB"/>
        </w:rPr>
        <w:t>Anesthesiology</w:t>
      </w:r>
      <w:proofErr w:type="spellEnd"/>
      <w:r w:rsidRPr="005E57CE">
        <w:rPr>
          <w:rFonts w:ascii="Arial" w:hAnsi="Arial"/>
          <w:iCs/>
          <w:color w:val="000000" w:themeColor="text1"/>
          <w:lang w:val="en-GB"/>
        </w:rPr>
        <w:t xml:space="preserve"> (L·E·I·C·A)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GB"/>
        </w:rPr>
      </w:pP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7</w:t>
      </w:r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>Policlinico San Martino Hospital – IRCCS for Oncology and Neurosciences, Genoa,</w:t>
      </w:r>
      <w:r w:rsidRPr="005E57CE">
        <w:rPr>
          <w:rFonts w:ascii="Arial" w:hAnsi="Arial"/>
          <w:b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>Italy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University of Genoa Italy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t>8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Department of Surgical Sciences and Integrated Diagnostics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GB"/>
        </w:rPr>
      </w:pP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b/>
          <w:color w:val="000000" w:themeColor="text1"/>
          <w:sz w:val="24"/>
          <w:szCs w:val="24"/>
          <w:lang w:val="en-US"/>
        </w:rPr>
      </w:pP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>Technische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>Universität</w:t>
      </w:r>
      <w:proofErr w:type="spellEnd"/>
      <w:r w:rsidRPr="005E57CE">
        <w:rPr>
          <w:rFonts w:ascii="Arial" w:hAnsi="Arial"/>
          <w:b/>
          <w:color w:val="000000" w:themeColor="text1"/>
          <w:sz w:val="24"/>
          <w:szCs w:val="24"/>
          <w:lang w:val="en-US"/>
        </w:rPr>
        <w:t xml:space="preserve"> Dresden, Dresden, Germany</w:t>
      </w:r>
    </w:p>
    <w:p w:rsidR="006C0553" w:rsidRPr="005E57CE" w:rsidRDefault="006C0553" w:rsidP="006C0553">
      <w:pPr>
        <w:spacing w:line="276" w:lineRule="auto"/>
        <w:jc w:val="center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color w:val="000000" w:themeColor="text1"/>
          <w:sz w:val="24"/>
          <w:szCs w:val="24"/>
          <w:vertAlign w:val="superscript"/>
          <w:lang w:val="en-US"/>
        </w:rPr>
        <w:lastRenderedPageBreak/>
        <w:t>9</w:t>
      </w:r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>Department of Anesthesiology and Intensive Care Therapy, Pulmonary Engineering Group</w:t>
      </w:r>
    </w:p>
    <w:p w:rsidR="006C0553" w:rsidRPr="005E57CE" w:rsidRDefault="006C0553" w:rsidP="006C0553">
      <w:pPr>
        <w:pStyle w:val="Listavistosa-nfasis11"/>
        <w:spacing w:line="276" w:lineRule="auto"/>
        <w:ind w:left="0" w:right="-1"/>
        <w:jc w:val="center"/>
        <w:rPr>
          <w:rFonts w:ascii="Arial" w:hAnsi="Arial"/>
          <w:iCs/>
          <w:color w:val="000000" w:themeColor="text1"/>
          <w:lang w:val="en-GB"/>
        </w:rPr>
      </w:pPr>
    </w:p>
    <w:p w:rsidR="006C0553" w:rsidRPr="005E57CE" w:rsidRDefault="006C0553" w:rsidP="006C0553">
      <w:pPr>
        <w:pStyle w:val="Listavistosa-nfasis11"/>
        <w:spacing w:line="276" w:lineRule="auto"/>
        <w:ind w:left="0"/>
        <w:jc w:val="center"/>
        <w:rPr>
          <w:rFonts w:ascii="Arial" w:hAnsi="Arial"/>
          <w:b/>
          <w:iCs/>
          <w:color w:val="000000" w:themeColor="text1"/>
          <w:lang w:val="en-GB"/>
        </w:rPr>
      </w:pPr>
      <w:proofErr w:type="spellStart"/>
      <w:r w:rsidRPr="005E57CE">
        <w:rPr>
          <w:rFonts w:ascii="Arial" w:hAnsi="Arial"/>
          <w:b/>
          <w:iCs/>
          <w:color w:val="000000" w:themeColor="text1"/>
          <w:lang w:val="en-GB"/>
        </w:rPr>
        <w:t>Mahidol</w:t>
      </w:r>
      <w:proofErr w:type="spellEnd"/>
      <w:r w:rsidRPr="005E57CE">
        <w:rPr>
          <w:rFonts w:ascii="Arial" w:hAnsi="Arial"/>
          <w:b/>
          <w:iCs/>
          <w:color w:val="000000" w:themeColor="text1"/>
          <w:lang w:val="en-GB"/>
        </w:rPr>
        <w:t xml:space="preserve"> University, Bangkok, Thailand</w:t>
      </w:r>
    </w:p>
    <w:p w:rsidR="006C0553" w:rsidRPr="005E57CE" w:rsidRDefault="006C0553" w:rsidP="006C0553">
      <w:pPr>
        <w:pStyle w:val="Listavistosa-nfasis11"/>
        <w:spacing w:line="276" w:lineRule="auto"/>
        <w:ind w:left="0"/>
        <w:jc w:val="center"/>
        <w:rPr>
          <w:rFonts w:ascii="Arial" w:hAnsi="Arial"/>
          <w:iCs/>
          <w:color w:val="000000" w:themeColor="text1"/>
          <w:lang w:val="en-GB"/>
        </w:rPr>
      </w:pPr>
      <w:r w:rsidRPr="005E57CE">
        <w:rPr>
          <w:rFonts w:ascii="Arial" w:hAnsi="Arial"/>
          <w:iCs/>
          <w:color w:val="000000" w:themeColor="text1"/>
          <w:vertAlign w:val="superscript"/>
          <w:lang w:val="en-GB"/>
        </w:rPr>
        <w:t>10</w:t>
      </w:r>
      <w:r w:rsidRPr="005E57CE">
        <w:rPr>
          <w:rFonts w:ascii="Arial" w:hAnsi="Arial"/>
          <w:iCs/>
          <w:color w:val="000000" w:themeColor="text1"/>
          <w:lang w:val="en-GB"/>
        </w:rPr>
        <w:t>Mahidol–Oxford Tropical Medicine Research Unit (MORU)</w:t>
      </w:r>
    </w:p>
    <w:p w:rsidR="005E4173" w:rsidRPr="005E57CE" w:rsidRDefault="005E4173" w:rsidP="005E4173">
      <w:pPr>
        <w:pStyle w:val="Listavistosa-nfasis11"/>
        <w:spacing w:line="276" w:lineRule="auto"/>
        <w:ind w:left="0"/>
        <w:jc w:val="center"/>
        <w:rPr>
          <w:rFonts w:ascii="Arial" w:hAnsi="Arial"/>
          <w:iCs/>
          <w:color w:val="000000" w:themeColor="text1"/>
          <w:lang w:val="en-US"/>
        </w:rPr>
      </w:pPr>
    </w:p>
    <w:p w:rsidR="005E4173" w:rsidRPr="005E57CE" w:rsidRDefault="005E4173" w:rsidP="005E4173">
      <w:pPr>
        <w:pStyle w:val="Listavistosa-nfasis11"/>
        <w:spacing w:line="276" w:lineRule="auto"/>
        <w:ind w:left="0"/>
        <w:jc w:val="center"/>
        <w:rPr>
          <w:rFonts w:ascii="Arial" w:hAnsi="Arial"/>
          <w:b/>
          <w:iCs/>
          <w:color w:val="000000" w:themeColor="text1"/>
          <w:lang w:val="en-US"/>
        </w:rPr>
      </w:pPr>
      <w:r w:rsidRPr="005E57CE">
        <w:rPr>
          <w:rFonts w:ascii="Arial" w:hAnsi="Arial"/>
          <w:b/>
          <w:iCs/>
          <w:color w:val="000000" w:themeColor="text1"/>
          <w:lang w:val="en-US"/>
        </w:rPr>
        <w:t>University of Oxford, Oxford, UK</w:t>
      </w:r>
    </w:p>
    <w:p w:rsidR="005E4173" w:rsidRPr="005E57CE" w:rsidRDefault="005E4173" w:rsidP="005E4173">
      <w:pPr>
        <w:pStyle w:val="Listavistosa-nfasis11"/>
        <w:spacing w:line="276" w:lineRule="auto"/>
        <w:ind w:left="0"/>
        <w:jc w:val="center"/>
        <w:rPr>
          <w:rFonts w:ascii="Arial" w:hAnsi="Arial"/>
          <w:iCs/>
          <w:color w:val="000000" w:themeColor="text1"/>
          <w:lang w:val="en-US"/>
        </w:rPr>
      </w:pPr>
      <w:r w:rsidRPr="005E57CE">
        <w:rPr>
          <w:rFonts w:ascii="Arial" w:hAnsi="Arial"/>
          <w:iCs/>
          <w:color w:val="000000" w:themeColor="text1"/>
          <w:vertAlign w:val="superscript"/>
          <w:lang w:val="en-US"/>
        </w:rPr>
        <w:t>11</w:t>
      </w:r>
      <w:r w:rsidRPr="005E57CE">
        <w:rPr>
          <w:rFonts w:ascii="Arial" w:hAnsi="Arial"/>
          <w:iCs/>
          <w:color w:val="000000" w:themeColor="text1"/>
          <w:lang w:val="en-US"/>
        </w:rPr>
        <w:t>Nuffield Department of Medicine</w:t>
      </w:r>
    </w:p>
    <w:p w:rsidR="006C0553" w:rsidRPr="005E57CE" w:rsidRDefault="006C0553" w:rsidP="006C0553">
      <w:pPr>
        <w:pStyle w:val="Listavistosa-nfasis11"/>
        <w:spacing w:line="276" w:lineRule="auto"/>
        <w:ind w:left="0"/>
        <w:rPr>
          <w:rFonts w:ascii="Arial" w:hAnsi="Arial"/>
          <w:iCs/>
          <w:color w:val="000000" w:themeColor="text1"/>
          <w:lang w:val="en-US"/>
        </w:rPr>
      </w:pPr>
      <w:bookmarkStart w:id="0" w:name="_GoBack"/>
      <w:bookmarkEnd w:id="0"/>
    </w:p>
    <w:p w:rsidR="006C0553" w:rsidRPr="005E57CE" w:rsidRDefault="006C0553" w:rsidP="006C0553">
      <w:pPr>
        <w:pStyle w:val="Listavistosa-nfasis11"/>
        <w:spacing w:line="276" w:lineRule="auto"/>
        <w:ind w:left="0"/>
        <w:rPr>
          <w:rFonts w:ascii="Arial" w:hAnsi="Arial"/>
          <w:b/>
          <w:bCs/>
          <w:iCs/>
          <w:color w:val="000000" w:themeColor="text1"/>
          <w:lang w:val="en-US"/>
        </w:rPr>
      </w:pPr>
      <w:r w:rsidRPr="005E57CE">
        <w:rPr>
          <w:rFonts w:ascii="Arial" w:hAnsi="Arial"/>
          <w:b/>
          <w:bCs/>
          <w:iCs/>
          <w:color w:val="000000" w:themeColor="text1"/>
          <w:lang w:val="en-US"/>
        </w:rPr>
        <w:t>*</w:t>
      </w:r>
      <w:r w:rsidR="00CE0B3F" w:rsidRPr="005E57CE">
        <w:rPr>
          <w:rFonts w:ascii="Arial" w:hAnsi="Arial"/>
          <w:b/>
          <w:bCs/>
          <w:iCs/>
          <w:color w:val="000000" w:themeColor="text1"/>
          <w:lang w:val="en-US"/>
        </w:rPr>
        <w:t xml:space="preserve">, </w:t>
      </w:r>
      <w:r w:rsidRPr="005E57CE">
        <w:rPr>
          <w:rFonts w:ascii="Arial" w:hAnsi="Arial"/>
          <w:b/>
          <w:bCs/>
          <w:iCs/>
          <w:color w:val="000000" w:themeColor="text1"/>
          <w:lang w:val="en-US"/>
        </w:rPr>
        <w:t>contributed equally to the manuscript</w:t>
      </w:r>
    </w:p>
    <w:p w:rsidR="006C0553" w:rsidRPr="005E57CE" w:rsidRDefault="006C0553" w:rsidP="006C0553">
      <w:pPr>
        <w:pStyle w:val="Listavistosa-nfasis11"/>
        <w:spacing w:line="276" w:lineRule="auto"/>
        <w:ind w:left="0"/>
        <w:rPr>
          <w:rFonts w:ascii="Arial" w:hAnsi="Arial"/>
          <w:iCs/>
          <w:color w:val="000000" w:themeColor="text1"/>
          <w:lang w:val="en-US"/>
        </w:rPr>
      </w:pPr>
    </w:p>
    <w:p w:rsidR="006C0553" w:rsidRPr="005E57CE" w:rsidRDefault="006C0553" w:rsidP="006C0553">
      <w:pPr>
        <w:spacing w:line="276" w:lineRule="auto"/>
        <w:rPr>
          <w:rFonts w:ascii="Arial" w:hAnsi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b/>
          <w:bCs/>
          <w:iCs/>
          <w:color w:val="000000" w:themeColor="text1"/>
          <w:sz w:val="24"/>
          <w:szCs w:val="24"/>
          <w:lang w:val="en-US"/>
        </w:rPr>
        <w:t>Trial registration</w:t>
      </w:r>
      <w:r w:rsidRPr="005E57CE">
        <w:rPr>
          <w:rFonts w:ascii="Arial" w:hAnsi="Arial"/>
          <w:b/>
          <w:bCs/>
          <w:iCs/>
          <w:color w:val="000000" w:themeColor="text1"/>
          <w:sz w:val="24"/>
          <w:szCs w:val="24"/>
        </w:rPr>
        <w:t>:</w:t>
      </w:r>
      <w:r w:rsidRPr="005E57CE">
        <w:rPr>
          <w:rFonts w:ascii="Arial" w:hAnsi="Arial"/>
          <w:i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Pr="005E57CE">
          <w:rPr>
            <w:rStyle w:val="Hipervnculo"/>
            <w:rFonts w:ascii="Arial" w:hAnsi="Arial"/>
            <w:color w:val="000000" w:themeColor="text1"/>
            <w:sz w:val="24"/>
            <w:szCs w:val="24"/>
            <w:lang w:val="en-US"/>
          </w:rPr>
          <w:t>www.clinicaltrials.gov</w:t>
        </w:r>
      </w:hyperlink>
      <w:r w:rsidRPr="005E57CE">
        <w:rPr>
          <w:rFonts w:ascii="Arial" w:hAnsi="Arial"/>
          <w:color w:val="000000" w:themeColor="text1"/>
          <w:sz w:val="24"/>
          <w:szCs w:val="24"/>
          <w:lang w:val="en-US"/>
        </w:rPr>
        <w:t xml:space="preserve"> (NCT03435913; January 30, 2018).</w:t>
      </w:r>
    </w:p>
    <w:p w:rsidR="00CE0B3F" w:rsidRPr="005E57CE" w:rsidRDefault="00CE0B3F">
      <w:pP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br w:type="page"/>
      </w:r>
    </w:p>
    <w:p w:rsidR="00326E56" w:rsidRPr="005E57CE" w:rsidRDefault="00A91F68">
      <w:pP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lastRenderedPageBreak/>
        <w:t>eM</w:t>
      </w:r>
      <w:r w:rsidR="00326E56" w:rsidRPr="005E57CE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ethods</w:t>
      </w:r>
    </w:p>
    <w:p w:rsidR="00326E56" w:rsidRPr="005E57CE" w:rsidRDefault="00326E56">
      <w:p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B751C" w:rsidRPr="005E57CE" w:rsidRDefault="005B751C" w:rsidP="00A81887">
      <w:pPr>
        <w:spacing w:line="480" w:lineRule="auto"/>
        <w:rPr>
          <w:rFonts w:ascii="Arial" w:hAnsi="Arial"/>
          <w:bCs/>
          <w:i/>
          <w:i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/>
          <w:bCs/>
          <w:i/>
          <w:iCs/>
          <w:color w:val="000000" w:themeColor="text1"/>
          <w:sz w:val="24"/>
          <w:szCs w:val="24"/>
          <w:lang w:val="en-US"/>
        </w:rPr>
        <w:t>Recruitment maneuver</w:t>
      </w:r>
    </w:p>
    <w:p w:rsidR="005B751C" w:rsidRPr="005E57CE" w:rsidRDefault="005B751C" w:rsidP="00102225">
      <w:pPr>
        <w:spacing w:line="480" w:lineRule="auto"/>
        <w:rPr>
          <w:rFonts w:ascii="Arial" w:hAnsi="Arial"/>
          <w:bCs/>
          <w:color w:val="000000" w:themeColor="text1"/>
          <w:sz w:val="24"/>
          <w:szCs w:val="24"/>
        </w:rPr>
      </w:pP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We applied throughout the study sequence the same recruitment maneuver used in a previous clinical trial</w:t>
      </w:r>
      <w:r w:rsidR="00102225"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:</w:t>
      </w:r>
      <w:r w:rsidR="00102225" w:rsidRPr="005E57CE">
        <w:rPr>
          <w:rFonts w:ascii="Arial" w:hAnsi="Arial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 xml:space="preserve"> </w:t>
      </w:r>
    </w:p>
    <w:p w:rsidR="005B751C" w:rsidRPr="005E57CE" w:rsidRDefault="005B751C" w:rsidP="008F2499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5E57CE">
        <w:rPr>
          <w:rFonts w:asciiTheme="minorBidi" w:hAnsiTheme="minorBidi" w:cstheme="minorBidi"/>
          <w:color w:val="000000" w:themeColor="text1"/>
          <w:lang w:val="en-US"/>
        </w:rPr>
        <w:t>Set peak inspiratory pressure limit at 45 cmH</w:t>
      </w:r>
      <w:r w:rsidRPr="005E57CE">
        <w:rPr>
          <w:rFonts w:asciiTheme="minorBidi" w:hAnsiTheme="minorBidi" w:cstheme="minorBidi"/>
          <w:color w:val="000000" w:themeColor="text1"/>
          <w:vertAlign w:val="subscript"/>
          <w:lang w:val="en-US"/>
        </w:rPr>
        <w:t>2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O </w:t>
      </w:r>
    </w:p>
    <w:p w:rsidR="005B751C" w:rsidRPr="005E57CE" w:rsidRDefault="005B751C" w:rsidP="00256C1C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Keep </w:t>
      </w:r>
      <w:r w:rsidR="006C0553" w:rsidRPr="005E57CE">
        <w:rPr>
          <w:rFonts w:asciiTheme="minorBidi" w:hAnsiTheme="minorBidi" w:cstheme="minorBidi"/>
          <w:color w:val="000000" w:themeColor="text1"/>
          <w:lang w:val="en-US"/>
        </w:rPr>
        <w:t xml:space="preserve">the </w:t>
      </w:r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>tidal volume at 7 ml∙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>kg</w:t>
      </w:r>
      <w:r w:rsidR="00256C1C" w:rsidRPr="005E57CE">
        <w:rPr>
          <w:rFonts w:asciiTheme="minorBidi" w:hAnsiTheme="minorBidi" w:cstheme="minorBidi"/>
          <w:color w:val="000000" w:themeColor="text1"/>
          <w:vertAlign w:val="superscript"/>
          <w:lang w:val="en-US"/>
        </w:rPr>
        <w:t>-1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>of predicted body weight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>, P</w:t>
      </w:r>
      <w:r w:rsidR="00F25E46" w:rsidRPr="005E57CE">
        <w:rPr>
          <w:rFonts w:asciiTheme="minorBidi" w:hAnsiTheme="minorBidi" w:cstheme="minorBidi"/>
          <w:color w:val="000000" w:themeColor="text1"/>
          <w:lang w:val="en-US"/>
        </w:rPr>
        <w:t>EEP at 12 cmH</w:t>
      </w:r>
      <w:r w:rsidR="00F25E46" w:rsidRPr="005E57CE">
        <w:rPr>
          <w:rFonts w:asciiTheme="minorBidi" w:hAnsiTheme="minorBidi" w:cstheme="minorBidi"/>
          <w:color w:val="000000" w:themeColor="text1"/>
          <w:vertAlign w:val="subscript"/>
          <w:lang w:val="en-US"/>
        </w:rPr>
        <w:t>2</w:t>
      </w:r>
      <w:r w:rsidR="00F25E46" w:rsidRPr="005E57CE">
        <w:rPr>
          <w:rFonts w:asciiTheme="minorBidi" w:hAnsiTheme="minorBidi" w:cstheme="minorBidi"/>
          <w:color w:val="000000" w:themeColor="text1"/>
          <w:lang w:val="en-US"/>
        </w:rPr>
        <w:t>O and inspiration</w:t>
      </w:r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>: expiration time unchanged</w:t>
      </w:r>
    </w:p>
    <w:p w:rsidR="005B751C" w:rsidRPr="005E57CE" w:rsidRDefault="005B751C" w:rsidP="008F2499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Set </w:t>
      </w:r>
      <w:proofErr w:type="spellStart"/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>respiraotory</w:t>
      </w:r>
      <w:proofErr w:type="spellEnd"/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 xml:space="preserve"> rate (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>RR</w:t>
      </w:r>
      <w:r w:rsidR="00256C1C" w:rsidRPr="005E57CE">
        <w:rPr>
          <w:rFonts w:asciiTheme="minorBidi" w:hAnsiTheme="minorBidi" w:cstheme="minorBidi"/>
          <w:color w:val="000000" w:themeColor="text1"/>
          <w:lang w:val="en-US"/>
        </w:rPr>
        <w:t>)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 to 6–8 breaths/min, or lowest RR that ventilator allows </w:t>
      </w:r>
    </w:p>
    <w:p w:rsidR="005B751C" w:rsidRPr="005E57CE" w:rsidRDefault="005B751C" w:rsidP="00B03E71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5E57CE">
        <w:rPr>
          <w:rFonts w:asciiTheme="minorBidi" w:hAnsiTheme="minorBidi" w:cstheme="minorBidi"/>
          <w:color w:val="000000" w:themeColor="text1"/>
          <w:lang w:val="en-US"/>
        </w:rPr>
        <w:t>Increase tidal volume in steps of 4 ml/kg of PBW, continue until plateau pressure = 30–35 cmH</w:t>
      </w:r>
      <w:r w:rsidRPr="005E57CE">
        <w:rPr>
          <w:rFonts w:asciiTheme="minorBidi" w:hAnsiTheme="minorBidi" w:cstheme="minorBidi"/>
          <w:color w:val="000000" w:themeColor="text1"/>
          <w:vertAlign w:val="subscript"/>
          <w:lang w:val="en-US"/>
        </w:rPr>
        <w:t>2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O, and hold mechanical ventilation settings for </w:t>
      </w:r>
      <w:r w:rsidR="00B03E71" w:rsidRPr="005E57CE">
        <w:rPr>
          <w:rFonts w:asciiTheme="minorBidi" w:hAnsiTheme="minorBidi" w:cstheme="minorBidi"/>
          <w:color w:val="000000" w:themeColor="text1"/>
          <w:lang w:val="en-US"/>
        </w:rPr>
        <w:t>three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 breaths.</w:t>
      </w:r>
    </w:p>
    <w:p w:rsidR="005B751C" w:rsidRPr="005E57CE" w:rsidRDefault="005B751C" w:rsidP="008F2499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Bidi" w:hAnsiTheme="minorBidi" w:cstheme="minorBidi"/>
          <w:color w:val="000000" w:themeColor="text1"/>
          <w:lang w:val="en-US"/>
        </w:rPr>
      </w:pPr>
      <w:r w:rsidRPr="005E57CE">
        <w:rPr>
          <w:rFonts w:asciiTheme="minorBidi" w:hAnsiTheme="minorBidi" w:cstheme="minorBidi"/>
          <w:color w:val="000000" w:themeColor="text1"/>
          <w:lang w:val="en-US"/>
        </w:rPr>
        <w:t>Set RR and tidal volume back to values pre</w:t>
      </w:r>
      <w:r w:rsidR="008F2499" w:rsidRPr="005E57CE">
        <w:rPr>
          <w:rFonts w:asciiTheme="minorBidi" w:hAnsiTheme="minorBidi" w:cstheme="minorBidi"/>
          <w:color w:val="000000" w:themeColor="text1"/>
          <w:lang w:val="en-US"/>
        </w:rPr>
        <w:t>ceding the recruitment maneuver and set PEEP according to the steps of the sequence</w:t>
      </w:r>
      <w:r w:rsidRPr="005E57CE">
        <w:rPr>
          <w:rFonts w:asciiTheme="minorBidi" w:hAnsiTheme="minorBidi" w:cstheme="minorBidi"/>
          <w:color w:val="000000" w:themeColor="text1"/>
          <w:lang w:val="en-US"/>
        </w:rPr>
        <w:t xml:space="preserve"> </w:t>
      </w:r>
    </w:p>
    <w:p w:rsidR="00A81887" w:rsidRPr="005E57CE" w:rsidRDefault="00256C1C" w:rsidP="00A81887">
      <w:pPr>
        <w:widowControl w:val="0"/>
        <w:spacing w:line="480" w:lineRule="auto"/>
        <w:ind w:right="-1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Stepwise sequence of </w:t>
      </w:r>
      <w:r w:rsidRPr="005E57CE">
        <w:rPr>
          <w:rFonts w:ascii="Arial" w:hAnsi="Arial" w:cs="Arial"/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A81887" w:rsidRPr="005E57CE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and PEEP levels</w:t>
      </w:r>
    </w:p>
    <w:p w:rsidR="00A81887" w:rsidRPr="005E57CE" w:rsidRDefault="00A81887" w:rsidP="00256C1C">
      <w:pPr>
        <w:widowControl w:val="0"/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Each patient was subjected to three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steps in a strict sequence (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Figure 1</w:t>
      </w:r>
      <w:r w:rsidR="008F2499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</w:t>
      </w:r>
      <w:r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always before </w:t>
      </w:r>
      <w:r w:rsidR="00B03E71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start of the surgical intervention as follows:</w:t>
      </w:r>
      <w:r w:rsidR="00316314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:rsidR="00A81887" w:rsidRPr="005E57CE" w:rsidRDefault="00A81887" w:rsidP="00A81887">
      <w:pPr>
        <w:pStyle w:val="Prrafodelista"/>
        <w:widowControl w:val="0"/>
        <w:numPr>
          <w:ilvl w:val="0"/>
          <w:numId w:val="1"/>
        </w:numPr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Baseline (B)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Before peritoneal insufflation baseline airway and esophageal pressure were obtained at PEEP 5 cmH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 (standard regime).</w:t>
      </w:r>
    </w:p>
    <w:p w:rsidR="00A81887" w:rsidRPr="005E57CE" w:rsidRDefault="00A81887" w:rsidP="00256C1C">
      <w:pPr>
        <w:pStyle w:val="Prrafodelista"/>
        <w:widowControl w:val="0"/>
        <w:numPr>
          <w:ilvl w:val="0"/>
          <w:numId w:val="1"/>
        </w:numPr>
        <w:spacing w:line="48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Low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– Standard PEEP step</w:t>
      </w:r>
      <w:r w:rsidR="00256C1C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56C1C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was lowered to 8 mmHg. A recruitment maneuver </w:t>
      </w:r>
      <w:r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was performed after which a standard PEEP regime was applied.</w:t>
      </w:r>
    </w:p>
    <w:p w:rsidR="00A81887" w:rsidRPr="005E57CE" w:rsidRDefault="005B751C" w:rsidP="00256C1C">
      <w:pPr>
        <w:pStyle w:val="Prrafodelista"/>
        <w:widowControl w:val="0"/>
        <w:numPr>
          <w:ilvl w:val="0"/>
          <w:numId w:val="1"/>
        </w:numPr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Low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</w:t>
      </w:r>
      <w:r w:rsidR="00316314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argeted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PEEP step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After a new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lastRenderedPageBreak/>
        <w:t>recruitment maneuver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PEEP was set at 10 </w:t>
      </w:r>
      <w:r w:rsidR="00256C1C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cm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 for 2 minutes to let pressure stabilize.</w:t>
      </w:r>
    </w:p>
    <w:p w:rsidR="00A81887" w:rsidRPr="005E57CE" w:rsidRDefault="00A81887" w:rsidP="00A81887">
      <w:pPr>
        <w:widowControl w:val="0"/>
        <w:spacing w:line="480" w:lineRule="auto"/>
        <w:ind w:right="-1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After setting back PEEP at 5 cm H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 for 2 minutes and then:</w:t>
      </w:r>
    </w:p>
    <w:p w:rsidR="00A81887" w:rsidRPr="005E57CE" w:rsidRDefault="005B751C" w:rsidP="00256C1C">
      <w:pPr>
        <w:pStyle w:val="Prrafodelista"/>
        <w:widowControl w:val="0"/>
        <w:numPr>
          <w:ilvl w:val="0"/>
          <w:numId w:val="2"/>
        </w:numPr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Intermediate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Pr="005E57C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– Standard PEEP step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was incr</w:t>
      </w:r>
      <w:r w:rsidR="00256C1C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eased to 12 mm</w:t>
      </w:r>
      <w:r w:rsidR="00175A1E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Hg. Then a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recruitment maneuver</w:t>
      </w:r>
      <w:r w:rsidR="00175A1E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was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performed</w:t>
      </w:r>
      <w:r w:rsidR="00B03E71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and standard PEEP regime was applied afterward.</w:t>
      </w:r>
    </w:p>
    <w:p w:rsidR="00A81887" w:rsidRPr="005E57CE" w:rsidRDefault="005B751C" w:rsidP="00256C1C">
      <w:pPr>
        <w:pStyle w:val="Prrafodelista"/>
        <w:widowControl w:val="0"/>
        <w:numPr>
          <w:ilvl w:val="0"/>
          <w:numId w:val="2"/>
        </w:numPr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Intermediate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–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Targeted PEEP </w:t>
      </w:r>
      <w:proofErr w:type="spellStart"/>
      <w:r w:rsidR="0087746F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PEEP</w:t>
      </w:r>
      <w:proofErr w:type="spellEnd"/>
      <w:r w:rsidR="0087746F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step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The recruitment maneuver was repeated</w:t>
      </w:r>
      <w:r w:rsidR="00B03E71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PEEP was set at 2 </w:t>
      </w:r>
      <w:r w:rsidR="00256C1C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cm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O above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for 2 minutes.</w:t>
      </w:r>
    </w:p>
    <w:p w:rsidR="00A81887" w:rsidRPr="005E57CE" w:rsidRDefault="00256C1C" w:rsidP="00A81887">
      <w:pPr>
        <w:widowControl w:val="0"/>
        <w:spacing w:line="480" w:lineRule="auto"/>
        <w:ind w:right="-1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PEEP was set back at 5 cm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 for 2 minutes and then:</w:t>
      </w:r>
    </w:p>
    <w:p w:rsidR="00A81887" w:rsidRPr="005E57CE" w:rsidRDefault="005B751C" w:rsidP="00256C1C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High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– Standard PEEP step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56C1C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was increased to 15 mm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Hg</w:t>
      </w:r>
      <w:r w:rsidR="00B03E71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and then a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recruitment maneuver</w:t>
      </w:r>
      <w:r w:rsidR="00256C1C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war performed.</w:t>
      </w:r>
    </w:p>
    <w:p w:rsidR="00A81887" w:rsidRPr="005E57CE" w:rsidRDefault="005B751C" w:rsidP="00256C1C">
      <w:pPr>
        <w:pStyle w:val="Prrafodelista"/>
        <w:widowControl w:val="0"/>
        <w:numPr>
          <w:ilvl w:val="0"/>
          <w:numId w:val="3"/>
        </w:numPr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High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Targeted PEEP </w:t>
      </w:r>
      <w:proofErr w:type="spellStart"/>
      <w:r w:rsidR="0087746F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PEEP</w:t>
      </w:r>
      <w:proofErr w:type="spellEnd"/>
      <w:r w:rsidR="0087746F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step</w:t>
      </w:r>
      <w:r w:rsidR="00256C1C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. The recruitment maneuver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was repeated</w:t>
      </w:r>
      <w:r w:rsidR="00B03E71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A81887" w:rsidRPr="005E57C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PEEP was set at 2 </w:t>
      </w:r>
      <w:r w:rsidR="00256C1C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cm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O above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for 2 minutes.</w:t>
      </w:r>
    </w:p>
    <w:p w:rsidR="00A81887" w:rsidRPr="005E57CE" w:rsidRDefault="00A81887" w:rsidP="00256C1C">
      <w:pPr>
        <w:widowControl w:val="0"/>
        <w:spacing w:line="480" w:lineRule="auto"/>
        <w:ind w:right="-1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After completing the sequence</w:t>
      </w:r>
      <w:r w:rsidR="00B03E71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PEEP and </w:t>
      </w:r>
      <w:r w:rsidR="00256C1C" w:rsidRPr="005E57CE">
        <w:rPr>
          <w:rFonts w:ascii="Arial" w:hAnsi="Arial" w:cs="Arial"/>
          <w:b/>
          <w:bCs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Intra–abdominal pressure</w:t>
      </w:r>
      <w:r w:rsidR="00256C1C" w:rsidRPr="005E57C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</w:t>
      </w:r>
      <w:r w:rsidR="00B03E71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ere</w:t>
      </w: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set as per surgical team preferences to perform the surgery.</w:t>
      </w:r>
    </w:p>
    <w:p w:rsidR="00326E56" w:rsidRPr="005E57CE" w:rsidRDefault="005B751C" w:rsidP="00022ABA">
      <w:pPr>
        <w:spacing w:line="480" w:lineRule="auto"/>
        <w:rPr>
          <w:rFonts w:ascii="Arial" w:hAnsi="Arial"/>
          <w:bCs/>
          <w:color w:val="000000" w:themeColor="text1"/>
          <w:sz w:val="24"/>
          <w:szCs w:val="24"/>
          <w:lang w:val="en-US"/>
        </w:rPr>
        <w:sectPr w:rsidR="00326E56" w:rsidRPr="005E57CE" w:rsidSect="00326E56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="00A81887" w:rsidRPr="005E57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All pressures were recorded using a transducer connected to the ventilator tubing directly before the Y piece and the esophageal catheter monitor </w:t>
      </w:r>
      <w:r w:rsidR="00A81887"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 xml:space="preserve">(FluxMed GrE, MBMED, Buenos Aires, Argentina) and converted digitally using dedicated software (FluxView, </w:t>
      </w:r>
      <w:r w:rsidR="00DD5EE1"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>MBMED, Buenos Aires, Argentina)</w:t>
      </w:r>
      <w:r w:rsidR="00256C1C" w:rsidRPr="005E57CE">
        <w:rPr>
          <w:rFonts w:ascii="Arial" w:hAnsi="Arial"/>
          <w:bCs/>
          <w:color w:val="000000" w:themeColor="text1"/>
          <w:sz w:val="24"/>
          <w:szCs w:val="24"/>
          <w:lang w:val="en-US"/>
        </w:rPr>
        <w:t xml:space="preserve">. </w:t>
      </w:r>
    </w:p>
    <w:p w:rsidR="00306DC8" w:rsidRDefault="00762E7F" w:rsidP="00F20EA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REFERENCES</w:t>
      </w:r>
    </w:p>
    <w:p w:rsidR="00607921" w:rsidRDefault="00607921" w:rsidP="00762E7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607921" w:rsidRDefault="00607921" w:rsidP="00B03E7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426" w:hanging="426"/>
        <w:rPr>
          <w:rFonts w:ascii="Arial" w:hAnsi="Arial"/>
          <w:noProof/>
          <w:sz w:val="24"/>
          <w:szCs w:val="24"/>
        </w:rPr>
      </w:pPr>
      <w:r w:rsidRPr="00607921">
        <w:rPr>
          <w:rFonts w:ascii="Arial" w:hAnsi="Arial"/>
          <w:noProof/>
          <w:sz w:val="24"/>
          <w:szCs w:val="24"/>
        </w:rPr>
        <w:t xml:space="preserve">The PROVE Network Investigators, for the Clinical Network of the European Society of Anaesthesiology. High versus low positive end-expiratory pressure during general anaesthesia for open abdominal surgery (PROVHILO trial): A multicentre randomised controlled trial. </w:t>
      </w:r>
      <w:r w:rsidRPr="00607921">
        <w:rPr>
          <w:rFonts w:ascii="Arial" w:hAnsi="Arial"/>
          <w:i/>
          <w:iCs/>
          <w:noProof/>
          <w:sz w:val="24"/>
          <w:szCs w:val="24"/>
        </w:rPr>
        <w:t>Lancet</w:t>
      </w:r>
      <w:r w:rsidRPr="00607921">
        <w:rPr>
          <w:rFonts w:ascii="Arial" w:hAnsi="Arial"/>
          <w:noProof/>
          <w:sz w:val="24"/>
          <w:szCs w:val="24"/>
        </w:rPr>
        <w:t xml:space="preserve"> 2014; 384: 495–503. </w:t>
      </w:r>
    </w:p>
    <w:p w:rsidR="00762E7F" w:rsidRDefault="00762E7F" w:rsidP="00762E7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762E7F" w:rsidRDefault="00762E7F" w:rsidP="00607921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762E7F" w:rsidSect="0076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88" w:rsidRDefault="00DE2C88" w:rsidP="00B73862">
      <w:r>
        <w:separator/>
      </w:r>
    </w:p>
  </w:endnote>
  <w:endnote w:type="continuationSeparator" w:id="0">
    <w:p w:rsidR="00DE2C88" w:rsidRDefault="00DE2C88" w:rsidP="00B7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BA" w:rsidRDefault="00022ABA" w:rsidP="00B428D5">
    <w:pPr>
      <w:pStyle w:val="Piedepgina"/>
      <w:jc w:val="center"/>
    </w:pPr>
  </w:p>
  <w:p w:rsidR="00022ABA" w:rsidRDefault="00022A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88" w:rsidRDefault="00DE2C88" w:rsidP="00B73862">
      <w:r>
        <w:separator/>
      </w:r>
    </w:p>
  </w:footnote>
  <w:footnote w:type="continuationSeparator" w:id="0">
    <w:p w:rsidR="00DE2C88" w:rsidRDefault="00DE2C88" w:rsidP="00B7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65922"/>
      <w:docPartObj>
        <w:docPartGallery w:val="Page Numbers (Top of Page)"/>
        <w:docPartUnique/>
      </w:docPartObj>
    </w:sdtPr>
    <w:sdtContent>
      <w:p w:rsidR="00022ABA" w:rsidRDefault="00B77664">
        <w:pPr>
          <w:pStyle w:val="Encabezado"/>
          <w:jc w:val="right"/>
        </w:pPr>
        <w:r w:rsidRPr="00B428D5">
          <w:rPr>
            <w:rFonts w:asciiTheme="minorBidi" w:hAnsiTheme="minorBidi"/>
            <w:sz w:val="24"/>
            <w:szCs w:val="24"/>
          </w:rPr>
          <w:fldChar w:fldCharType="begin"/>
        </w:r>
        <w:r w:rsidR="00022ABA" w:rsidRPr="00B428D5">
          <w:rPr>
            <w:rFonts w:asciiTheme="minorBidi" w:hAnsiTheme="minorBidi"/>
            <w:sz w:val="24"/>
            <w:szCs w:val="24"/>
          </w:rPr>
          <w:instrText xml:space="preserve"> PAGE   \* MERGEFORMAT </w:instrText>
        </w:r>
        <w:r w:rsidRPr="00B428D5">
          <w:rPr>
            <w:rFonts w:asciiTheme="minorBidi" w:hAnsiTheme="minorBidi"/>
            <w:sz w:val="24"/>
            <w:szCs w:val="24"/>
          </w:rPr>
          <w:fldChar w:fldCharType="separate"/>
        </w:r>
        <w:r w:rsidR="005E57CE">
          <w:rPr>
            <w:rFonts w:asciiTheme="minorBidi" w:hAnsiTheme="minorBidi"/>
            <w:noProof/>
            <w:sz w:val="24"/>
            <w:szCs w:val="24"/>
          </w:rPr>
          <w:t>1</w:t>
        </w:r>
        <w:r w:rsidRPr="00B428D5">
          <w:rPr>
            <w:rFonts w:asciiTheme="minorBidi" w:hAnsiTheme="minorBidi"/>
            <w:sz w:val="24"/>
            <w:szCs w:val="24"/>
          </w:rPr>
          <w:fldChar w:fldCharType="end"/>
        </w:r>
      </w:p>
    </w:sdtContent>
  </w:sdt>
  <w:p w:rsidR="00022ABA" w:rsidRDefault="00022A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615"/>
    <w:multiLevelType w:val="hybridMultilevel"/>
    <w:tmpl w:val="C2EEAC80"/>
    <w:lvl w:ilvl="0" w:tplc="1CFE7D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61B"/>
    <w:multiLevelType w:val="hybridMultilevel"/>
    <w:tmpl w:val="6D409BD6"/>
    <w:lvl w:ilvl="0" w:tplc="F5F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DFA"/>
    <w:multiLevelType w:val="hybridMultilevel"/>
    <w:tmpl w:val="AEDE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4DEE"/>
    <w:multiLevelType w:val="hybridMultilevel"/>
    <w:tmpl w:val="FF4252DC"/>
    <w:lvl w:ilvl="0" w:tplc="24A8C0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D3101"/>
    <w:multiLevelType w:val="hybridMultilevel"/>
    <w:tmpl w:val="4552AAA8"/>
    <w:lvl w:ilvl="0" w:tplc="F5F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65A"/>
    <w:multiLevelType w:val="hybridMultilevel"/>
    <w:tmpl w:val="4006B9C2"/>
    <w:lvl w:ilvl="0" w:tplc="F5F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37F47"/>
    <w:multiLevelType w:val="hybridMultilevel"/>
    <w:tmpl w:val="4BC09B0C"/>
    <w:lvl w:ilvl="0" w:tplc="F5F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us Schultz">
    <w15:presenceInfo w15:providerId="Windows Live" w15:userId="96068630c6f024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c0sjS1tLQwNjQzNbRU0lEKTi0uzszPAykwNqwFALmjfPYtAAAA"/>
  </w:docVars>
  <w:rsids>
    <w:rsidRoot w:val="000F14FD"/>
    <w:rsid w:val="0000106D"/>
    <w:rsid w:val="00022ABA"/>
    <w:rsid w:val="00034F26"/>
    <w:rsid w:val="00054AAF"/>
    <w:rsid w:val="00055543"/>
    <w:rsid w:val="00083589"/>
    <w:rsid w:val="000D3DC6"/>
    <w:rsid w:val="000F0FCA"/>
    <w:rsid w:val="000F14FD"/>
    <w:rsid w:val="000F7756"/>
    <w:rsid w:val="00102225"/>
    <w:rsid w:val="00121740"/>
    <w:rsid w:val="00147278"/>
    <w:rsid w:val="00162EB3"/>
    <w:rsid w:val="00165C20"/>
    <w:rsid w:val="001725C8"/>
    <w:rsid w:val="00173D07"/>
    <w:rsid w:val="00174C67"/>
    <w:rsid w:val="00175A1E"/>
    <w:rsid w:val="00183BFA"/>
    <w:rsid w:val="00194414"/>
    <w:rsid w:val="001C0B82"/>
    <w:rsid w:val="001D5702"/>
    <w:rsid w:val="001E2251"/>
    <w:rsid w:val="001E37B5"/>
    <w:rsid w:val="001E6D4B"/>
    <w:rsid w:val="001F0A81"/>
    <w:rsid w:val="001F4540"/>
    <w:rsid w:val="001F4E8E"/>
    <w:rsid w:val="002068AC"/>
    <w:rsid w:val="00207764"/>
    <w:rsid w:val="002214C1"/>
    <w:rsid w:val="00231665"/>
    <w:rsid w:val="00250316"/>
    <w:rsid w:val="00253BC1"/>
    <w:rsid w:val="00256C1C"/>
    <w:rsid w:val="00260278"/>
    <w:rsid w:val="00295334"/>
    <w:rsid w:val="002A2477"/>
    <w:rsid w:val="002C0895"/>
    <w:rsid w:val="002D23DD"/>
    <w:rsid w:val="002E0D54"/>
    <w:rsid w:val="00306DC8"/>
    <w:rsid w:val="00316314"/>
    <w:rsid w:val="00323923"/>
    <w:rsid w:val="00326E56"/>
    <w:rsid w:val="00360E3F"/>
    <w:rsid w:val="00361CAB"/>
    <w:rsid w:val="00396D36"/>
    <w:rsid w:val="003A1214"/>
    <w:rsid w:val="003B6A1B"/>
    <w:rsid w:val="003B7F41"/>
    <w:rsid w:val="003C2D19"/>
    <w:rsid w:val="003C52CD"/>
    <w:rsid w:val="003D58FF"/>
    <w:rsid w:val="00422D85"/>
    <w:rsid w:val="0042446E"/>
    <w:rsid w:val="004271B7"/>
    <w:rsid w:val="00430C92"/>
    <w:rsid w:val="00460CAD"/>
    <w:rsid w:val="00465554"/>
    <w:rsid w:val="00492183"/>
    <w:rsid w:val="004971F4"/>
    <w:rsid w:val="004D6AAF"/>
    <w:rsid w:val="004E78C5"/>
    <w:rsid w:val="00505625"/>
    <w:rsid w:val="005434CB"/>
    <w:rsid w:val="00555B40"/>
    <w:rsid w:val="00557A7A"/>
    <w:rsid w:val="00580155"/>
    <w:rsid w:val="005853A1"/>
    <w:rsid w:val="00590921"/>
    <w:rsid w:val="005A33B5"/>
    <w:rsid w:val="005B751C"/>
    <w:rsid w:val="005C76F7"/>
    <w:rsid w:val="005E4173"/>
    <w:rsid w:val="005E57CE"/>
    <w:rsid w:val="005E6A68"/>
    <w:rsid w:val="005F0E95"/>
    <w:rsid w:val="005F5CFB"/>
    <w:rsid w:val="00607921"/>
    <w:rsid w:val="00612987"/>
    <w:rsid w:val="0061443C"/>
    <w:rsid w:val="00626EB3"/>
    <w:rsid w:val="00637E48"/>
    <w:rsid w:val="0066306C"/>
    <w:rsid w:val="00665992"/>
    <w:rsid w:val="0066664B"/>
    <w:rsid w:val="00677590"/>
    <w:rsid w:val="006A0AED"/>
    <w:rsid w:val="006B1DB9"/>
    <w:rsid w:val="006C0553"/>
    <w:rsid w:val="006C3DC3"/>
    <w:rsid w:val="006E7002"/>
    <w:rsid w:val="0070264B"/>
    <w:rsid w:val="0071398D"/>
    <w:rsid w:val="00720E6F"/>
    <w:rsid w:val="00723345"/>
    <w:rsid w:val="00754152"/>
    <w:rsid w:val="00762E7F"/>
    <w:rsid w:val="00765203"/>
    <w:rsid w:val="007663DE"/>
    <w:rsid w:val="0076713E"/>
    <w:rsid w:val="00783BFF"/>
    <w:rsid w:val="00783D1E"/>
    <w:rsid w:val="00785C67"/>
    <w:rsid w:val="00790943"/>
    <w:rsid w:val="007A2F06"/>
    <w:rsid w:val="007A712F"/>
    <w:rsid w:val="007B037F"/>
    <w:rsid w:val="007B065C"/>
    <w:rsid w:val="007E5878"/>
    <w:rsid w:val="008011B2"/>
    <w:rsid w:val="00812A30"/>
    <w:rsid w:val="00817596"/>
    <w:rsid w:val="00844566"/>
    <w:rsid w:val="008452B9"/>
    <w:rsid w:val="00865F0C"/>
    <w:rsid w:val="0087455F"/>
    <w:rsid w:val="00876A55"/>
    <w:rsid w:val="0087746F"/>
    <w:rsid w:val="00881037"/>
    <w:rsid w:val="008B320A"/>
    <w:rsid w:val="008E3BA6"/>
    <w:rsid w:val="008F2499"/>
    <w:rsid w:val="008F7E6C"/>
    <w:rsid w:val="00910307"/>
    <w:rsid w:val="00920FEE"/>
    <w:rsid w:val="00927F16"/>
    <w:rsid w:val="0096176A"/>
    <w:rsid w:val="00972FC9"/>
    <w:rsid w:val="00974539"/>
    <w:rsid w:val="00991564"/>
    <w:rsid w:val="009A56C9"/>
    <w:rsid w:val="009B49E6"/>
    <w:rsid w:val="009C0B06"/>
    <w:rsid w:val="009C39E6"/>
    <w:rsid w:val="009D6DA0"/>
    <w:rsid w:val="009F1BAA"/>
    <w:rsid w:val="009F6619"/>
    <w:rsid w:val="00A255D3"/>
    <w:rsid w:val="00A50AD0"/>
    <w:rsid w:val="00A57957"/>
    <w:rsid w:val="00A655AA"/>
    <w:rsid w:val="00A81887"/>
    <w:rsid w:val="00A87EA2"/>
    <w:rsid w:val="00A91F68"/>
    <w:rsid w:val="00AA2F7B"/>
    <w:rsid w:val="00AA7116"/>
    <w:rsid w:val="00AB5FF4"/>
    <w:rsid w:val="00AC7E31"/>
    <w:rsid w:val="00AD22F5"/>
    <w:rsid w:val="00B003F1"/>
    <w:rsid w:val="00B03E71"/>
    <w:rsid w:val="00B076D1"/>
    <w:rsid w:val="00B11808"/>
    <w:rsid w:val="00B428D5"/>
    <w:rsid w:val="00B55F61"/>
    <w:rsid w:val="00B73507"/>
    <w:rsid w:val="00B73862"/>
    <w:rsid w:val="00B77664"/>
    <w:rsid w:val="00B87050"/>
    <w:rsid w:val="00B92F97"/>
    <w:rsid w:val="00BB052C"/>
    <w:rsid w:val="00BB558E"/>
    <w:rsid w:val="00BD2943"/>
    <w:rsid w:val="00BD781A"/>
    <w:rsid w:val="00BE515A"/>
    <w:rsid w:val="00BE6FB4"/>
    <w:rsid w:val="00C13C6D"/>
    <w:rsid w:val="00C215D3"/>
    <w:rsid w:val="00C23475"/>
    <w:rsid w:val="00C36B8D"/>
    <w:rsid w:val="00C83650"/>
    <w:rsid w:val="00CA0360"/>
    <w:rsid w:val="00CC0B1B"/>
    <w:rsid w:val="00CD06AC"/>
    <w:rsid w:val="00CE0B3F"/>
    <w:rsid w:val="00CF1888"/>
    <w:rsid w:val="00CF6C20"/>
    <w:rsid w:val="00D0100E"/>
    <w:rsid w:val="00D143E2"/>
    <w:rsid w:val="00D14DF7"/>
    <w:rsid w:val="00D1547C"/>
    <w:rsid w:val="00D34555"/>
    <w:rsid w:val="00D3523F"/>
    <w:rsid w:val="00D57FA0"/>
    <w:rsid w:val="00D64424"/>
    <w:rsid w:val="00D740C2"/>
    <w:rsid w:val="00DA2CEB"/>
    <w:rsid w:val="00DA552E"/>
    <w:rsid w:val="00DB656A"/>
    <w:rsid w:val="00DC37B5"/>
    <w:rsid w:val="00DC57A8"/>
    <w:rsid w:val="00DC6946"/>
    <w:rsid w:val="00DD5EE1"/>
    <w:rsid w:val="00DE2C88"/>
    <w:rsid w:val="00E11D59"/>
    <w:rsid w:val="00E15C35"/>
    <w:rsid w:val="00E205AA"/>
    <w:rsid w:val="00E22C6F"/>
    <w:rsid w:val="00E4458A"/>
    <w:rsid w:val="00E50A9F"/>
    <w:rsid w:val="00E52885"/>
    <w:rsid w:val="00E55A79"/>
    <w:rsid w:val="00E62C5C"/>
    <w:rsid w:val="00E87902"/>
    <w:rsid w:val="00E87D1E"/>
    <w:rsid w:val="00EA6421"/>
    <w:rsid w:val="00ED510F"/>
    <w:rsid w:val="00ED6E07"/>
    <w:rsid w:val="00EE3793"/>
    <w:rsid w:val="00EE771C"/>
    <w:rsid w:val="00EE7729"/>
    <w:rsid w:val="00F20EA1"/>
    <w:rsid w:val="00F25E46"/>
    <w:rsid w:val="00F45014"/>
    <w:rsid w:val="00F46906"/>
    <w:rsid w:val="00F65FD2"/>
    <w:rsid w:val="00F721E3"/>
    <w:rsid w:val="00F75FF5"/>
    <w:rsid w:val="00F83102"/>
    <w:rsid w:val="00F836B8"/>
    <w:rsid w:val="00F86FD7"/>
    <w:rsid w:val="00F91557"/>
    <w:rsid w:val="00F978CF"/>
    <w:rsid w:val="00FC7EEC"/>
    <w:rsid w:val="00FD6398"/>
    <w:rsid w:val="00FD6D17"/>
    <w:rsid w:val="00FE5BBD"/>
    <w:rsid w:val="00FF0D47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C6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74C67"/>
    <w:pPr>
      <w:ind w:left="720"/>
      <w:contextualSpacing/>
      <w:jc w:val="left"/>
    </w:pPr>
    <w:rPr>
      <w:rFonts w:ascii="Calibri" w:eastAsia="Calibri" w:hAnsi="Calibri" w:cs="Arial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2E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D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862"/>
  </w:style>
  <w:style w:type="paragraph" w:styleId="Piedepgina">
    <w:name w:val="footer"/>
    <w:basedOn w:val="Normal"/>
    <w:link w:val="PiedepginaCar"/>
    <w:uiPriority w:val="99"/>
    <w:unhideWhenUsed/>
    <w:rsid w:val="00B73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62"/>
  </w:style>
  <w:style w:type="character" w:styleId="Refdecomentario">
    <w:name w:val="annotation reference"/>
    <w:basedOn w:val="Fuentedeprrafopredeter"/>
    <w:uiPriority w:val="99"/>
    <w:semiHidden/>
    <w:unhideWhenUsed/>
    <w:rsid w:val="00614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4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443C"/>
    <w:rPr>
      <w:sz w:val="20"/>
      <w:szCs w:val="20"/>
    </w:rPr>
  </w:style>
  <w:style w:type="paragraph" w:styleId="Prrafodelista">
    <w:name w:val="List Paragraph"/>
    <w:basedOn w:val="Normal"/>
    <w:uiPriority w:val="72"/>
    <w:qFormat/>
    <w:rsid w:val="00A81887"/>
    <w:pPr>
      <w:ind w:left="720"/>
      <w:contextualSpacing/>
    </w:pPr>
  </w:style>
  <w:style w:type="paragraph" w:customStyle="1" w:styleId="Default">
    <w:name w:val="Default"/>
    <w:rsid w:val="005B751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F7B"/>
    <w:rPr>
      <w:b/>
      <w:bCs/>
      <w:sz w:val="20"/>
      <w:szCs w:val="20"/>
    </w:rPr>
  </w:style>
  <w:style w:type="paragraph" w:customStyle="1" w:styleId="Normal1">
    <w:name w:val="Normal1"/>
    <w:rsid w:val="00E50A9F"/>
    <w:pPr>
      <w:spacing w:after="160" w:line="259" w:lineRule="auto"/>
      <w:jc w:val="left"/>
    </w:pPr>
    <w:rPr>
      <w:rFonts w:ascii="Calibri" w:eastAsia="Calibri" w:hAnsi="Calibri" w:cs="Calibri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EC652958-D8C7-4B3D-8A39-43250E5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4</cp:revision>
  <dcterms:created xsi:type="dcterms:W3CDTF">2019-11-20T11:46:00Z</dcterms:created>
  <dcterms:modified xsi:type="dcterms:W3CDTF">2019-11-20T21:04:00Z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6bb52b14-6f4f-34c5-9cd8-3a0b8357bff7</vt:lpwstr>
  </property>
  <property fmtid="{D5CDD505-2E9C-101B-9397-08002B2CF9AE}" pid="24" name="Mendeley Citation Style_1">
    <vt:lpwstr>http://www.zotero.org/styles/vancouver</vt:lpwstr>
  </property>
</Properties>
</file>