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27F6" w14:textId="77777777" w:rsidR="00C32368" w:rsidRPr="005F46E2" w:rsidRDefault="00C32368" w:rsidP="00C32368">
      <w:pPr>
        <w:spacing w:line="480" w:lineRule="auto"/>
        <w:jc w:val="center"/>
        <w:outlineLvl w:val="0"/>
        <w:rPr>
          <w:rFonts w:ascii="Arial" w:hAnsi="Arial" w:cs="Arial"/>
          <w:color w:val="000000" w:themeColor="text1"/>
          <w:lang w:val="en-US"/>
        </w:rPr>
      </w:pPr>
      <w:r w:rsidRPr="005F46E2">
        <w:rPr>
          <w:rFonts w:ascii="Arial" w:hAnsi="Arial" w:cs="Arial"/>
          <w:color w:val="000000" w:themeColor="text1"/>
          <w:lang w:val="en-US"/>
        </w:rPr>
        <w:t>In Individualized positive end-expiratory pressure and regional gas exchange in porcine lung injury</w:t>
      </w:r>
    </w:p>
    <w:p w14:paraId="49F4AE5B" w14:textId="77777777" w:rsidR="00C32368" w:rsidRPr="005F46E2" w:rsidRDefault="00C32368" w:rsidP="00C32368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lang w:val="en-US"/>
        </w:rPr>
      </w:pPr>
      <w:bookmarkStart w:id="0" w:name="OLE_LINK1"/>
      <w:proofErr w:type="spellStart"/>
      <w:r w:rsidRPr="005F46E2">
        <w:rPr>
          <w:rFonts w:ascii="Arial" w:hAnsi="Arial" w:cs="Arial"/>
          <w:color w:val="000000" w:themeColor="text1"/>
          <w:lang w:val="en-US"/>
        </w:rPr>
        <w:t>Muders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T, </w:t>
      </w:r>
      <w:proofErr w:type="spellStart"/>
      <w:r w:rsidRPr="005F46E2">
        <w:rPr>
          <w:rFonts w:ascii="Arial" w:hAnsi="Arial" w:cs="Arial"/>
          <w:color w:val="000000" w:themeColor="text1"/>
          <w:lang w:val="en-US"/>
        </w:rPr>
        <w:t>Luepschen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H, Meier T, </w:t>
      </w:r>
      <w:proofErr w:type="spellStart"/>
      <w:r w:rsidRPr="005F46E2">
        <w:rPr>
          <w:rFonts w:ascii="Arial" w:hAnsi="Arial" w:cs="Arial"/>
          <w:color w:val="000000" w:themeColor="text1"/>
          <w:lang w:val="en-US"/>
        </w:rPr>
        <w:t>Reske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A, </w:t>
      </w:r>
      <w:proofErr w:type="spellStart"/>
      <w:r w:rsidRPr="005F46E2">
        <w:rPr>
          <w:rFonts w:ascii="Arial" w:hAnsi="Arial" w:cs="Arial"/>
          <w:color w:val="000000" w:themeColor="text1"/>
          <w:lang w:val="en-US"/>
        </w:rPr>
        <w:t>Zinserling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J, </w:t>
      </w:r>
      <w:proofErr w:type="spellStart"/>
      <w:r w:rsidRPr="005F46E2">
        <w:rPr>
          <w:rFonts w:ascii="Arial" w:hAnsi="Arial" w:cs="Arial"/>
          <w:color w:val="000000" w:themeColor="text1"/>
          <w:lang w:val="en-US"/>
        </w:rPr>
        <w:t>Kreyer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S, </w:t>
      </w:r>
      <w:proofErr w:type="spellStart"/>
      <w:r w:rsidRPr="005F46E2">
        <w:rPr>
          <w:rFonts w:ascii="Arial" w:hAnsi="Arial" w:cs="Arial"/>
          <w:color w:val="000000" w:themeColor="text1"/>
          <w:lang w:val="en-US"/>
        </w:rPr>
        <w:t>Pikkemaat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R, </w:t>
      </w:r>
      <w:proofErr w:type="spellStart"/>
      <w:r w:rsidRPr="005F46E2">
        <w:rPr>
          <w:rFonts w:ascii="Arial" w:hAnsi="Arial" w:cs="Arial"/>
          <w:color w:val="000000" w:themeColor="text1"/>
          <w:lang w:val="en-US"/>
        </w:rPr>
        <w:t>Maripuu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E, Leonhardt S, </w:t>
      </w:r>
      <w:proofErr w:type="spellStart"/>
      <w:r w:rsidRPr="005F46E2">
        <w:rPr>
          <w:rFonts w:ascii="Arial" w:hAnsi="Arial" w:cs="Arial"/>
          <w:color w:val="000000" w:themeColor="text1"/>
          <w:lang w:val="en-US"/>
        </w:rPr>
        <w:t>Hedenstierna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G, </w:t>
      </w:r>
      <w:proofErr w:type="spellStart"/>
      <w:r w:rsidRPr="005F46E2">
        <w:rPr>
          <w:rFonts w:ascii="Arial" w:hAnsi="Arial" w:cs="Arial"/>
          <w:color w:val="000000" w:themeColor="text1"/>
          <w:lang w:val="en-US"/>
        </w:rPr>
        <w:t>Putensen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C, and </w:t>
      </w:r>
      <w:proofErr w:type="spellStart"/>
      <w:r w:rsidRPr="005F46E2">
        <w:rPr>
          <w:rFonts w:ascii="Arial" w:hAnsi="Arial" w:cs="Arial"/>
          <w:color w:val="000000" w:themeColor="text1"/>
          <w:lang w:val="en-US"/>
        </w:rPr>
        <w:t>Wrigge</w:t>
      </w:r>
      <w:proofErr w:type="spellEnd"/>
      <w:r w:rsidRPr="005F46E2">
        <w:rPr>
          <w:rFonts w:ascii="Arial" w:hAnsi="Arial" w:cs="Arial"/>
          <w:color w:val="000000" w:themeColor="text1"/>
          <w:lang w:val="en-US"/>
        </w:rPr>
        <w:t xml:space="preserve"> H</w:t>
      </w:r>
    </w:p>
    <w:bookmarkEnd w:id="0"/>
    <w:p w14:paraId="2B8BAB2D" w14:textId="7DC4F490" w:rsidR="009E2A82" w:rsidRPr="00437F0C" w:rsidRDefault="009E2A82" w:rsidP="009E2A82">
      <w:pPr>
        <w:spacing w:line="276" w:lineRule="auto"/>
        <w:jc w:val="center"/>
        <w:outlineLvl w:val="0"/>
        <w:rPr>
          <w:rFonts w:ascii="Arial" w:hAnsi="Arial" w:cs="Arial"/>
          <w:lang w:val="en-US"/>
        </w:rPr>
      </w:pPr>
    </w:p>
    <w:p w14:paraId="283297F2" w14:textId="77777777" w:rsidR="009E2A82" w:rsidRDefault="009E2A82" w:rsidP="009E2A82">
      <w:pPr>
        <w:spacing w:before="240" w:line="276" w:lineRule="auto"/>
        <w:rPr>
          <w:rFonts w:ascii="Arial" w:hAnsi="Arial" w:cs="Arial"/>
          <w:b/>
          <w:lang w:val="en-US"/>
        </w:rPr>
      </w:pPr>
    </w:p>
    <w:p w14:paraId="37FBD40A" w14:textId="2BC3C0E2" w:rsidR="009E2A82" w:rsidRPr="009448DE" w:rsidRDefault="009E2A82" w:rsidP="009E2A82">
      <w:pPr>
        <w:spacing w:before="240" w:line="480" w:lineRule="auto"/>
        <w:rPr>
          <w:rFonts w:ascii="Arial" w:hAnsi="Arial" w:cs="Arial"/>
          <w:sz w:val="20"/>
          <w:szCs w:val="20"/>
          <w:lang w:val="en-US"/>
        </w:rPr>
      </w:pPr>
      <w:r w:rsidRPr="009448DE">
        <w:rPr>
          <w:rFonts w:ascii="Arial" w:hAnsi="Arial" w:cs="Arial"/>
          <w:b/>
          <w:u w:val="single"/>
          <w:lang w:val="en-US"/>
        </w:rPr>
        <w:t xml:space="preserve">Supplemental Digital Content </w:t>
      </w:r>
      <w:r w:rsidR="00DD1DA7">
        <w:rPr>
          <w:rFonts w:ascii="Arial" w:hAnsi="Arial" w:cs="Arial"/>
          <w:b/>
          <w:u w:val="single"/>
          <w:lang w:val="en-US"/>
        </w:rPr>
        <w:t xml:space="preserve">9 </w:t>
      </w:r>
      <w:r>
        <w:rPr>
          <w:rFonts w:ascii="Arial" w:hAnsi="Arial" w:cs="Arial"/>
          <w:b/>
          <w:lang w:val="en-US"/>
        </w:rPr>
        <w:t xml:space="preserve">– </w:t>
      </w:r>
      <w:r w:rsidR="00BE339A">
        <w:rPr>
          <w:rFonts w:ascii="Arial" w:hAnsi="Arial" w:cs="Arial"/>
          <w:b/>
          <w:lang w:val="en-US"/>
        </w:rPr>
        <w:t>Lung injury</w:t>
      </w:r>
      <w:r w:rsidR="00616EF2">
        <w:rPr>
          <w:rFonts w:ascii="Arial" w:hAnsi="Arial" w:cs="Arial"/>
          <w:b/>
          <w:lang w:val="en-US"/>
        </w:rPr>
        <w:t xml:space="preserve"> model s</w:t>
      </w:r>
      <w:r>
        <w:rPr>
          <w:rFonts w:ascii="Arial" w:hAnsi="Arial" w:cs="Arial"/>
          <w:b/>
          <w:lang w:val="en-US"/>
        </w:rPr>
        <w:t>tability</w:t>
      </w:r>
    </w:p>
    <w:p w14:paraId="1097B877" w14:textId="5966F5C3" w:rsidR="00291AD0" w:rsidRDefault="00291AD0" w:rsidP="00D15D9B">
      <w:pPr>
        <w:pStyle w:val="Absatzerstehngend"/>
        <w:keepLines/>
        <w:ind w:firstLine="284"/>
        <w:rPr>
          <w:bCs w:val="0"/>
        </w:rPr>
      </w:pPr>
      <w:bookmarkStart w:id="1" w:name="_GoBack"/>
      <w:r>
        <w:rPr>
          <w:bCs w:val="0"/>
        </w:rPr>
        <w:t xml:space="preserve">To ensure stability of our lung injury model to </w:t>
      </w:r>
      <w:r w:rsidR="00A506AC">
        <w:rPr>
          <w:bCs w:val="0"/>
        </w:rPr>
        <w:t xml:space="preserve">and </w:t>
      </w:r>
      <w:r>
        <w:rPr>
          <w:bCs w:val="0"/>
        </w:rPr>
        <w:t>exclude time effects during the prolonged period of SPECT measurements stability checks were performed at the any SPECT measurement point as described above</w:t>
      </w:r>
      <w:r w:rsidR="000B5C6F">
        <w:rPr>
          <w:bCs w:val="0"/>
        </w:rPr>
        <w:t xml:space="preserve"> (PEEP stud</w:t>
      </w:r>
      <w:r w:rsidR="00806FF2">
        <w:rPr>
          <w:bCs w:val="0"/>
        </w:rPr>
        <w:t>y protocol</w:t>
      </w:r>
      <w:r w:rsidR="000B5C6F">
        <w:rPr>
          <w:bCs w:val="0"/>
        </w:rPr>
        <w:t xml:space="preserve"> at the SPECT laboratory)</w:t>
      </w:r>
      <w:r>
        <w:rPr>
          <w:bCs w:val="0"/>
        </w:rPr>
        <w:t xml:space="preserve">. </w:t>
      </w:r>
      <w:r w:rsidR="00A506AC">
        <w:rPr>
          <w:bCs w:val="0"/>
        </w:rPr>
        <w:t xml:space="preserve">These checks were performed </w:t>
      </w:r>
      <w:r w:rsidR="00A506AC" w:rsidRPr="00A506AC">
        <w:rPr>
          <w:bCs w:val="0"/>
        </w:rPr>
        <w:t xml:space="preserve">right before the measurement points at the SPECT scanner. Before the respective PEEP level was set and maintained for stabilization before SPECT measurements, a standardized PEEP (that was identical to the table PEEP) was applied and oxygenation was measured by blood gases. </w:t>
      </w:r>
      <w:r w:rsidR="000B5C6F">
        <w:rPr>
          <w:bCs w:val="0"/>
        </w:rPr>
        <w:t>These checks showed that lung injury was stable over time and gas exchange was independent from the investigation sequence</w:t>
      </w:r>
      <w:r w:rsidR="009A25E5">
        <w:rPr>
          <w:bCs w:val="0"/>
        </w:rPr>
        <w:t xml:space="preserve"> (</w:t>
      </w:r>
      <w:r w:rsidR="00C07897">
        <w:rPr>
          <w:bCs w:val="0"/>
        </w:rPr>
        <w:t>table S</w:t>
      </w:r>
      <w:r w:rsidR="00A533FB">
        <w:rPr>
          <w:bCs w:val="0"/>
        </w:rPr>
        <w:t>2</w:t>
      </w:r>
      <w:r w:rsidR="00C57095">
        <w:rPr>
          <w:bCs w:val="0"/>
        </w:rPr>
        <w:t>)</w:t>
      </w:r>
      <w:r w:rsidR="000B5C6F">
        <w:rPr>
          <w:bCs w:val="0"/>
        </w:rPr>
        <w:t>.</w:t>
      </w:r>
    </w:p>
    <w:bookmarkEnd w:id="1"/>
    <w:p w14:paraId="278C72FE" w14:textId="20D1C059" w:rsidR="00806FF2" w:rsidRPr="008B0220" w:rsidRDefault="00806FF2" w:rsidP="008B0220">
      <w:pPr>
        <w:pStyle w:val="berschrift2"/>
        <w:spacing w:line="480" w:lineRule="auto"/>
        <w:rPr>
          <w:rFonts w:ascii="Arial" w:hAnsi="Arial" w:cs="Arial"/>
          <w:i/>
          <w:iCs/>
          <w:szCs w:val="24"/>
        </w:rPr>
      </w:pPr>
      <w:r w:rsidRPr="008B0220">
        <w:rPr>
          <w:rFonts w:ascii="Arial" w:hAnsi="Arial" w:cs="Arial"/>
          <w:i/>
          <w:iCs/>
          <w:szCs w:val="24"/>
        </w:rPr>
        <w:lastRenderedPageBreak/>
        <w:t xml:space="preserve">Table </w:t>
      </w:r>
      <w:r w:rsidR="0044542E">
        <w:rPr>
          <w:rFonts w:ascii="Arial" w:hAnsi="Arial" w:cs="Arial"/>
          <w:i/>
          <w:iCs/>
          <w:szCs w:val="24"/>
        </w:rPr>
        <w:t>S</w:t>
      </w:r>
      <w:r w:rsidR="00053A32">
        <w:rPr>
          <w:rFonts w:ascii="Arial" w:hAnsi="Arial" w:cs="Arial"/>
          <w:i/>
          <w:iCs/>
          <w:szCs w:val="24"/>
        </w:rPr>
        <w:t>2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876"/>
        <w:gridCol w:w="1968"/>
        <w:gridCol w:w="1969"/>
        <w:gridCol w:w="1999"/>
      </w:tblGrid>
      <w:tr w:rsidR="000B5C6F" w14:paraId="42D42DBE" w14:textId="77777777" w:rsidTr="00C57095">
        <w:tc>
          <w:tcPr>
            <w:tcW w:w="2977" w:type="dxa"/>
            <w:vAlign w:val="bottom"/>
          </w:tcPr>
          <w:p w14:paraId="522431DF" w14:textId="77777777" w:rsidR="000B5C6F" w:rsidRDefault="000B5C6F" w:rsidP="00B210BC">
            <w:pPr>
              <w:pStyle w:val="Absatzerstehngend"/>
              <w:keepNext/>
              <w:keepLines/>
              <w:spacing w:line="276" w:lineRule="auto"/>
              <w:ind w:firstLine="0"/>
              <w:jc w:val="left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Stability check</w:t>
            </w:r>
          </w:p>
        </w:tc>
        <w:tc>
          <w:tcPr>
            <w:tcW w:w="1984" w:type="dxa"/>
          </w:tcPr>
          <w:p w14:paraId="519A094F" w14:textId="77777777" w:rsidR="000B5C6F" w:rsidRDefault="000B5C6F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before SPECT measure</w:t>
            </w:r>
            <w:r w:rsidR="009A25E5">
              <w:rPr>
                <w:bCs w:val="0"/>
              </w:rPr>
              <w:t>ment</w:t>
            </w:r>
            <w:r w:rsidR="001D76F3">
              <w:rPr>
                <w:bCs w:val="0"/>
              </w:rPr>
              <w:t xml:space="preserve"> </w:t>
            </w:r>
            <w:r>
              <w:rPr>
                <w:bCs w:val="0"/>
              </w:rPr>
              <w:t>point 1</w:t>
            </w:r>
          </w:p>
        </w:tc>
        <w:tc>
          <w:tcPr>
            <w:tcW w:w="1985" w:type="dxa"/>
          </w:tcPr>
          <w:p w14:paraId="1D63F89D" w14:textId="77777777" w:rsidR="000B5C6F" w:rsidRDefault="000B5C6F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 xml:space="preserve">before SPECT </w:t>
            </w:r>
            <w:r w:rsidR="009A25E5">
              <w:rPr>
                <w:bCs w:val="0"/>
              </w:rPr>
              <w:t>measurement</w:t>
            </w:r>
            <w:r w:rsidR="009A25E5" w:rsidDel="009A25E5">
              <w:rPr>
                <w:bCs w:val="0"/>
              </w:rPr>
              <w:t xml:space="preserve"> </w:t>
            </w:r>
            <w:r>
              <w:rPr>
                <w:bCs w:val="0"/>
              </w:rPr>
              <w:t>point 2</w:t>
            </w:r>
          </w:p>
        </w:tc>
        <w:tc>
          <w:tcPr>
            <w:tcW w:w="2016" w:type="dxa"/>
          </w:tcPr>
          <w:p w14:paraId="1F455B81" w14:textId="77777777" w:rsidR="000B5C6F" w:rsidRDefault="000B5C6F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 xml:space="preserve">before SPECT </w:t>
            </w:r>
            <w:r w:rsidR="009A25E5">
              <w:rPr>
                <w:bCs w:val="0"/>
              </w:rPr>
              <w:t>measurement</w:t>
            </w:r>
            <w:r w:rsidR="009A25E5" w:rsidDel="009A25E5">
              <w:rPr>
                <w:bCs w:val="0"/>
              </w:rPr>
              <w:t xml:space="preserve"> </w:t>
            </w:r>
            <w:r>
              <w:rPr>
                <w:bCs w:val="0"/>
              </w:rPr>
              <w:t>point 3</w:t>
            </w:r>
          </w:p>
        </w:tc>
      </w:tr>
      <w:tr w:rsidR="003A55C7" w14:paraId="006B9994" w14:textId="77777777" w:rsidTr="003A55C7">
        <w:tc>
          <w:tcPr>
            <w:tcW w:w="2977" w:type="dxa"/>
          </w:tcPr>
          <w:p w14:paraId="60EBAF9B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PaO</w:t>
            </w:r>
            <w:r w:rsidRPr="000B5C6F">
              <w:rPr>
                <w:bCs w:val="0"/>
                <w:vertAlign w:val="subscript"/>
              </w:rPr>
              <w:t>2</w:t>
            </w:r>
            <w:r>
              <w:rPr>
                <w:bCs w:val="0"/>
              </w:rPr>
              <w:t xml:space="preserve"> [mmHg]</w:t>
            </w:r>
          </w:p>
        </w:tc>
        <w:tc>
          <w:tcPr>
            <w:tcW w:w="1984" w:type="dxa"/>
          </w:tcPr>
          <w:p w14:paraId="4CBCC87E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81 ± 19</w:t>
            </w:r>
          </w:p>
        </w:tc>
        <w:tc>
          <w:tcPr>
            <w:tcW w:w="1985" w:type="dxa"/>
          </w:tcPr>
          <w:p w14:paraId="016454EE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87 ± 32</w:t>
            </w:r>
          </w:p>
        </w:tc>
        <w:tc>
          <w:tcPr>
            <w:tcW w:w="2016" w:type="dxa"/>
          </w:tcPr>
          <w:p w14:paraId="011AE90F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90 ± 29</w:t>
            </w:r>
          </w:p>
        </w:tc>
      </w:tr>
      <w:tr w:rsidR="003A55C7" w14:paraId="4CE1CFC4" w14:textId="77777777" w:rsidTr="003A55C7">
        <w:tc>
          <w:tcPr>
            <w:tcW w:w="2977" w:type="dxa"/>
          </w:tcPr>
          <w:p w14:paraId="3AEF796D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PaO</w:t>
            </w:r>
            <w:r w:rsidRPr="000B5C6F">
              <w:rPr>
                <w:bCs w:val="0"/>
                <w:vertAlign w:val="subscript"/>
              </w:rPr>
              <w:t>2</w:t>
            </w:r>
            <w:r>
              <w:rPr>
                <w:bCs w:val="0"/>
              </w:rPr>
              <w:t xml:space="preserve"> / FiO</w:t>
            </w:r>
            <w:r w:rsidRPr="000B5C6F">
              <w:rPr>
                <w:bCs w:val="0"/>
                <w:vertAlign w:val="subscript"/>
              </w:rPr>
              <w:t>2</w:t>
            </w:r>
            <w:r>
              <w:rPr>
                <w:bCs w:val="0"/>
              </w:rPr>
              <w:t xml:space="preserve"> [mmHg]</w:t>
            </w:r>
          </w:p>
        </w:tc>
        <w:tc>
          <w:tcPr>
            <w:tcW w:w="1984" w:type="dxa"/>
          </w:tcPr>
          <w:p w14:paraId="10120DB5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135 ± 31</w:t>
            </w:r>
          </w:p>
        </w:tc>
        <w:tc>
          <w:tcPr>
            <w:tcW w:w="1985" w:type="dxa"/>
          </w:tcPr>
          <w:p w14:paraId="1FA4961F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144 ± 48</w:t>
            </w:r>
          </w:p>
        </w:tc>
        <w:tc>
          <w:tcPr>
            <w:tcW w:w="2016" w:type="dxa"/>
          </w:tcPr>
          <w:p w14:paraId="081FF40A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147 ± 47</w:t>
            </w:r>
          </w:p>
        </w:tc>
      </w:tr>
      <w:tr w:rsidR="003A55C7" w14:paraId="41E59493" w14:textId="77777777" w:rsidTr="00C57095">
        <w:trPr>
          <w:trHeight w:hRule="exact" w:val="490"/>
        </w:trPr>
        <w:tc>
          <w:tcPr>
            <w:tcW w:w="8962" w:type="dxa"/>
            <w:gridSpan w:val="4"/>
          </w:tcPr>
          <w:p w14:paraId="0DEC6B85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bCs w:val="0"/>
              </w:rPr>
            </w:pPr>
          </w:p>
        </w:tc>
      </w:tr>
      <w:tr w:rsidR="003A55C7" w14:paraId="27D84451" w14:textId="77777777" w:rsidTr="00C57095">
        <w:tc>
          <w:tcPr>
            <w:tcW w:w="2977" w:type="dxa"/>
            <w:vAlign w:val="bottom"/>
          </w:tcPr>
          <w:p w14:paraId="1F819B47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left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 xml:space="preserve">Stability check </w:t>
            </w:r>
          </w:p>
        </w:tc>
        <w:tc>
          <w:tcPr>
            <w:tcW w:w="1984" w:type="dxa"/>
          </w:tcPr>
          <w:p w14:paraId="4A2EBE65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before “table-PEEP”</w:t>
            </w:r>
          </w:p>
        </w:tc>
        <w:tc>
          <w:tcPr>
            <w:tcW w:w="1985" w:type="dxa"/>
          </w:tcPr>
          <w:p w14:paraId="7E4B0D18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before “</w:t>
            </w:r>
            <w:proofErr w:type="spellStart"/>
            <w:r>
              <w:rPr>
                <w:bCs w:val="0"/>
              </w:rPr>
              <w:t>OXmax</w:t>
            </w:r>
            <w:proofErr w:type="spellEnd"/>
            <w:r>
              <w:rPr>
                <w:bCs w:val="0"/>
              </w:rPr>
              <w:t>-PEEP”</w:t>
            </w:r>
          </w:p>
        </w:tc>
        <w:tc>
          <w:tcPr>
            <w:tcW w:w="2016" w:type="dxa"/>
          </w:tcPr>
          <w:p w14:paraId="20423AD8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before “</w:t>
            </w:r>
            <w:proofErr w:type="spellStart"/>
            <w:r>
              <w:rPr>
                <w:bCs w:val="0"/>
              </w:rPr>
              <w:t>TRmin</w:t>
            </w:r>
            <w:proofErr w:type="spellEnd"/>
            <w:r>
              <w:rPr>
                <w:bCs w:val="0"/>
              </w:rPr>
              <w:t>-PEEP”</w:t>
            </w:r>
          </w:p>
        </w:tc>
      </w:tr>
      <w:tr w:rsidR="003A55C7" w14:paraId="07E7DBA2" w14:textId="77777777" w:rsidTr="003A55C7">
        <w:tc>
          <w:tcPr>
            <w:tcW w:w="2977" w:type="dxa"/>
          </w:tcPr>
          <w:p w14:paraId="2EC194B8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PaO</w:t>
            </w:r>
            <w:r w:rsidRPr="000B5C6F">
              <w:rPr>
                <w:bCs w:val="0"/>
                <w:vertAlign w:val="subscript"/>
              </w:rPr>
              <w:t>2</w:t>
            </w:r>
            <w:r>
              <w:rPr>
                <w:bCs w:val="0"/>
              </w:rPr>
              <w:t xml:space="preserve"> [mmHg]</w:t>
            </w:r>
          </w:p>
        </w:tc>
        <w:tc>
          <w:tcPr>
            <w:tcW w:w="1984" w:type="dxa"/>
          </w:tcPr>
          <w:p w14:paraId="537320A6" w14:textId="77777777" w:rsidR="003A55C7" w:rsidRDefault="009A25E5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88 ± 32</w:t>
            </w:r>
          </w:p>
        </w:tc>
        <w:tc>
          <w:tcPr>
            <w:tcW w:w="1985" w:type="dxa"/>
          </w:tcPr>
          <w:p w14:paraId="02B856ED" w14:textId="5264BD74" w:rsidR="003A55C7" w:rsidRDefault="00C32368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82 ±</w:t>
            </w:r>
            <w:r w:rsidR="009A25E5">
              <w:rPr>
                <w:bCs w:val="0"/>
              </w:rPr>
              <w:t xml:space="preserve"> 18</w:t>
            </w:r>
          </w:p>
        </w:tc>
        <w:tc>
          <w:tcPr>
            <w:tcW w:w="2016" w:type="dxa"/>
          </w:tcPr>
          <w:p w14:paraId="74EB74AC" w14:textId="77777777" w:rsidR="003A55C7" w:rsidRDefault="009A25E5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88 ± 29</w:t>
            </w:r>
          </w:p>
        </w:tc>
      </w:tr>
      <w:tr w:rsidR="003A55C7" w14:paraId="54420F8C" w14:textId="77777777" w:rsidTr="003A55C7">
        <w:tc>
          <w:tcPr>
            <w:tcW w:w="2977" w:type="dxa"/>
          </w:tcPr>
          <w:p w14:paraId="64E184AE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PaO</w:t>
            </w:r>
            <w:r w:rsidRPr="000B5C6F">
              <w:rPr>
                <w:bCs w:val="0"/>
                <w:vertAlign w:val="subscript"/>
              </w:rPr>
              <w:t>2</w:t>
            </w:r>
            <w:r>
              <w:rPr>
                <w:bCs w:val="0"/>
              </w:rPr>
              <w:t xml:space="preserve"> / FiO</w:t>
            </w:r>
            <w:r w:rsidRPr="000B5C6F">
              <w:rPr>
                <w:bCs w:val="0"/>
                <w:vertAlign w:val="subscript"/>
              </w:rPr>
              <w:t>2</w:t>
            </w:r>
            <w:r>
              <w:rPr>
                <w:bCs w:val="0"/>
              </w:rPr>
              <w:t xml:space="preserve"> [mmHg]</w:t>
            </w:r>
          </w:p>
        </w:tc>
        <w:tc>
          <w:tcPr>
            <w:tcW w:w="1984" w:type="dxa"/>
          </w:tcPr>
          <w:p w14:paraId="3AABF535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142 ± 42</w:t>
            </w:r>
          </w:p>
        </w:tc>
        <w:tc>
          <w:tcPr>
            <w:tcW w:w="1985" w:type="dxa"/>
          </w:tcPr>
          <w:p w14:paraId="71EABE9A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139 ± 45</w:t>
            </w:r>
          </w:p>
        </w:tc>
        <w:tc>
          <w:tcPr>
            <w:tcW w:w="2016" w:type="dxa"/>
          </w:tcPr>
          <w:p w14:paraId="559F1DAB" w14:textId="77777777" w:rsidR="003A55C7" w:rsidRDefault="003A55C7" w:rsidP="00B210BC">
            <w:pPr>
              <w:pStyle w:val="Absatzerstehngend"/>
              <w:keepNext/>
              <w:keepLines/>
              <w:spacing w:line="276" w:lineRule="auto"/>
              <w:ind w:firstLine="0"/>
              <w:jc w:val="center"/>
              <w:rPr>
                <w:rFonts w:eastAsiaTheme="majorEastAsia"/>
                <w:b/>
                <w:bCs w:val="0"/>
                <w:color w:val="4F81BD" w:themeColor="accent1"/>
              </w:rPr>
            </w:pPr>
            <w:r>
              <w:rPr>
                <w:bCs w:val="0"/>
              </w:rPr>
              <w:t>145 ± 44</w:t>
            </w:r>
          </w:p>
        </w:tc>
      </w:tr>
    </w:tbl>
    <w:p w14:paraId="055B5351" w14:textId="77777777" w:rsidR="00E56A03" w:rsidRPr="00D553D1" w:rsidRDefault="005A3774" w:rsidP="00B210BC">
      <w:pPr>
        <w:pStyle w:val="Absatzerstehngend"/>
        <w:keepNext/>
        <w:keepLines/>
        <w:ind w:left="142" w:firstLine="0"/>
        <w:rPr>
          <w:sz w:val="20"/>
          <w:szCs w:val="20"/>
          <w:lang w:val="en-GB"/>
        </w:rPr>
      </w:pPr>
      <w:r w:rsidRPr="000B10AD">
        <w:rPr>
          <w:sz w:val="20"/>
          <w:szCs w:val="20"/>
          <w:lang w:val="en-GB"/>
        </w:rPr>
        <w:t>PaO</w:t>
      </w:r>
      <w:r w:rsidRPr="000B10AD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vertAlign w:val="subscript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arterial partial pressure of oxygen, </w:t>
      </w:r>
      <w:r w:rsidRPr="000B10AD">
        <w:rPr>
          <w:sz w:val="20"/>
          <w:szCs w:val="20"/>
          <w:lang w:val="en-GB"/>
        </w:rPr>
        <w:t>PaO</w:t>
      </w:r>
      <w:r w:rsidRPr="000B10AD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lang w:val="en-GB"/>
        </w:rPr>
        <w:t>/F</w:t>
      </w:r>
      <w:r w:rsidRPr="00D66965">
        <w:rPr>
          <w:sz w:val="20"/>
          <w:szCs w:val="20"/>
          <w:vertAlign w:val="subscript"/>
          <w:lang w:val="en-GB"/>
        </w:rPr>
        <w:t>i</w:t>
      </w:r>
      <w:r>
        <w:rPr>
          <w:sz w:val="20"/>
          <w:szCs w:val="20"/>
          <w:lang w:val="en-GB"/>
        </w:rPr>
        <w:t>O</w:t>
      </w:r>
      <w:r w:rsidRPr="00D66965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lang w:val="en-GB"/>
        </w:rPr>
        <w:t xml:space="preserve"> Horowitz index, for stability check, upper rows: with respect to time point of measurement, lower rows: with respect to PEEP strategy; </w:t>
      </w:r>
      <w:r w:rsidRPr="00D553D1">
        <w:rPr>
          <w:sz w:val="20"/>
          <w:szCs w:val="20"/>
          <w:lang w:val="en-GB"/>
        </w:rPr>
        <w:t>repeated measures ANOVA: no time effect, no inter-group effect, no interaction</w:t>
      </w:r>
      <w:r>
        <w:rPr>
          <w:sz w:val="20"/>
          <w:szCs w:val="20"/>
          <w:lang w:val="en-GB"/>
        </w:rPr>
        <w:t>, respectively.</w:t>
      </w:r>
    </w:p>
    <w:p w14:paraId="5815A92F" w14:textId="2D94888E" w:rsidR="0093666A" w:rsidRPr="0093666A" w:rsidRDefault="0093666A" w:rsidP="00A9463E">
      <w:pPr>
        <w:spacing w:line="480" w:lineRule="auto"/>
        <w:jc w:val="both"/>
        <w:rPr>
          <w:rFonts w:ascii="Arial" w:hAnsi="Arial" w:cs="Arial"/>
          <w:sz w:val="22"/>
          <w:lang w:val="en-US" w:eastAsia="de-DE"/>
        </w:rPr>
      </w:pPr>
    </w:p>
    <w:sectPr w:rsidR="0093666A" w:rsidRPr="0093666A" w:rsidSect="00FB1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25F0D" w14:textId="77777777" w:rsidR="00772AC8" w:rsidRDefault="00772AC8" w:rsidP="0043653E">
      <w:r>
        <w:separator/>
      </w:r>
    </w:p>
  </w:endnote>
  <w:endnote w:type="continuationSeparator" w:id="0">
    <w:p w14:paraId="40615404" w14:textId="77777777" w:rsidR="00772AC8" w:rsidRDefault="00772AC8" w:rsidP="004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9356" w14:textId="77777777" w:rsidR="00772AC8" w:rsidRDefault="00772AC8" w:rsidP="0043653E">
      <w:r>
        <w:separator/>
      </w:r>
    </w:p>
  </w:footnote>
  <w:footnote w:type="continuationSeparator" w:id="0">
    <w:p w14:paraId="03D987E4" w14:textId="77777777" w:rsidR="00772AC8" w:rsidRDefault="00772AC8" w:rsidP="0043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E61"/>
    <w:multiLevelType w:val="hybridMultilevel"/>
    <w:tmpl w:val="20060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0068"/>
    <w:multiLevelType w:val="hybridMultilevel"/>
    <w:tmpl w:val="5B94AF96"/>
    <w:lvl w:ilvl="0" w:tplc="8DB876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125"/>
    <w:multiLevelType w:val="hybridMultilevel"/>
    <w:tmpl w:val="C05E4C48"/>
    <w:lvl w:ilvl="0" w:tplc="4560C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A8130A"/>
    <w:multiLevelType w:val="hybridMultilevel"/>
    <w:tmpl w:val="22CC39C4"/>
    <w:lvl w:ilvl="0" w:tplc="182CC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2ED1"/>
    <w:multiLevelType w:val="hybridMultilevel"/>
    <w:tmpl w:val="8F0E8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0EE4"/>
    <w:multiLevelType w:val="hybridMultilevel"/>
    <w:tmpl w:val="E1AE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10C8"/>
    <w:multiLevelType w:val="hybridMultilevel"/>
    <w:tmpl w:val="EC54E1F4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0930976"/>
    <w:multiLevelType w:val="hybridMultilevel"/>
    <w:tmpl w:val="E71CD8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4C6A"/>
    <w:multiLevelType w:val="hybridMultilevel"/>
    <w:tmpl w:val="986A9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B5830"/>
    <w:multiLevelType w:val="hybridMultilevel"/>
    <w:tmpl w:val="20082D4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merican Journal of Respiratory and Critical Care Medicin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AA33E2"/>
    <w:rsid w:val="000029A3"/>
    <w:rsid w:val="00003B5B"/>
    <w:rsid w:val="000079FD"/>
    <w:rsid w:val="00011525"/>
    <w:rsid w:val="00015B3F"/>
    <w:rsid w:val="000313A9"/>
    <w:rsid w:val="0003645F"/>
    <w:rsid w:val="00037B45"/>
    <w:rsid w:val="00041D7B"/>
    <w:rsid w:val="000444E5"/>
    <w:rsid w:val="0005211B"/>
    <w:rsid w:val="00052726"/>
    <w:rsid w:val="00053481"/>
    <w:rsid w:val="00053675"/>
    <w:rsid w:val="00053A32"/>
    <w:rsid w:val="00063677"/>
    <w:rsid w:val="00063BD3"/>
    <w:rsid w:val="00066B11"/>
    <w:rsid w:val="00067522"/>
    <w:rsid w:val="0007501D"/>
    <w:rsid w:val="000912E3"/>
    <w:rsid w:val="000A3422"/>
    <w:rsid w:val="000A68F7"/>
    <w:rsid w:val="000B1008"/>
    <w:rsid w:val="000B10AD"/>
    <w:rsid w:val="000B41F6"/>
    <w:rsid w:val="000B4FB3"/>
    <w:rsid w:val="000B5C6F"/>
    <w:rsid w:val="000C02BF"/>
    <w:rsid w:val="000C31D8"/>
    <w:rsid w:val="000C45FF"/>
    <w:rsid w:val="000C7383"/>
    <w:rsid w:val="000C7C1F"/>
    <w:rsid w:val="000D14B3"/>
    <w:rsid w:val="000E0F1E"/>
    <w:rsid w:val="000E2738"/>
    <w:rsid w:val="000E3F32"/>
    <w:rsid w:val="000E4256"/>
    <w:rsid w:val="000E4D42"/>
    <w:rsid w:val="000E617C"/>
    <w:rsid w:val="000F1C60"/>
    <w:rsid w:val="000F266E"/>
    <w:rsid w:val="000F6464"/>
    <w:rsid w:val="00101ABE"/>
    <w:rsid w:val="00105F72"/>
    <w:rsid w:val="00107BD1"/>
    <w:rsid w:val="001103AD"/>
    <w:rsid w:val="00113F6D"/>
    <w:rsid w:val="0011617A"/>
    <w:rsid w:val="001169FE"/>
    <w:rsid w:val="00116EDB"/>
    <w:rsid w:val="00121FD5"/>
    <w:rsid w:val="001223BC"/>
    <w:rsid w:val="00126FB4"/>
    <w:rsid w:val="00131A04"/>
    <w:rsid w:val="0013616F"/>
    <w:rsid w:val="00137611"/>
    <w:rsid w:val="00141151"/>
    <w:rsid w:val="00144800"/>
    <w:rsid w:val="001509C3"/>
    <w:rsid w:val="00157E06"/>
    <w:rsid w:val="00160E2B"/>
    <w:rsid w:val="001614A1"/>
    <w:rsid w:val="00162D92"/>
    <w:rsid w:val="001740BD"/>
    <w:rsid w:val="0017574B"/>
    <w:rsid w:val="00180CF4"/>
    <w:rsid w:val="0018236A"/>
    <w:rsid w:val="00182467"/>
    <w:rsid w:val="00182D2C"/>
    <w:rsid w:val="00195BD7"/>
    <w:rsid w:val="001A167C"/>
    <w:rsid w:val="001A6F22"/>
    <w:rsid w:val="001B2D8B"/>
    <w:rsid w:val="001B5C0D"/>
    <w:rsid w:val="001C779F"/>
    <w:rsid w:val="001D47C3"/>
    <w:rsid w:val="001D671F"/>
    <w:rsid w:val="001D76F3"/>
    <w:rsid w:val="001E05FF"/>
    <w:rsid w:val="001F2EC7"/>
    <w:rsid w:val="001F3F7B"/>
    <w:rsid w:val="001F71F1"/>
    <w:rsid w:val="00200E6E"/>
    <w:rsid w:val="00201317"/>
    <w:rsid w:val="00203C16"/>
    <w:rsid w:val="00211228"/>
    <w:rsid w:val="002159FB"/>
    <w:rsid w:val="00223C03"/>
    <w:rsid w:val="00230256"/>
    <w:rsid w:val="002352F0"/>
    <w:rsid w:val="00235C65"/>
    <w:rsid w:val="00241BD7"/>
    <w:rsid w:val="00256969"/>
    <w:rsid w:val="0026555B"/>
    <w:rsid w:val="00265F4F"/>
    <w:rsid w:val="00280560"/>
    <w:rsid w:val="00291AD0"/>
    <w:rsid w:val="00291C57"/>
    <w:rsid w:val="00293BC0"/>
    <w:rsid w:val="00297425"/>
    <w:rsid w:val="002976F9"/>
    <w:rsid w:val="00297F06"/>
    <w:rsid w:val="002A0425"/>
    <w:rsid w:val="002A2D7C"/>
    <w:rsid w:val="002A68A9"/>
    <w:rsid w:val="002B12AC"/>
    <w:rsid w:val="002B2858"/>
    <w:rsid w:val="002B3B68"/>
    <w:rsid w:val="002B4197"/>
    <w:rsid w:val="002C130A"/>
    <w:rsid w:val="002C35CC"/>
    <w:rsid w:val="002C4D99"/>
    <w:rsid w:val="002D2255"/>
    <w:rsid w:val="002D270A"/>
    <w:rsid w:val="002D39F0"/>
    <w:rsid w:val="002D5C5E"/>
    <w:rsid w:val="002D7C56"/>
    <w:rsid w:val="002E1E96"/>
    <w:rsid w:val="002E53CB"/>
    <w:rsid w:val="002E5BDD"/>
    <w:rsid w:val="002E7FD7"/>
    <w:rsid w:val="002F437A"/>
    <w:rsid w:val="002F4BEE"/>
    <w:rsid w:val="002F7442"/>
    <w:rsid w:val="00310F67"/>
    <w:rsid w:val="003111D9"/>
    <w:rsid w:val="00314993"/>
    <w:rsid w:val="003217BC"/>
    <w:rsid w:val="003278D3"/>
    <w:rsid w:val="003357DD"/>
    <w:rsid w:val="00336AEE"/>
    <w:rsid w:val="00345002"/>
    <w:rsid w:val="0035061C"/>
    <w:rsid w:val="003528F1"/>
    <w:rsid w:val="0035559F"/>
    <w:rsid w:val="003574D4"/>
    <w:rsid w:val="00361530"/>
    <w:rsid w:val="00361CE2"/>
    <w:rsid w:val="00363578"/>
    <w:rsid w:val="00375CAA"/>
    <w:rsid w:val="0038050C"/>
    <w:rsid w:val="003834FD"/>
    <w:rsid w:val="00387B0B"/>
    <w:rsid w:val="00392B47"/>
    <w:rsid w:val="00395789"/>
    <w:rsid w:val="00395F83"/>
    <w:rsid w:val="003A55C7"/>
    <w:rsid w:val="003A6D94"/>
    <w:rsid w:val="003B2204"/>
    <w:rsid w:val="003B589D"/>
    <w:rsid w:val="003C4D65"/>
    <w:rsid w:val="003C6A87"/>
    <w:rsid w:val="003C6BEF"/>
    <w:rsid w:val="003D5320"/>
    <w:rsid w:val="003E39C5"/>
    <w:rsid w:val="003F552F"/>
    <w:rsid w:val="003F68B4"/>
    <w:rsid w:val="003F733C"/>
    <w:rsid w:val="004019D6"/>
    <w:rsid w:val="004020F9"/>
    <w:rsid w:val="004075EB"/>
    <w:rsid w:val="004129C9"/>
    <w:rsid w:val="00415EFB"/>
    <w:rsid w:val="0041741A"/>
    <w:rsid w:val="00425785"/>
    <w:rsid w:val="004257FD"/>
    <w:rsid w:val="00425826"/>
    <w:rsid w:val="0043653E"/>
    <w:rsid w:val="00441FF4"/>
    <w:rsid w:val="004443BC"/>
    <w:rsid w:val="0044542E"/>
    <w:rsid w:val="0044663F"/>
    <w:rsid w:val="00456081"/>
    <w:rsid w:val="004564A1"/>
    <w:rsid w:val="0045693F"/>
    <w:rsid w:val="0045708D"/>
    <w:rsid w:val="00457E73"/>
    <w:rsid w:val="00471CB2"/>
    <w:rsid w:val="00482FC0"/>
    <w:rsid w:val="004831DB"/>
    <w:rsid w:val="0048458D"/>
    <w:rsid w:val="00486CC0"/>
    <w:rsid w:val="00491415"/>
    <w:rsid w:val="004A6EF7"/>
    <w:rsid w:val="004A7C7F"/>
    <w:rsid w:val="004C79F0"/>
    <w:rsid w:val="004E4202"/>
    <w:rsid w:val="004E4771"/>
    <w:rsid w:val="004F2AEE"/>
    <w:rsid w:val="004F3D2E"/>
    <w:rsid w:val="00502176"/>
    <w:rsid w:val="00516BFD"/>
    <w:rsid w:val="00516EBE"/>
    <w:rsid w:val="0052100E"/>
    <w:rsid w:val="00530E4C"/>
    <w:rsid w:val="00535235"/>
    <w:rsid w:val="0053585F"/>
    <w:rsid w:val="005360BD"/>
    <w:rsid w:val="005411E0"/>
    <w:rsid w:val="00545D1B"/>
    <w:rsid w:val="005514D0"/>
    <w:rsid w:val="005609C3"/>
    <w:rsid w:val="0056152B"/>
    <w:rsid w:val="005643F8"/>
    <w:rsid w:val="005707CF"/>
    <w:rsid w:val="005722C1"/>
    <w:rsid w:val="00573F85"/>
    <w:rsid w:val="00580849"/>
    <w:rsid w:val="00581DD7"/>
    <w:rsid w:val="00583E89"/>
    <w:rsid w:val="00585479"/>
    <w:rsid w:val="005922AF"/>
    <w:rsid w:val="00596157"/>
    <w:rsid w:val="005A3774"/>
    <w:rsid w:val="005A58CE"/>
    <w:rsid w:val="005A7774"/>
    <w:rsid w:val="005B0CF0"/>
    <w:rsid w:val="005D0B44"/>
    <w:rsid w:val="005D5F38"/>
    <w:rsid w:val="005D6B0E"/>
    <w:rsid w:val="005D7721"/>
    <w:rsid w:val="005E5AD8"/>
    <w:rsid w:val="005E6D64"/>
    <w:rsid w:val="005F332D"/>
    <w:rsid w:val="005F6CF8"/>
    <w:rsid w:val="005F6EC2"/>
    <w:rsid w:val="00612E97"/>
    <w:rsid w:val="00613D47"/>
    <w:rsid w:val="0061450B"/>
    <w:rsid w:val="00616EF2"/>
    <w:rsid w:val="0061780A"/>
    <w:rsid w:val="00621727"/>
    <w:rsid w:val="0062364A"/>
    <w:rsid w:val="00624644"/>
    <w:rsid w:val="0062642B"/>
    <w:rsid w:val="00640E45"/>
    <w:rsid w:val="0064164B"/>
    <w:rsid w:val="006436A4"/>
    <w:rsid w:val="00647F75"/>
    <w:rsid w:val="00655E3E"/>
    <w:rsid w:val="00656095"/>
    <w:rsid w:val="00656989"/>
    <w:rsid w:val="00657311"/>
    <w:rsid w:val="006604BA"/>
    <w:rsid w:val="006634C0"/>
    <w:rsid w:val="00671EA3"/>
    <w:rsid w:val="00680406"/>
    <w:rsid w:val="00681E04"/>
    <w:rsid w:val="0068258D"/>
    <w:rsid w:val="00691219"/>
    <w:rsid w:val="00692602"/>
    <w:rsid w:val="0069743C"/>
    <w:rsid w:val="006A4E5B"/>
    <w:rsid w:val="006A647B"/>
    <w:rsid w:val="006A672C"/>
    <w:rsid w:val="006A7272"/>
    <w:rsid w:val="006B20D6"/>
    <w:rsid w:val="006B46ED"/>
    <w:rsid w:val="006B54EA"/>
    <w:rsid w:val="006B5E5E"/>
    <w:rsid w:val="006C0E9C"/>
    <w:rsid w:val="006D114D"/>
    <w:rsid w:val="006D21DD"/>
    <w:rsid w:val="006D3A24"/>
    <w:rsid w:val="006D3FBF"/>
    <w:rsid w:val="006D548E"/>
    <w:rsid w:val="006E3F2E"/>
    <w:rsid w:val="006E64FD"/>
    <w:rsid w:val="007050D4"/>
    <w:rsid w:val="00711217"/>
    <w:rsid w:val="0071418C"/>
    <w:rsid w:val="00716C46"/>
    <w:rsid w:val="00717511"/>
    <w:rsid w:val="0071798A"/>
    <w:rsid w:val="00723614"/>
    <w:rsid w:val="00732A9B"/>
    <w:rsid w:val="007367BC"/>
    <w:rsid w:val="007420F6"/>
    <w:rsid w:val="00742B4F"/>
    <w:rsid w:val="00745B8F"/>
    <w:rsid w:val="00750ECC"/>
    <w:rsid w:val="007557CF"/>
    <w:rsid w:val="00755BC6"/>
    <w:rsid w:val="00772AC8"/>
    <w:rsid w:val="007776F5"/>
    <w:rsid w:val="007818D2"/>
    <w:rsid w:val="00785290"/>
    <w:rsid w:val="0078708B"/>
    <w:rsid w:val="00787AED"/>
    <w:rsid w:val="00787CF2"/>
    <w:rsid w:val="007A4A9F"/>
    <w:rsid w:val="007A7A72"/>
    <w:rsid w:val="007A7FA2"/>
    <w:rsid w:val="007B1142"/>
    <w:rsid w:val="007B1E53"/>
    <w:rsid w:val="007C05F3"/>
    <w:rsid w:val="007C4D6D"/>
    <w:rsid w:val="007D00E7"/>
    <w:rsid w:val="007D1C4E"/>
    <w:rsid w:val="007D509A"/>
    <w:rsid w:val="007D6634"/>
    <w:rsid w:val="007D7778"/>
    <w:rsid w:val="007E0E0D"/>
    <w:rsid w:val="007E1815"/>
    <w:rsid w:val="007E2545"/>
    <w:rsid w:val="007E4B0E"/>
    <w:rsid w:val="007E5DEA"/>
    <w:rsid w:val="007E6405"/>
    <w:rsid w:val="007E7142"/>
    <w:rsid w:val="007F3BF3"/>
    <w:rsid w:val="00806FF2"/>
    <w:rsid w:val="00811BD2"/>
    <w:rsid w:val="00816BDF"/>
    <w:rsid w:val="008205DE"/>
    <w:rsid w:val="008220CE"/>
    <w:rsid w:val="00827CA9"/>
    <w:rsid w:val="00831C3B"/>
    <w:rsid w:val="00834D66"/>
    <w:rsid w:val="00835878"/>
    <w:rsid w:val="00842E8C"/>
    <w:rsid w:val="0084316D"/>
    <w:rsid w:val="0084327A"/>
    <w:rsid w:val="0084522D"/>
    <w:rsid w:val="00845CAF"/>
    <w:rsid w:val="008464C7"/>
    <w:rsid w:val="00847765"/>
    <w:rsid w:val="00852D6C"/>
    <w:rsid w:val="00857B68"/>
    <w:rsid w:val="008601AD"/>
    <w:rsid w:val="0086327D"/>
    <w:rsid w:val="00865175"/>
    <w:rsid w:val="00865BF7"/>
    <w:rsid w:val="00866799"/>
    <w:rsid w:val="0087269E"/>
    <w:rsid w:val="00880089"/>
    <w:rsid w:val="00887EC1"/>
    <w:rsid w:val="00894A3F"/>
    <w:rsid w:val="008A0DDA"/>
    <w:rsid w:val="008A1236"/>
    <w:rsid w:val="008A7C2F"/>
    <w:rsid w:val="008B0220"/>
    <w:rsid w:val="008B0D82"/>
    <w:rsid w:val="008B38DF"/>
    <w:rsid w:val="008B5739"/>
    <w:rsid w:val="008B71EC"/>
    <w:rsid w:val="008B724D"/>
    <w:rsid w:val="008D05EC"/>
    <w:rsid w:val="008D31D3"/>
    <w:rsid w:val="008D4295"/>
    <w:rsid w:val="008D5DDC"/>
    <w:rsid w:val="008E0F90"/>
    <w:rsid w:val="008E5048"/>
    <w:rsid w:val="008F2BFA"/>
    <w:rsid w:val="008F3E10"/>
    <w:rsid w:val="008F678B"/>
    <w:rsid w:val="0090787C"/>
    <w:rsid w:val="0092479E"/>
    <w:rsid w:val="00930857"/>
    <w:rsid w:val="00933C27"/>
    <w:rsid w:val="0093666A"/>
    <w:rsid w:val="0094102E"/>
    <w:rsid w:val="00941176"/>
    <w:rsid w:val="0094209E"/>
    <w:rsid w:val="0094395C"/>
    <w:rsid w:val="00944B5E"/>
    <w:rsid w:val="00945B0E"/>
    <w:rsid w:val="009551B2"/>
    <w:rsid w:val="00961248"/>
    <w:rsid w:val="009651E7"/>
    <w:rsid w:val="00980DE8"/>
    <w:rsid w:val="0098703F"/>
    <w:rsid w:val="00987694"/>
    <w:rsid w:val="00987AA5"/>
    <w:rsid w:val="00990406"/>
    <w:rsid w:val="0099183D"/>
    <w:rsid w:val="00991A6F"/>
    <w:rsid w:val="00992FC9"/>
    <w:rsid w:val="009936F2"/>
    <w:rsid w:val="009A08E6"/>
    <w:rsid w:val="009A0BA9"/>
    <w:rsid w:val="009A1058"/>
    <w:rsid w:val="009A25E5"/>
    <w:rsid w:val="009A26D1"/>
    <w:rsid w:val="009A2779"/>
    <w:rsid w:val="009A3052"/>
    <w:rsid w:val="009B744E"/>
    <w:rsid w:val="009C1291"/>
    <w:rsid w:val="009C30B5"/>
    <w:rsid w:val="009C4CD0"/>
    <w:rsid w:val="009C4D5E"/>
    <w:rsid w:val="009D0261"/>
    <w:rsid w:val="009D39E4"/>
    <w:rsid w:val="009D3CD2"/>
    <w:rsid w:val="009D7ADC"/>
    <w:rsid w:val="009E2A82"/>
    <w:rsid w:val="009E4F0A"/>
    <w:rsid w:val="009E4F45"/>
    <w:rsid w:val="009F6870"/>
    <w:rsid w:val="00A036A8"/>
    <w:rsid w:val="00A144D6"/>
    <w:rsid w:val="00A16ACF"/>
    <w:rsid w:val="00A20A41"/>
    <w:rsid w:val="00A20E24"/>
    <w:rsid w:val="00A20EF1"/>
    <w:rsid w:val="00A250FE"/>
    <w:rsid w:val="00A31850"/>
    <w:rsid w:val="00A34DB4"/>
    <w:rsid w:val="00A3712C"/>
    <w:rsid w:val="00A429F6"/>
    <w:rsid w:val="00A46598"/>
    <w:rsid w:val="00A506AC"/>
    <w:rsid w:val="00A531ED"/>
    <w:rsid w:val="00A533FB"/>
    <w:rsid w:val="00A54CBB"/>
    <w:rsid w:val="00A564D8"/>
    <w:rsid w:val="00A60B16"/>
    <w:rsid w:val="00A63CB9"/>
    <w:rsid w:val="00A642BC"/>
    <w:rsid w:val="00A64497"/>
    <w:rsid w:val="00A66410"/>
    <w:rsid w:val="00A7091A"/>
    <w:rsid w:val="00A750AD"/>
    <w:rsid w:val="00A760F7"/>
    <w:rsid w:val="00A761D7"/>
    <w:rsid w:val="00A776B1"/>
    <w:rsid w:val="00A802CF"/>
    <w:rsid w:val="00A80A12"/>
    <w:rsid w:val="00A80DD4"/>
    <w:rsid w:val="00A81ED0"/>
    <w:rsid w:val="00A85FA7"/>
    <w:rsid w:val="00A902D0"/>
    <w:rsid w:val="00A936AF"/>
    <w:rsid w:val="00A9463E"/>
    <w:rsid w:val="00A95E1F"/>
    <w:rsid w:val="00AA07AF"/>
    <w:rsid w:val="00AA33E1"/>
    <w:rsid w:val="00AA33E2"/>
    <w:rsid w:val="00AA4C4A"/>
    <w:rsid w:val="00AB255D"/>
    <w:rsid w:val="00AC1245"/>
    <w:rsid w:val="00AC3A65"/>
    <w:rsid w:val="00AD19E0"/>
    <w:rsid w:val="00AD3D87"/>
    <w:rsid w:val="00AD409D"/>
    <w:rsid w:val="00AD4B4F"/>
    <w:rsid w:val="00AE1DC7"/>
    <w:rsid w:val="00AE5C04"/>
    <w:rsid w:val="00AF23C6"/>
    <w:rsid w:val="00AF6666"/>
    <w:rsid w:val="00AF7E76"/>
    <w:rsid w:val="00B16458"/>
    <w:rsid w:val="00B210BC"/>
    <w:rsid w:val="00B244C3"/>
    <w:rsid w:val="00B254A0"/>
    <w:rsid w:val="00B30203"/>
    <w:rsid w:val="00B32B1E"/>
    <w:rsid w:val="00B34D61"/>
    <w:rsid w:val="00B36FD5"/>
    <w:rsid w:val="00B40A28"/>
    <w:rsid w:val="00B46B26"/>
    <w:rsid w:val="00B534BF"/>
    <w:rsid w:val="00B53EB9"/>
    <w:rsid w:val="00B56E89"/>
    <w:rsid w:val="00B606B0"/>
    <w:rsid w:val="00B664BE"/>
    <w:rsid w:val="00B66C62"/>
    <w:rsid w:val="00B6715F"/>
    <w:rsid w:val="00B71D44"/>
    <w:rsid w:val="00B805F0"/>
    <w:rsid w:val="00B815A6"/>
    <w:rsid w:val="00B81AC0"/>
    <w:rsid w:val="00B85C7D"/>
    <w:rsid w:val="00B86E0D"/>
    <w:rsid w:val="00B94C3A"/>
    <w:rsid w:val="00BA133D"/>
    <w:rsid w:val="00BA19CF"/>
    <w:rsid w:val="00BA1AA2"/>
    <w:rsid w:val="00BA1E08"/>
    <w:rsid w:val="00BB3AFD"/>
    <w:rsid w:val="00BB4354"/>
    <w:rsid w:val="00BC0DC4"/>
    <w:rsid w:val="00BD01FF"/>
    <w:rsid w:val="00BD124C"/>
    <w:rsid w:val="00BE339A"/>
    <w:rsid w:val="00C02D17"/>
    <w:rsid w:val="00C07897"/>
    <w:rsid w:val="00C14688"/>
    <w:rsid w:val="00C22D69"/>
    <w:rsid w:val="00C32368"/>
    <w:rsid w:val="00C37790"/>
    <w:rsid w:val="00C57095"/>
    <w:rsid w:val="00C572DF"/>
    <w:rsid w:val="00C62796"/>
    <w:rsid w:val="00C703DB"/>
    <w:rsid w:val="00C734B4"/>
    <w:rsid w:val="00C73F71"/>
    <w:rsid w:val="00C77B17"/>
    <w:rsid w:val="00C86857"/>
    <w:rsid w:val="00C86AF6"/>
    <w:rsid w:val="00C9179E"/>
    <w:rsid w:val="00C97168"/>
    <w:rsid w:val="00CA14FB"/>
    <w:rsid w:val="00CA15EF"/>
    <w:rsid w:val="00CA3847"/>
    <w:rsid w:val="00CA3B46"/>
    <w:rsid w:val="00CA3F0D"/>
    <w:rsid w:val="00CA598D"/>
    <w:rsid w:val="00CA6EB0"/>
    <w:rsid w:val="00CA7F78"/>
    <w:rsid w:val="00CB2B4A"/>
    <w:rsid w:val="00CB2F18"/>
    <w:rsid w:val="00CB433D"/>
    <w:rsid w:val="00CB659E"/>
    <w:rsid w:val="00CB69C7"/>
    <w:rsid w:val="00CC2DDA"/>
    <w:rsid w:val="00CD78B4"/>
    <w:rsid w:val="00CE260E"/>
    <w:rsid w:val="00CE6536"/>
    <w:rsid w:val="00CF32CE"/>
    <w:rsid w:val="00CF4FA7"/>
    <w:rsid w:val="00D15D9B"/>
    <w:rsid w:val="00D15FDA"/>
    <w:rsid w:val="00D16C4C"/>
    <w:rsid w:val="00D21264"/>
    <w:rsid w:val="00D217A3"/>
    <w:rsid w:val="00D22F59"/>
    <w:rsid w:val="00D26B89"/>
    <w:rsid w:val="00D345CD"/>
    <w:rsid w:val="00D515A3"/>
    <w:rsid w:val="00D5431E"/>
    <w:rsid w:val="00D553D1"/>
    <w:rsid w:val="00D56F38"/>
    <w:rsid w:val="00D62D51"/>
    <w:rsid w:val="00D65413"/>
    <w:rsid w:val="00D66965"/>
    <w:rsid w:val="00D72FC9"/>
    <w:rsid w:val="00D730D6"/>
    <w:rsid w:val="00D8326D"/>
    <w:rsid w:val="00D83C76"/>
    <w:rsid w:val="00D943FA"/>
    <w:rsid w:val="00D958E7"/>
    <w:rsid w:val="00D972F4"/>
    <w:rsid w:val="00DA48FB"/>
    <w:rsid w:val="00DA4BCD"/>
    <w:rsid w:val="00DB0273"/>
    <w:rsid w:val="00DC0549"/>
    <w:rsid w:val="00DC2F76"/>
    <w:rsid w:val="00DC6907"/>
    <w:rsid w:val="00DC6C93"/>
    <w:rsid w:val="00DD1DA7"/>
    <w:rsid w:val="00DD3390"/>
    <w:rsid w:val="00DD6931"/>
    <w:rsid w:val="00DE23AB"/>
    <w:rsid w:val="00DE4019"/>
    <w:rsid w:val="00DE5CBE"/>
    <w:rsid w:val="00DF7C62"/>
    <w:rsid w:val="00E0353B"/>
    <w:rsid w:val="00E0414C"/>
    <w:rsid w:val="00E050D3"/>
    <w:rsid w:val="00E14F10"/>
    <w:rsid w:val="00E15999"/>
    <w:rsid w:val="00E26357"/>
    <w:rsid w:val="00E316AB"/>
    <w:rsid w:val="00E31E9E"/>
    <w:rsid w:val="00E32D47"/>
    <w:rsid w:val="00E37593"/>
    <w:rsid w:val="00E430B2"/>
    <w:rsid w:val="00E446CE"/>
    <w:rsid w:val="00E47D26"/>
    <w:rsid w:val="00E5349E"/>
    <w:rsid w:val="00E56A03"/>
    <w:rsid w:val="00E61093"/>
    <w:rsid w:val="00E63690"/>
    <w:rsid w:val="00E70257"/>
    <w:rsid w:val="00E719E3"/>
    <w:rsid w:val="00E71A02"/>
    <w:rsid w:val="00E744C9"/>
    <w:rsid w:val="00E7735C"/>
    <w:rsid w:val="00E84820"/>
    <w:rsid w:val="00E85192"/>
    <w:rsid w:val="00E86048"/>
    <w:rsid w:val="00E92C00"/>
    <w:rsid w:val="00E94C41"/>
    <w:rsid w:val="00EB0386"/>
    <w:rsid w:val="00EB1276"/>
    <w:rsid w:val="00EB165C"/>
    <w:rsid w:val="00EB3A27"/>
    <w:rsid w:val="00EB548B"/>
    <w:rsid w:val="00EB5B53"/>
    <w:rsid w:val="00EC122B"/>
    <w:rsid w:val="00EC558C"/>
    <w:rsid w:val="00ED26F1"/>
    <w:rsid w:val="00ED7793"/>
    <w:rsid w:val="00F01CB4"/>
    <w:rsid w:val="00F029B7"/>
    <w:rsid w:val="00F03E89"/>
    <w:rsid w:val="00F114AE"/>
    <w:rsid w:val="00F12E41"/>
    <w:rsid w:val="00F234F5"/>
    <w:rsid w:val="00F25663"/>
    <w:rsid w:val="00F3023B"/>
    <w:rsid w:val="00F36F70"/>
    <w:rsid w:val="00F37E40"/>
    <w:rsid w:val="00F4142B"/>
    <w:rsid w:val="00F41B4A"/>
    <w:rsid w:val="00F41C0C"/>
    <w:rsid w:val="00F46DAF"/>
    <w:rsid w:val="00F525D7"/>
    <w:rsid w:val="00F572B7"/>
    <w:rsid w:val="00F75B3F"/>
    <w:rsid w:val="00F8006D"/>
    <w:rsid w:val="00F84FFC"/>
    <w:rsid w:val="00FA21DB"/>
    <w:rsid w:val="00FA3915"/>
    <w:rsid w:val="00FA43D5"/>
    <w:rsid w:val="00FB1989"/>
    <w:rsid w:val="00FB3306"/>
    <w:rsid w:val="00FB360A"/>
    <w:rsid w:val="00FB4D99"/>
    <w:rsid w:val="00FC0998"/>
    <w:rsid w:val="00FC102A"/>
    <w:rsid w:val="00FC436E"/>
    <w:rsid w:val="00FD0D89"/>
    <w:rsid w:val="00FD544B"/>
    <w:rsid w:val="00FD5E41"/>
    <w:rsid w:val="00FE1073"/>
    <w:rsid w:val="00FE1DD7"/>
    <w:rsid w:val="00FE3122"/>
    <w:rsid w:val="00FE3513"/>
    <w:rsid w:val="00FE39D2"/>
    <w:rsid w:val="00FE507B"/>
    <w:rsid w:val="00FF74E9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5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1741A"/>
    <w:pPr>
      <w:spacing w:before="120" w:after="120"/>
    </w:pPr>
    <w:rPr>
      <w:lang w:val="sv-SE" w:eastAsia="sv-SE"/>
    </w:rPr>
  </w:style>
  <w:style w:type="paragraph" w:styleId="berschrift2">
    <w:name w:val="heading 2"/>
    <w:basedOn w:val="Standard"/>
    <w:next w:val="Standard"/>
    <w:link w:val="berschrift2Zchn"/>
    <w:qFormat/>
    <w:rsid w:val="000E617C"/>
    <w:pPr>
      <w:keepNext/>
      <w:tabs>
        <w:tab w:val="left" w:pos="300"/>
        <w:tab w:val="left" w:pos="2920"/>
      </w:tabs>
      <w:spacing w:before="240" w:line="360" w:lineRule="auto"/>
      <w:ind w:right="-17"/>
      <w:jc w:val="both"/>
      <w:outlineLvl w:val="1"/>
    </w:pPr>
    <w:rPr>
      <w:szCs w:val="20"/>
      <w:u w:val="single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33E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BA1AA2"/>
    <w:pPr>
      <w:spacing w:line="480" w:lineRule="auto"/>
    </w:pPr>
    <w:rPr>
      <w:szCs w:val="20"/>
      <w:lang w:val="en-US" w:eastAsia="de-DE"/>
    </w:rPr>
  </w:style>
  <w:style w:type="character" w:styleId="Kommentarzeichen">
    <w:name w:val="annotation reference"/>
    <w:basedOn w:val="Absatz-Standardschriftart"/>
    <w:rsid w:val="005E6D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D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D64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5E6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D64"/>
    <w:rPr>
      <w:b/>
      <w:bCs/>
      <w:lang w:val="sv-SE" w:eastAsia="sv-SE"/>
    </w:rPr>
  </w:style>
  <w:style w:type="paragraph" w:styleId="Sprechblasentext">
    <w:name w:val="Balloon Text"/>
    <w:basedOn w:val="Standard"/>
    <w:link w:val="SprechblasentextZchn"/>
    <w:rsid w:val="005E6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6D64"/>
    <w:rPr>
      <w:rFonts w:ascii="Tahoma" w:hAnsi="Tahoma" w:cs="Tahoma"/>
      <w:sz w:val="16"/>
      <w:szCs w:val="16"/>
      <w:lang w:val="sv-SE" w:eastAsia="sv-SE"/>
    </w:rPr>
  </w:style>
  <w:style w:type="table" w:styleId="Tabellenraster">
    <w:name w:val="Table Grid"/>
    <w:basedOn w:val="NormaleTabelle"/>
    <w:rsid w:val="00B8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992FC9"/>
  </w:style>
  <w:style w:type="paragraph" w:styleId="Dokumentstruktur">
    <w:name w:val="Document Map"/>
    <w:basedOn w:val="Standard"/>
    <w:semiHidden/>
    <w:rsid w:val="00711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rarbeitung">
    <w:name w:val="Revision"/>
    <w:hidden/>
    <w:uiPriority w:val="99"/>
    <w:semiHidden/>
    <w:rsid w:val="00FD5E41"/>
    <w:rPr>
      <w:lang w:val="sv-SE" w:eastAsia="sv-SE"/>
    </w:rPr>
  </w:style>
  <w:style w:type="paragraph" w:customStyle="1" w:styleId="Absatzerstehngend">
    <w:name w:val="Absatz erste hängend"/>
    <w:basedOn w:val="Standard"/>
    <w:qFormat/>
    <w:rsid w:val="007D1C4E"/>
    <w:pPr>
      <w:autoSpaceDE w:val="0"/>
      <w:autoSpaceDN w:val="0"/>
      <w:adjustRightInd w:val="0"/>
      <w:spacing w:line="480" w:lineRule="auto"/>
      <w:ind w:firstLine="709"/>
      <w:jc w:val="both"/>
    </w:pPr>
    <w:rPr>
      <w:rFonts w:ascii="Arial" w:hAnsi="Arial" w:cs="Arial"/>
      <w:bCs/>
      <w:lang w:val="en-US"/>
    </w:rPr>
  </w:style>
  <w:style w:type="paragraph" w:styleId="Listenabsatz">
    <w:name w:val="List Paragraph"/>
    <w:basedOn w:val="Standard"/>
    <w:uiPriority w:val="99"/>
    <w:qFormat/>
    <w:rsid w:val="00827CA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CA15EF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15EF"/>
    <w:rPr>
      <w:sz w:val="24"/>
      <w:szCs w:val="24"/>
      <w:lang w:val="sv-SE" w:eastAsia="sv-SE"/>
    </w:rPr>
  </w:style>
  <w:style w:type="paragraph" w:styleId="StandardWeb">
    <w:name w:val="Normal (Web)"/>
    <w:basedOn w:val="Standard"/>
    <w:uiPriority w:val="99"/>
    <w:rsid w:val="00CA15EF"/>
    <w:pPr>
      <w:spacing w:before="100" w:beforeAutospacing="1" w:after="100" w:afterAutospacing="1"/>
    </w:pPr>
    <w:rPr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locked/>
    <w:rsid w:val="000E617C"/>
    <w:rPr>
      <w:szCs w:val="20"/>
      <w:u w:val="single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D16C4C"/>
    <w:rPr>
      <w:sz w:val="24"/>
      <w:lang w:val="en-US"/>
    </w:rPr>
  </w:style>
  <w:style w:type="paragraph" w:styleId="Literaturverzeichnis">
    <w:name w:val="Bibliography"/>
    <w:basedOn w:val="Standard"/>
    <w:next w:val="Standard"/>
    <w:uiPriority w:val="37"/>
    <w:unhideWhenUsed/>
    <w:rsid w:val="0093666A"/>
    <w:pPr>
      <w:tabs>
        <w:tab w:val="left" w:pos="264"/>
      </w:tabs>
      <w:spacing w:line="480" w:lineRule="auto"/>
      <w:ind w:left="264" w:hanging="264"/>
    </w:pPr>
  </w:style>
  <w:style w:type="paragraph" w:styleId="Endnotentext">
    <w:name w:val="endnote text"/>
    <w:basedOn w:val="Standard"/>
    <w:link w:val="EndnotentextZchn"/>
    <w:rsid w:val="0043653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3653E"/>
    <w:rPr>
      <w:sz w:val="20"/>
      <w:szCs w:val="20"/>
      <w:lang w:val="sv-SE" w:eastAsia="sv-SE"/>
    </w:rPr>
  </w:style>
  <w:style w:type="character" w:styleId="Endnotenzeichen">
    <w:name w:val="endnote reference"/>
    <w:basedOn w:val="Absatz-Standardschriftart"/>
    <w:rsid w:val="0043653E"/>
    <w:rPr>
      <w:vertAlign w:val="superscript"/>
    </w:rPr>
  </w:style>
  <w:style w:type="paragraph" w:styleId="Funotentext">
    <w:name w:val="footnote text"/>
    <w:basedOn w:val="Standard"/>
    <w:link w:val="FunotentextZchn"/>
    <w:rsid w:val="004365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3653E"/>
    <w:rPr>
      <w:sz w:val="20"/>
      <w:szCs w:val="20"/>
      <w:lang w:val="sv-SE" w:eastAsia="sv-SE"/>
    </w:rPr>
  </w:style>
  <w:style w:type="character" w:styleId="Funotenzeichen">
    <w:name w:val="footnote reference"/>
    <w:basedOn w:val="Absatz-Standardschriftart"/>
    <w:rsid w:val="0043653E"/>
    <w:rPr>
      <w:vertAlign w:val="superscript"/>
    </w:rPr>
  </w:style>
  <w:style w:type="paragraph" w:customStyle="1" w:styleId="Literaturverzeichnis1">
    <w:name w:val="Literaturverzeichnis1"/>
    <w:basedOn w:val="Standard"/>
    <w:rsid w:val="00A9463E"/>
    <w:pPr>
      <w:widowControl w:val="0"/>
      <w:tabs>
        <w:tab w:val="left" w:pos="500"/>
      </w:tabs>
      <w:autoSpaceDE w:val="0"/>
      <w:autoSpaceDN w:val="0"/>
      <w:adjustRightInd w:val="0"/>
      <w:spacing w:after="240"/>
      <w:ind w:left="504" w:hanging="504"/>
    </w:pPr>
    <w:rPr>
      <w:rFonts w:ascii="Arial" w:hAnsi="Arial" w:cs="Arial"/>
      <w:sz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964E-E215-C245-BA3F-63B27055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Methods</vt:lpstr>
    </vt:vector>
  </TitlesOfParts>
  <Company>UKB BONN</Company>
  <LinksUpToDate>false</LinksUpToDate>
  <CharactersWithSpaces>1652</CharactersWithSpaces>
  <SharedDoc>false</SharedDoc>
  <HLinks>
    <vt:vector size="6" baseType="variant">
      <vt:variant>
        <vt:i4>4063236</vt:i4>
      </vt:variant>
      <vt:variant>
        <vt:i4>4</vt:i4>
      </vt:variant>
      <vt:variant>
        <vt:i4>0</vt:i4>
      </vt:variant>
      <vt:variant>
        <vt:i4>5</vt:i4>
      </vt:variant>
      <vt:variant>
        <vt:lpwstr>https://kontakte.web.de/adr_show/?cid=1788868140&amp;cat=1&amp;ind=L&amp;sortier=0&amp;sid=000000C1450C6D4FCD55F1E73C927C83DA9411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Thomas</dc:creator>
  <cp:lastModifiedBy>TM</cp:lastModifiedBy>
  <cp:revision>4</cp:revision>
  <cp:lastPrinted>2009-05-18T13:23:00Z</cp:lastPrinted>
  <dcterms:created xsi:type="dcterms:W3CDTF">2019-12-09T17:20:00Z</dcterms:created>
  <dcterms:modified xsi:type="dcterms:W3CDTF">2019-12-13T11:14:00Z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id="DJXgR74g"/&gt;&lt;style id="http://www.zotero.org/styles/critical-care-medicine"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name="noteType" value=""/&gt;&lt;/prefs&gt;&lt;/data&gt;</vt:lpwstr>
  </property>
</Properties>
</file>