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48F5" w14:textId="66E28A16" w:rsidR="00E17427" w:rsidRPr="00437F0C" w:rsidRDefault="00E17427" w:rsidP="00E17427">
      <w:pPr>
        <w:spacing w:line="480" w:lineRule="auto"/>
        <w:jc w:val="center"/>
        <w:outlineLvl w:val="0"/>
        <w:rPr>
          <w:rFonts w:ascii="Arial" w:hAnsi="Arial" w:cs="Arial"/>
          <w:lang w:val="en-US"/>
        </w:rPr>
      </w:pPr>
      <w:r w:rsidRPr="00AC5F33">
        <w:rPr>
          <w:rFonts w:ascii="Arial" w:hAnsi="Arial" w:cs="Arial"/>
          <w:lang w:val="en-US"/>
        </w:rPr>
        <w:t>Individualized positive end-expiratory pressure and regional gas exchange in porcine lung injury</w:t>
      </w:r>
    </w:p>
    <w:p w14:paraId="690E9626" w14:textId="77777777" w:rsidR="00E17427" w:rsidRPr="00437F0C" w:rsidRDefault="00E17427" w:rsidP="00E17427">
      <w:pPr>
        <w:spacing w:line="276" w:lineRule="auto"/>
        <w:jc w:val="center"/>
        <w:outlineLvl w:val="0"/>
        <w:rPr>
          <w:rFonts w:ascii="Arial" w:hAnsi="Arial" w:cs="Arial"/>
          <w:lang w:val="en-US"/>
        </w:rPr>
      </w:pPr>
      <w:bookmarkStart w:id="0" w:name="OLE_LINK1"/>
      <w:proofErr w:type="spellStart"/>
      <w:r w:rsidRPr="00350B48">
        <w:rPr>
          <w:rFonts w:ascii="Arial" w:hAnsi="Arial" w:cs="Arial"/>
          <w:lang w:val="en-US"/>
        </w:rPr>
        <w:t>Muders</w:t>
      </w:r>
      <w:proofErr w:type="spellEnd"/>
      <w:r>
        <w:rPr>
          <w:rFonts w:ascii="Arial" w:hAnsi="Arial" w:cs="Arial"/>
          <w:lang w:val="en-US"/>
        </w:rPr>
        <w:t xml:space="preserve"> </w:t>
      </w:r>
      <w:r w:rsidRPr="00350B48">
        <w:rPr>
          <w:rFonts w:ascii="Arial" w:hAnsi="Arial" w:cs="Arial"/>
          <w:lang w:val="en-US"/>
        </w:rPr>
        <w:t xml:space="preserve">T, </w:t>
      </w:r>
      <w:proofErr w:type="spellStart"/>
      <w:r w:rsidRPr="00350B48">
        <w:rPr>
          <w:rFonts w:ascii="Arial" w:hAnsi="Arial" w:cs="Arial"/>
          <w:lang w:val="en-US"/>
        </w:rPr>
        <w:t>Luepschen</w:t>
      </w:r>
      <w:proofErr w:type="spellEnd"/>
      <w:r w:rsidRPr="00350B48">
        <w:rPr>
          <w:rFonts w:ascii="Arial" w:hAnsi="Arial" w:cs="Arial"/>
          <w:lang w:val="en-US"/>
        </w:rPr>
        <w:t xml:space="preserve"> H, Meier T, </w:t>
      </w:r>
      <w:proofErr w:type="spellStart"/>
      <w:r w:rsidRPr="00350B48">
        <w:rPr>
          <w:rFonts w:ascii="Arial" w:hAnsi="Arial" w:cs="Arial"/>
          <w:lang w:val="en-US"/>
        </w:rPr>
        <w:t>Reske</w:t>
      </w:r>
      <w:proofErr w:type="spellEnd"/>
      <w:r w:rsidRPr="00350B48">
        <w:rPr>
          <w:rFonts w:ascii="Arial" w:hAnsi="Arial" w:cs="Arial"/>
          <w:lang w:val="en-US"/>
        </w:rPr>
        <w:t xml:space="preserve"> A, </w:t>
      </w:r>
      <w:proofErr w:type="spellStart"/>
      <w:r w:rsidRPr="00350B48">
        <w:rPr>
          <w:rFonts w:ascii="Arial" w:hAnsi="Arial" w:cs="Arial"/>
          <w:lang w:val="en-US"/>
        </w:rPr>
        <w:t>Zinserling</w:t>
      </w:r>
      <w:proofErr w:type="spellEnd"/>
      <w:r w:rsidRPr="00350B48">
        <w:rPr>
          <w:rFonts w:ascii="Arial" w:hAnsi="Arial" w:cs="Arial"/>
          <w:lang w:val="en-US"/>
        </w:rPr>
        <w:t xml:space="preserve"> J, </w:t>
      </w:r>
      <w:proofErr w:type="spellStart"/>
      <w:r w:rsidRPr="00350B48">
        <w:rPr>
          <w:rFonts w:ascii="Arial" w:hAnsi="Arial" w:cs="Arial"/>
          <w:lang w:val="en-US"/>
        </w:rPr>
        <w:t>Kreyer</w:t>
      </w:r>
      <w:proofErr w:type="spellEnd"/>
      <w:r w:rsidRPr="00350B48">
        <w:rPr>
          <w:rFonts w:ascii="Arial" w:hAnsi="Arial" w:cs="Arial"/>
          <w:lang w:val="en-US"/>
        </w:rPr>
        <w:t xml:space="preserve"> S, </w:t>
      </w:r>
      <w:proofErr w:type="spellStart"/>
      <w:r w:rsidRPr="00350B48">
        <w:rPr>
          <w:rFonts w:ascii="Arial" w:hAnsi="Arial" w:cs="Arial"/>
          <w:lang w:val="en-US"/>
        </w:rPr>
        <w:t>Pikkemaat</w:t>
      </w:r>
      <w:proofErr w:type="spellEnd"/>
      <w:r w:rsidRPr="00350B48">
        <w:rPr>
          <w:rFonts w:ascii="Arial" w:hAnsi="Arial" w:cs="Arial"/>
          <w:lang w:val="en-US"/>
        </w:rPr>
        <w:t xml:space="preserve"> R, </w:t>
      </w:r>
      <w:proofErr w:type="spellStart"/>
      <w:r w:rsidRPr="00350B48">
        <w:rPr>
          <w:rFonts w:ascii="Arial" w:hAnsi="Arial" w:cs="Arial"/>
          <w:lang w:val="en-US"/>
        </w:rPr>
        <w:t>Maripuu</w:t>
      </w:r>
      <w:proofErr w:type="spellEnd"/>
      <w:r w:rsidRPr="00350B48">
        <w:rPr>
          <w:rFonts w:ascii="Arial" w:hAnsi="Arial" w:cs="Arial"/>
          <w:lang w:val="en-US"/>
        </w:rPr>
        <w:t xml:space="preserve"> E, Leonhardt S, </w:t>
      </w:r>
      <w:proofErr w:type="spellStart"/>
      <w:r w:rsidRPr="00350B48">
        <w:rPr>
          <w:rFonts w:ascii="Arial" w:hAnsi="Arial" w:cs="Arial"/>
          <w:lang w:val="en-US"/>
        </w:rPr>
        <w:t>Hedenstierna</w:t>
      </w:r>
      <w:proofErr w:type="spellEnd"/>
      <w:r w:rsidRPr="00350B48">
        <w:rPr>
          <w:rFonts w:ascii="Arial" w:hAnsi="Arial" w:cs="Arial"/>
          <w:lang w:val="en-US"/>
        </w:rPr>
        <w:t xml:space="preserve"> G, </w:t>
      </w:r>
      <w:proofErr w:type="spellStart"/>
      <w:r w:rsidRPr="00350B48">
        <w:rPr>
          <w:rFonts w:ascii="Arial" w:hAnsi="Arial" w:cs="Arial"/>
          <w:lang w:val="en-US"/>
        </w:rPr>
        <w:t>Putensen</w:t>
      </w:r>
      <w:proofErr w:type="spellEnd"/>
      <w:r w:rsidRPr="00350B48">
        <w:rPr>
          <w:rFonts w:ascii="Arial" w:hAnsi="Arial" w:cs="Arial"/>
          <w:lang w:val="en-US"/>
        </w:rPr>
        <w:t xml:space="preserve"> C, and </w:t>
      </w:r>
      <w:proofErr w:type="spellStart"/>
      <w:r w:rsidRPr="00350B48">
        <w:rPr>
          <w:rFonts w:ascii="Arial" w:hAnsi="Arial" w:cs="Arial"/>
          <w:lang w:val="en-US"/>
        </w:rPr>
        <w:t>W</w:t>
      </w:r>
      <w:r w:rsidRPr="00437F0C">
        <w:rPr>
          <w:rFonts w:ascii="Arial" w:hAnsi="Arial" w:cs="Arial"/>
          <w:lang w:val="en-US"/>
        </w:rPr>
        <w:t>rigge</w:t>
      </w:r>
      <w:proofErr w:type="spellEnd"/>
      <w:r>
        <w:rPr>
          <w:rFonts w:ascii="Arial" w:hAnsi="Arial" w:cs="Arial"/>
          <w:lang w:val="en-US"/>
        </w:rPr>
        <w:t xml:space="preserve"> H</w:t>
      </w:r>
    </w:p>
    <w:bookmarkEnd w:id="0"/>
    <w:p w14:paraId="30AC1AE3" w14:textId="77777777" w:rsidR="009E2A82" w:rsidRDefault="009E2A82" w:rsidP="009E2A82">
      <w:pPr>
        <w:spacing w:before="240" w:line="276" w:lineRule="auto"/>
        <w:rPr>
          <w:rFonts w:ascii="Arial" w:hAnsi="Arial" w:cs="Arial"/>
          <w:b/>
          <w:lang w:val="en-US"/>
        </w:rPr>
      </w:pPr>
    </w:p>
    <w:p w14:paraId="591B6E8C" w14:textId="5317EE77" w:rsidR="00AF6666" w:rsidRPr="008B0220" w:rsidRDefault="009E2A82" w:rsidP="009E2A82">
      <w:pPr>
        <w:tabs>
          <w:tab w:val="left" w:pos="3240"/>
        </w:tabs>
        <w:spacing w:line="480" w:lineRule="auto"/>
        <w:jc w:val="both"/>
        <w:rPr>
          <w:rFonts w:ascii="Arial" w:hAnsi="Arial" w:cs="Arial"/>
          <w:b/>
          <w:bCs/>
          <w:lang w:val="en-US"/>
        </w:rPr>
      </w:pPr>
      <w:r w:rsidRPr="009448DE">
        <w:rPr>
          <w:rFonts w:ascii="Arial" w:hAnsi="Arial" w:cs="Arial"/>
          <w:b/>
          <w:u w:val="single"/>
          <w:lang w:val="en-US"/>
        </w:rPr>
        <w:t xml:space="preserve">Supplemental Digital Content </w:t>
      </w:r>
      <w:r w:rsidR="00E17427">
        <w:rPr>
          <w:rFonts w:ascii="Arial" w:hAnsi="Arial" w:cs="Arial"/>
          <w:b/>
          <w:u w:val="single"/>
          <w:lang w:val="en-US"/>
        </w:rPr>
        <w:t>14</w:t>
      </w:r>
      <w:r>
        <w:rPr>
          <w:rFonts w:ascii="Arial" w:hAnsi="Arial" w:cs="Arial"/>
          <w:b/>
          <w:lang w:val="en-US"/>
        </w:rPr>
        <w:t xml:space="preserve"> -</w:t>
      </w:r>
      <w:r w:rsidR="00AF6666" w:rsidRPr="008B0220">
        <w:rPr>
          <w:rFonts w:ascii="Arial" w:hAnsi="Arial" w:cs="Arial"/>
          <w:b/>
          <w:bCs/>
          <w:lang w:val="en-US"/>
        </w:rPr>
        <w:t>Comparison of SPECT, CT, and blood gases</w:t>
      </w:r>
    </w:p>
    <w:p w14:paraId="0C6CE05B" w14:textId="77777777" w:rsidR="009D39E4" w:rsidRDefault="00AF6666" w:rsidP="00180CF4">
      <w:pPr>
        <w:tabs>
          <w:tab w:val="left" w:pos="3240"/>
        </w:tabs>
        <w:spacing w:line="480" w:lineRule="auto"/>
        <w:ind w:firstLine="284"/>
        <w:jc w:val="both"/>
        <w:rPr>
          <w:rFonts w:ascii="Arial" w:hAnsi="Arial" w:cs="Arial"/>
          <w:lang w:val="en-US"/>
        </w:rPr>
      </w:pPr>
      <w:r w:rsidRPr="00AF6666">
        <w:rPr>
          <w:rFonts w:ascii="Arial" w:hAnsi="Arial" w:cs="Arial"/>
          <w:lang w:val="en-US"/>
        </w:rPr>
        <w:t xml:space="preserve">Results from blood gas analyses, SPECT- and CT-scans </w:t>
      </w:r>
      <w:r w:rsidR="009D39E4">
        <w:rPr>
          <w:rFonts w:ascii="Arial" w:hAnsi="Arial" w:cs="Arial"/>
          <w:lang w:val="en-US"/>
        </w:rPr>
        <w:t xml:space="preserve">have been compared using linear </w:t>
      </w:r>
      <w:r w:rsidR="00DA4BCD">
        <w:rPr>
          <w:rFonts w:ascii="Arial" w:hAnsi="Arial" w:cs="Arial"/>
          <w:lang w:val="en-US"/>
        </w:rPr>
        <w:t xml:space="preserve">correlation </w:t>
      </w:r>
      <w:r w:rsidR="009D39E4">
        <w:rPr>
          <w:rFonts w:ascii="Arial" w:hAnsi="Arial" w:cs="Arial"/>
          <w:lang w:val="en-US"/>
        </w:rPr>
        <w:t>(</w:t>
      </w:r>
      <w:proofErr w:type="spellStart"/>
      <w:r w:rsidR="009D39E4">
        <w:rPr>
          <w:rFonts w:ascii="Arial" w:hAnsi="Arial" w:cs="Arial"/>
          <w:lang w:val="en-US"/>
        </w:rPr>
        <w:t>Pearson</w:t>
      </w:r>
      <w:r w:rsidR="00AA33E1">
        <w:rPr>
          <w:rFonts w:ascii="Arial" w:hAnsi="Arial" w:cs="Arial"/>
          <w:lang w:val="en-US"/>
        </w:rPr>
        <w:t>s</w:t>
      </w:r>
      <w:proofErr w:type="spellEnd"/>
      <w:r w:rsidR="009D39E4">
        <w:rPr>
          <w:rFonts w:ascii="Arial" w:hAnsi="Arial" w:cs="Arial"/>
          <w:lang w:val="en-US"/>
        </w:rPr>
        <w:t xml:space="preserve"> correlation) and Bland-and-Altman analys</w:t>
      </w:r>
      <w:r w:rsidR="00AA33E1">
        <w:rPr>
          <w:rFonts w:ascii="Arial" w:hAnsi="Arial" w:cs="Arial"/>
          <w:lang w:val="en-US"/>
        </w:rPr>
        <w:t>i</w:t>
      </w:r>
      <w:r w:rsidR="009D39E4">
        <w:rPr>
          <w:rFonts w:ascii="Arial" w:hAnsi="Arial" w:cs="Arial"/>
          <w:lang w:val="en-US"/>
        </w:rPr>
        <w:t>s, when appropriate.</w:t>
      </w:r>
    </w:p>
    <w:p w14:paraId="47E7C153" w14:textId="2F2E9908" w:rsidR="00AF6666" w:rsidRDefault="009D39E4" w:rsidP="00180CF4">
      <w:pPr>
        <w:tabs>
          <w:tab w:val="left" w:pos="3240"/>
        </w:tabs>
        <w:spacing w:line="480" w:lineRule="auto"/>
        <w:ind w:firstLine="284"/>
        <w:jc w:val="both"/>
        <w:rPr>
          <w:rFonts w:ascii="Arial" w:hAnsi="Arial" w:cs="Arial"/>
          <w:lang w:val="en-US"/>
        </w:rPr>
      </w:pPr>
      <w:r>
        <w:rPr>
          <w:rFonts w:ascii="Arial" w:hAnsi="Arial" w:cs="Arial"/>
          <w:lang w:val="en-US"/>
        </w:rPr>
        <w:t>Physiological shunt calculated from blood gas analyses (according to Berggren)</w:t>
      </w:r>
      <w:r w:rsidR="00AF6666" w:rsidRPr="00AF6666">
        <w:rPr>
          <w:rFonts w:ascii="Arial" w:hAnsi="Arial" w:cs="Arial"/>
          <w:lang w:val="en-US"/>
        </w:rPr>
        <w:t xml:space="preserve"> </w:t>
      </w:r>
      <w:r>
        <w:rPr>
          <w:rFonts w:ascii="Arial" w:hAnsi="Arial" w:cs="Arial"/>
          <w:lang w:val="en-US"/>
        </w:rPr>
        <w:t>showed a very good linear correlation</w:t>
      </w:r>
      <w:r w:rsidR="00CF32CE">
        <w:rPr>
          <w:rFonts w:ascii="Arial" w:hAnsi="Arial" w:cs="Arial"/>
          <w:lang w:val="en-US"/>
        </w:rPr>
        <w:t xml:space="preserve"> </w:t>
      </w:r>
      <w:r w:rsidR="00621588">
        <w:rPr>
          <w:rFonts w:ascii="Arial" w:hAnsi="Arial" w:cs="Arial"/>
          <w:lang w:val="en-US"/>
        </w:rPr>
        <w:t xml:space="preserve">mostly with a slope </w:t>
      </w:r>
      <w:r w:rsidR="00184031">
        <w:rPr>
          <w:rFonts w:ascii="Arial" w:hAnsi="Arial" w:cs="Arial"/>
          <w:lang w:val="en-US"/>
        </w:rPr>
        <w:t>different fr</w:t>
      </w:r>
      <w:bookmarkStart w:id="1" w:name="_GoBack"/>
      <w:bookmarkEnd w:id="1"/>
      <w:r w:rsidR="00184031">
        <w:rPr>
          <w:rFonts w:ascii="Arial" w:hAnsi="Arial" w:cs="Arial"/>
          <w:lang w:val="en-US"/>
        </w:rPr>
        <w:t>om</w:t>
      </w:r>
      <w:r w:rsidR="00621588">
        <w:rPr>
          <w:rFonts w:ascii="Arial" w:hAnsi="Arial" w:cs="Arial"/>
          <w:lang w:val="en-US"/>
        </w:rPr>
        <w:t xml:space="preserve"> one </w:t>
      </w:r>
      <w:r w:rsidR="00CF32CE">
        <w:rPr>
          <w:rFonts w:ascii="Arial" w:hAnsi="Arial" w:cs="Arial"/>
          <w:lang w:val="en-US"/>
        </w:rPr>
        <w:t>(R</w:t>
      </w:r>
      <w:r w:rsidR="00CF32CE" w:rsidRPr="00D553D1">
        <w:rPr>
          <w:rFonts w:ascii="Arial" w:hAnsi="Arial" w:cs="Arial"/>
          <w:vertAlign w:val="superscript"/>
          <w:lang w:val="en-US"/>
        </w:rPr>
        <w:t>2</w:t>
      </w:r>
      <w:r w:rsidR="00CF32CE">
        <w:rPr>
          <w:rFonts w:ascii="Arial" w:hAnsi="Arial" w:cs="Arial"/>
          <w:lang w:val="en-US"/>
        </w:rPr>
        <w:t>=0.82, P&lt;0.</w:t>
      </w:r>
      <w:r w:rsidR="00CF2AA6">
        <w:rPr>
          <w:rFonts w:ascii="Arial" w:hAnsi="Arial" w:cs="Arial"/>
          <w:lang w:val="en-US"/>
        </w:rPr>
        <w:t>0</w:t>
      </w:r>
      <w:r w:rsidR="00CF32CE">
        <w:rPr>
          <w:rFonts w:ascii="Arial" w:hAnsi="Arial" w:cs="Arial"/>
          <w:lang w:val="en-US"/>
        </w:rPr>
        <w:t>01)</w:t>
      </w:r>
      <w:r>
        <w:rPr>
          <w:rFonts w:ascii="Arial" w:hAnsi="Arial" w:cs="Arial"/>
          <w:lang w:val="en-US"/>
        </w:rPr>
        <w:t xml:space="preserve"> to SPECT-derived shunt perfusion (</w:t>
      </w:r>
      <w:r w:rsidR="00C07897">
        <w:rPr>
          <w:rFonts w:ascii="Arial" w:hAnsi="Arial" w:cs="Arial"/>
          <w:lang w:val="en-US"/>
        </w:rPr>
        <w:t>figure S</w:t>
      </w:r>
      <w:r w:rsidR="0041183E">
        <w:rPr>
          <w:rFonts w:ascii="Arial" w:hAnsi="Arial" w:cs="Arial"/>
          <w:lang w:val="en-US"/>
        </w:rPr>
        <w:t>9</w:t>
      </w:r>
      <w:r>
        <w:rPr>
          <w:rFonts w:ascii="Arial" w:hAnsi="Arial" w:cs="Arial"/>
          <w:lang w:val="en-US"/>
        </w:rPr>
        <w:t>)</w:t>
      </w:r>
      <w:r w:rsidR="00B16458">
        <w:rPr>
          <w:rFonts w:ascii="Arial" w:hAnsi="Arial" w:cs="Arial"/>
          <w:lang w:val="en-US"/>
        </w:rPr>
        <w:t xml:space="preserve">. Bland-and-Altman analysis showed good agreement </w:t>
      </w:r>
      <w:r w:rsidR="00EB1276">
        <w:rPr>
          <w:rFonts w:ascii="Arial" w:hAnsi="Arial" w:cs="Arial"/>
          <w:lang w:val="en-US"/>
        </w:rPr>
        <w:t>with</w:t>
      </w:r>
      <w:r w:rsidR="00B16458">
        <w:rPr>
          <w:rFonts w:ascii="Arial" w:hAnsi="Arial" w:cs="Arial"/>
          <w:lang w:val="en-US"/>
        </w:rPr>
        <w:t xml:space="preserve"> low but </w:t>
      </w:r>
      <w:r w:rsidR="00621588">
        <w:rPr>
          <w:rFonts w:ascii="Arial" w:hAnsi="Arial" w:cs="Arial"/>
          <w:lang w:val="en-US"/>
        </w:rPr>
        <w:t xml:space="preserve">increasing bias with higher values, </w:t>
      </w:r>
      <w:r w:rsidR="00B16458">
        <w:rPr>
          <w:rFonts w:ascii="Arial" w:hAnsi="Arial" w:cs="Arial"/>
          <w:lang w:val="en-US"/>
        </w:rPr>
        <w:t>reveal</w:t>
      </w:r>
      <w:r w:rsidR="00A146A8">
        <w:rPr>
          <w:rFonts w:ascii="Arial" w:hAnsi="Arial" w:cs="Arial"/>
          <w:lang w:val="en-US"/>
        </w:rPr>
        <w:t>ing</w:t>
      </w:r>
      <w:r w:rsidR="00B16458">
        <w:rPr>
          <w:rFonts w:ascii="Arial" w:hAnsi="Arial" w:cs="Arial"/>
          <w:lang w:val="en-US"/>
        </w:rPr>
        <w:t xml:space="preserve"> a slight </w:t>
      </w:r>
      <w:r w:rsidR="00621588">
        <w:rPr>
          <w:rFonts w:ascii="Arial" w:hAnsi="Arial" w:cs="Arial"/>
          <w:lang w:val="en-US"/>
        </w:rPr>
        <w:t xml:space="preserve">systematic </w:t>
      </w:r>
      <w:r w:rsidR="00B16458">
        <w:rPr>
          <w:rFonts w:ascii="Arial" w:hAnsi="Arial" w:cs="Arial"/>
          <w:lang w:val="en-US"/>
        </w:rPr>
        <w:t>overestimation of shunt using the SPECT method</w:t>
      </w:r>
      <w:r w:rsidR="00E71A02">
        <w:rPr>
          <w:rFonts w:ascii="Arial" w:hAnsi="Arial" w:cs="Arial"/>
          <w:lang w:val="en-US"/>
        </w:rPr>
        <w:t xml:space="preserve"> (</w:t>
      </w:r>
      <w:r w:rsidR="00C07897">
        <w:rPr>
          <w:rFonts w:ascii="Arial" w:hAnsi="Arial" w:cs="Arial"/>
          <w:lang w:val="en-US"/>
        </w:rPr>
        <w:t>figure S</w:t>
      </w:r>
      <w:r w:rsidR="0041183E">
        <w:rPr>
          <w:rFonts w:ascii="Arial" w:hAnsi="Arial" w:cs="Arial"/>
          <w:lang w:val="en-US"/>
        </w:rPr>
        <w:t>9</w:t>
      </w:r>
      <w:r w:rsidR="00535235">
        <w:rPr>
          <w:rFonts w:ascii="Arial" w:hAnsi="Arial" w:cs="Arial"/>
          <w:lang w:val="en-US"/>
        </w:rPr>
        <w:t>)</w:t>
      </w:r>
      <w:r w:rsidR="00B16458">
        <w:rPr>
          <w:rFonts w:ascii="Arial" w:hAnsi="Arial" w:cs="Arial"/>
          <w:lang w:val="en-US"/>
        </w:rPr>
        <w:t>.</w:t>
      </w:r>
      <w:r w:rsidR="00184031">
        <w:rPr>
          <w:rFonts w:ascii="Arial" w:hAnsi="Arial" w:cs="Arial"/>
          <w:lang w:val="en-US"/>
        </w:rPr>
        <w:t xml:space="preserve"> This might be explained by a limited spatial resolution of SPECT, especially at very low V/Q ratios.</w:t>
      </w:r>
    </w:p>
    <w:p w14:paraId="415893B2" w14:textId="709D65BC" w:rsidR="00180CF4" w:rsidRPr="008B0220" w:rsidRDefault="00180CF4" w:rsidP="008B0220">
      <w:pPr>
        <w:pStyle w:val="berschrift2"/>
        <w:spacing w:line="480" w:lineRule="auto"/>
        <w:rPr>
          <w:rFonts w:ascii="Arial" w:hAnsi="Arial" w:cs="Arial"/>
          <w:i/>
          <w:iCs/>
          <w:szCs w:val="24"/>
        </w:rPr>
      </w:pPr>
      <w:r w:rsidRPr="008B0220">
        <w:rPr>
          <w:rFonts w:ascii="Arial" w:hAnsi="Arial" w:cs="Arial"/>
          <w:i/>
          <w:iCs/>
          <w:szCs w:val="24"/>
        </w:rPr>
        <w:t xml:space="preserve">Figure </w:t>
      </w:r>
      <w:r w:rsidR="0044542E">
        <w:rPr>
          <w:rFonts w:ascii="Arial" w:hAnsi="Arial" w:cs="Arial"/>
          <w:i/>
          <w:iCs/>
          <w:szCs w:val="24"/>
        </w:rPr>
        <w:t>S</w:t>
      </w:r>
      <w:r w:rsidR="0041183E">
        <w:rPr>
          <w:rFonts w:ascii="Arial" w:hAnsi="Arial" w:cs="Arial"/>
          <w:i/>
          <w:iCs/>
          <w:szCs w:val="24"/>
        </w:rPr>
        <w:t>9</w:t>
      </w:r>
    </w:p>
    <w:p w14:paraId="7E26F179" w14:textId="4B68A9B4" w:rsidR="00180CF4" w:rsidRDefault="00621588" w:rsidP="00180CF4">
      <w:pPr>
        <w:tabs>
          <w:tab w:val="left" w:pos="3240"/>
        </w:tabs>
        <w:spacing w:line="480" w:lineRule="auto"/>
        <w:ind w:firstLine="284"/>
        <w:jc w:val="both"/>
        <w:rPr>
          <w:rFonts w:ascii="Arial" w:hAnsi="Arial" w:cs="Arial"/>
          <w:lang w:val="en-US"/>
        </w:rPr>
      </w:pPr>
      <w:r w:rsidRPr="00621588">
        <w:rPr>
          <w:rFonts w:ascii="Arial" w:hAnsi="Arial" w:cs="Arial"/>
          <w:noProof/>
          <w:lang w:val="en-US"/>
        </w:rPr>
        <w:drawing>
          <wp:inline distT="0" distB="0" distL="0" distR="0" wp14:anchorId="09433E14" wp14:editId="6DB97297">
            <wp:extent cx="5760720" cy="2426970"/>
            <wp:effectExtent l="0" t="0" r="5080" b="0"/>
            <wp:docPr id="1" name="Grafik 1" descr="Ein Bild, das Karte,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26970"/>
                    </a:xfrm>
                    <a:prstGeom prst="rect">
                      <a:avLst/>
                    </a:prstGeom>
                  </pic:spPr>
                </pic:pic>
              </a:graphicData>
            </a:graphic>
          </wp:inline>
        </w:drawing>
      </w:r>
    </w:p>
    <w:p w14:paraId="370A98AF" w14:textId="77B6C142" w:rsidR="00180CF4" w:rsidRDefault="00180CF4" w:rsidP="00D553D1">
      <w:pPr>
        <w:pStyle w:val="Textkrper3"/>
        <w:spacing w:line="360" w:lineRule="auto"/>
        <w:ind w:left="567"/>
        <w:jc w:val="both"/>
        <w:rPr>
          <w:rFonts w:ascii="Arial" w:hAnsi="Arial" w:cs="Arial"/>
          <w:sz w:val="22"/>
        </w:rPr>
      </w:pPr>
      <w:r w:rsidRPr="00D553D1">
        <w:rPr>
          <w:rFonts w:ascii="Arial" w:hAnsi="Arial" w:cs="Arial"/>
          <w:sz w:val="22"/>
          <w:szCs w:val="24"/>
        </w:rPr>
        <w:lastRenderedPageBreak/>
        <w:t xml:space="preserve">Comparison of physiological shunt in [% of cardiac output] calculated from blood gas analyses (according to Berggren) and SPECT-derived shunt perfusion [% of cardiac output]; </w:t>
      </w:r>
      <w:proofErr w:type="gramStart"/>
      <w:r w:rsidR="00621588" w:rsidRPr="00D553D1">
        <w:rPr>
          <w:rFonts w:ascii="Arial" w:hAnsi="Arial" w:cs="Arial"/>
          <w:sz w:val="22"/>
          <w:szCs w:val="24"/>
        </w:rPr>
        <w:t>left</w:t>
      </w:r>
      <w:r w:rsidR="00621588">
        <w:rPr>
          <w:rFonts w:ascii="Arial" w:hAnsi="Arial" w:cs="Arial"/>
          <w:sz w:val="22"/>
          <w:szCs w:val="24"/>
        </w:rPr>
        <w:t>:</w:t>
      </w:r>
      <w:proofErr w:type="gramEnd"/>
      <w:r w:rsidRPr="00D553D1">
        <w:rPr>
          <w:rFonts w:ascii="Arial" w:hAnsi="Arial" w:cs="Arial"/>
          <w:sz w:val="22"/>
          <w:szCs w:val="24"/>
        </w:rPr>
        <w:t xml:space="preserve"> linear correlation</w:t>
      </w:r>
      <w:r w:rsidR="00EB1276">
        <w:rPr>
          <w:rFonts w:ascii="Arial" w:hAnsi="Arial" w:cs="Arial"/>
          <w:sz w:val="22"/>
          <w:szCs w:val="24"/>
        </w:rPr>
        <w:t xml:space="preserve"> (Pearson)</w:t>
      </w:r>
      <w:r w:rsidR="00B16458" w:rsidRPr="00D553D1">
        <w:rPr>
          <w:rFonts w:ascii="Arial" w:hAnsi="Arial" w:cs="Arial"/>
          <w:sz w:val="22"/>
          <w:szCs w:val="24"/>
        </w:rPr>
        <w:t xml:space="preserve">; right: Bland-and-Altman </w:t>
      </w:r>
      <w:r w:rsidR="00425785" w:rsidRPr="00D553D1">
        <w:rPr>
          <w:rFonts w:ascii="Arial" w:hAnsi="Arial" w:cs="Arial"/>
          <w:sz w:val="22"/>
          <w:szCs w:val="24"/>
        </w:rPr>
        <w:t>analysis</w:t>
      </w:r>
      <w:r w:rsidR="00B16458" w:rsidRPr="00D553D1">
        <w:rPr>
          <w:rFonts w:ascii="Arial" w:hAnsi="Arial" w:cs="Arial"/>
          <w:sz w:val="22"/>
          <w:szCs w:val="24"/>
        </w:rPr>
        <w:t>.</w:t>
      </w:r>
    </w:p>
    <w:p w14:paraId="15C5BC2C" w14:textId="77777777" w:rsidR="00621588" w:rsidRDefault="00621588" w:rsidP="00621588">
      <w:pPr>
        <w:pStyle w:val="Textkrper3"/>
        <w:spacing w:line="360" w:lineRule="auto"/>
        <w:ind w:left="567"/>
        <w:jc w:val="both"/>
        <w:rPr>
          <w:rFonts w:ascii="Arial" w:hAnsi="Arial" w:cs="Arial"/>
          <w:sz w:val="22"/>
          <w:szCs w:val="24"/>
        </w:rPr>
      </w:pPr>
    </w:p>
    <w:p w14:paraId="5DD0A0C0" w14:textId="61E32549" w:rsidR="00621588" w:rsidRDefault="00621588" w:rsidP="00621588">
      <w:pPr>
        <w:tabs>
          <w:tab w:val="left" w:pos="3240"/>
        </w:tabs>
        <w:spacing w:line="480" w:lineRule="auto"/>
        <w:ind w:firstLine="284"/>
        <w:jc w:val="both"/>
        <w:rPr>
          <w:rFonts w:ascii="Arial" w:hAnsi="Arial" w:cs="Arial"/>
          <w:lang w:val="en-US"/>
        </w:rPr>
      </w:pPr>
      <w:r>
        <w:rPr>
          <w:rFonts w:ascii="Arial" w:hAnsi="Arial" w:cs="Arial"/>
          <w:lang w:val="en-US"/>
        </w:rPr>
        <w:t xml:space="preserve">Since increasing bias with higher shunt values might </w:t>
      </w:r>
      <w:r w:rsidR="00A146A8">
        <w:rPr>
          <w:rFonts w:ascii="Arial" w:hAnsi="Arial" w:cs="Arial"/>
          <w:lang w:val="en-US"/>
        </w:rPr>
        <w:t xml:space="preserve">have </w:t>
      </w:r>
      <w:r>
        <w:rPr>
          <w:rFonts w:ascii="Arial" w:hAnsi="Arial" w:cs="Arial"/>
          <w:lang w:val="en-US"/>
        </w:rPr>
        <w:t>affect</w:t>
      </w:r>
      <w:r w:rsidR="00A146A8">
        <w:rPr>
          <w:rFonts w:ascii="Arial" w:hAnsi="Arial" w:cs="Arial"/>
          <w:lang w:val="en-US"/>
        </w:rPr>
        <w:t>ed</w:t>
      </w:r>
      <w:r>
        <w:rPr>
          <w:rFonts w:ascii="Arial" w:hAnsi="Arial" w:cs="Arial"/>
          <w:lang w:val="en-US"/>
        </w:rPr>
        <w:t xml:space="preserve"> results </w:t>
      </w:r>
      <w:r w:rsidR="00A146A8">
        <w:rPr>
          <w:rFonts w:ascii="Arial" w:hAnsi="Arial" w:cs="Arial"/>
          <w:lang w:val="en-US"/>
        </w:rPr>
        <w:t>on</w:t>
      </w:r>
      <w:r>
        <w:rPr>
          <w:rFonts w:ascii="Arial" w:hAnsi="Arial" w:cs="Arial"/>
          <w:lang w:val="en-US"/>
        </w:rPr>
        <w:t xml:space="preserve"> shunt during table PEEP more than during both other PEEP strategies, we also analyzed differences between PEEP strategies in physiological shunt (according to Berggren, table S6). Theses analyzes support our findings derived from SPECT (figure 4B) showing that shunt was highest during table PEEP, whereas no differences were found between minimal tidal recruitment and maximal oxygenation PEEP. Thus, reduced accuracy of our SPECT method to measure shunt (especially at higher values, see above) did not basically affect our findings.</w:t>
      </w:r>
    </w:p>
    <w:p w14:paraId="27B3CB81" w14:textId="77777777" w:rsidR="00621588" w:rsidRPr="00621588" w:rsidRDefault="00621588" w:rsidP="00621588">
      <w:pPr>
        <w:pStyle w:val="berschrift2"/>
        <w:spacing w:line="480" w:lineRule="auto"/>
        <w:rPr>
          <w:rFonts w:ascii="Arial" w:hAnsi="Arial" w:cs="Arial"/>
          <w:i/>
          <w:iCs/>
          <w:szCs w:val="24"/>
        </w:rPr>
      </w:pPr>
      <w:r>
        <w:rPr>
          <w:rFonts w:ascii="Arial" w:hAnsi="Arial" w:cs="Arial"/>
          <w:i/>
          <w:iCs/>
          <w:szCs w:val="24"/>
        </w:rPr>
        <w:t>Table</w:t>
      </w:r>
      <w:r w:rsidRPr="008B0220">
        <w:rPr>
          <w:rFonts w:ascii="Arial" w:hAnsi="Arial" w:cs="Arial"/>
          <w:i/>
          <w:iCs/>
          <w:szCs w:val="24"/>
        </w:rPr>
        <w:t xml:space="preserve"> </w:t>
      </w:r>
      <w:r>
        <w:rPr>
          <w:rFonts w:ascii="Arial" w:hAnsi="Arial" w:cs="Arial"/>
          <w:i/>
          <w:iCs/>
          <w:szCs w:val="24"/>
        </w:rPr>
        <w:t>S6</w:t>
      </w:r>
    </w:p>
    <w:tbl>
      <w:tblPr>
        <w:tblStyle w:val="Tabellenraster"/>
        <w:tblW w:w="0" w:type="auto"/>
        <w:tblInd w:w="562" w:type="dxa"/>
        <w:tblLook w:val="04A0" w:firstRow="1" w:lastRow="0" w:firstColumn="1" w:lastColumn="0" w:noHBand="0" w:noVBand="1"/>
      </w:tblPr>
      <w:tblGrid>
        <w:gridCol w:w="2268"/>
        <w:gridCol w:w="1276"/>
        <w:gridCol w:w="1701"/>
        <w:gridCol w:w="1763"/>
        <w:gridCol w:w="1492"/>
      </w:tblGrid>
      <w:tr w:rsidR="00621588" w14:paraId="6761C68C" w14:textId="77777777" w:rsidTr="00A146A8">
        <w:tc>
          <w:tcPr>
            <w:tcW w:w="2268" w:type="dxa"/>
          </w:tcPr>
          <w:p w14:paraId="3792E0F7" w14:textId="77777777" w:rsidR="00621588" w:rsidRDefault="00621588" w:rsidP="00567755">
            <w:pPr>
              <w:tabs>
                <w:tab w:val="left" w:pos="3240"/>
              </w:tabs>
              <w:jc w:val="center"/>
              <w:rPr>
                <w:rFonts w:ascii="Arial" w:hAnsi="Arial" w:cs="Arial"/>
                <w:lang w:val="en-US"/>
              </w:rPr>
            </w:pPr>
            <w:r>
              <w:rPr>
                <w:rFonts w:ascii="Arial" w:hAnsi="Arial" w:cs="Arial"/>
                <w:lang w:val="en-US"/>
              </w:rPr>
              <w:t>PEEP strategy</w:t>
            </w:r>
          </w:p>
        </w:tc>
        <w:tc>
          <w:tcPr>
            <w:tcW w:w="1276" w:type="dxa"/>
          </w:tcPr>
          <w:p w14:paraId="18CD3A0D" w14:textId="77777777" w:rsidR="00621588" w:rsidRDefault="00621588" w:rsidP="00567755">
            <w:pPr>
              <w:tabs>
                <w:tab w:val="left" w:pos="3240"/>
              </w:tabs>
              <w:jc w:val="center"/>
              <w:rPr>
                <w:rFonts w:ascii="Arial" w:hAnsi="Arial" w:cs="Arial"/>
                <w:lang w:val="en-US"/>
              </w:rPr>
            </w:pPr>
            <w:r>
              <w:rPr>
                <w:rFonts w:ascii="Arial" w:hAnsi="Arial" w:cs="Arial"/>
                <w:lang w:val="en-US"/>
              </w:rPr>
              <w:t>table PEEP</w:t>
            </w:r>
          </w:p>
        </w:tc>
        <w:tc>
          <w:tcPr>
            <w:tcW w:w="1701" w:type="dxa"/>
          </w:tcPr>
          <w:p w14:paraId="1438C1CB" w14:textId="77777777" w:rsidR="00621588" w:rsidRDefault="00621588" w:rsidP="00567755">
            <w:pPr>
              <w:tabs>
                <w:tab w:val="left" w:pos="3240"/>
              </w:tabs>
              <w:jc w:val="center"/>
              <w:rPr>
                <w:rFonts w:ascii="Arial" w:hAnsi="Arial" w:cs="Arial"/>
                <w:lang w:val="en-US"/>
              </w:rPr>
            </w:pPr>
            <w:r>
              <w:rPr>
                <w:rFonts w:ascii="Arial" w:hAnsi="Arial" w:cs="Arial"/>
                <w:lang w:val="en-US"/>
              </w:rPr>
              <w:t>minimal tidal recruitment PEEP</w:t>
            </w:r>
          </w:p>
        </w:tc>
        <w:tc>
          <w:tcPr>
            <w:tcW w:w="1763" w:type="dxa"/>
          </w:tcPr>
          <w:p w14:paraId="606F3DA5" w14:textId="77777777" w:rsidR="00621588" w:rsidRDefault="00621588" w:rsidP="00567755">
            <w:pPr>
              <w:tabs>
                <w:tab w:val="left" w:pos="3240"/>
              </w:tabs>
              <w:jc w:val="center"/>
              <w:rPr>
                <w:rFonts w:ascii="Arial" w:hAnsi="Arial" w:cs="Arial"/>
                <w:lang w:val="en-US"/>
              </w:rPr>
            </w:pPr>
            <w:r>
              <w:rPr>
                <w:rFonts w:ascii="Arial" w:hAnsi="Arial" w:cs="Arial"/>
                <w:lang w:val="en-US"/>
              </w:rPr>
              <w:t>maximal oxygenation PEEP</w:t>
            </w:r>
          </w:p>
        </w:tc>
        <w:tc>
          <w:tcPr>
            <w:tcW w:w="1492" w:type="dxa"/>
          </w:tcPr>
          <w:p w14:paraId="269CC5EC" w14:textId="77777777" w:rsidR="00621588" w:rsidRDefault="00621588" w:rsidP="00567755">
            <w:pPr>
              <w:tabs>
                <w:tab w:val="left" w:pos="3240"/>
              </w:tabs>
              <w:jc w:val="center"/>
              <w:rPr>
                <w:rFonts w:ascii="Arial" w:hAnsi="Arial" w:cs="Arial"/>
                <w:lang w:val="en-US"/>
              </w:rPr>
            </w:pPr>
            <w:r>
              <w:rPr>
                <w:rFonts w:ascii="Arial" w:hAnsi="Arial" w:cs="Arial"/>
                <w:lang w:val="en-US"/>
              </w:rPr>
              <w:t>repeated measures ANOVA</w:t>
            </w:r>
          </w:p>
        </w:tc>
      </w:tr>
      <w:tr w:rsidR="00621588" w14:paraId="1485CA6F" w14:textId="77777777" w:rsidTr="00A146A8">
        <w:tc>
          <w:tcPr>
            <w:tcW w:w="2268" w:type="dxa"/>
          </w:tcPr>
          <w:p w14:paraId="2D0AE491" w14:textId="12FFC56B" w:rsidR="00621588" w:rsidRDefault="00621588" w:rsidP="00A146A8">
            <w:pPr>
              <w:tabs>
                <w:tab w:val="left" w:pos="3240"/>
              </w:tabs>
              <w:spacing w:line="360" w:lineRule="auto"/>
              <w:jc w:val="both"/>
              <w:rPr>
                <w:rFonts w:ascii="Arial" w:hAnsi="Arial" w:cs="Arial"/>
                <w:lang w:val="en-US"/>
              </w:rPr>
            </w:pPr>
            <w:r>
              <w:rPr>
                <w:rFonts w:ascii="Arial" w:hAnsi="Arial" w:cs="Arial"/>
                <w:lang w:val="en-US"/>
              </w:rPr>
              <w:t>Berggren-shunt</w:t>
            </w:r>
            <w:r w:rsidR="00A146A8">
              <w:rPr>
                <w:rFonts w:ascii="Arial" w:hAnsi="Arial" w:cs="Arial"/>
                <w:lang w:val="en-US"/>
              </w:rPr>
              <w:t xml:space="preserve"> [%]</w:t>
            </w:r>
          </w:p>
        </w:tc>
        <w:tc>
          <w:tcPr>
            <w:tcW w:w="1276" w:type="dxa"/>
          </w:tcPr>
          <w:p w14:paraId="15EF643F" w14:textId="77777777" w:rsidR="00621588" w:rsidRDefault="00621588" w:rsidP="00567755">
            <w:pPr>
              <w:tabs>
                <w:tab w:val="left" w:pos="3240"/>
              </w:tabs>
              <w:jc w:val="center"/>
              <w:rPr>
                <w:rFonts w:ascii="Arial" w:hAnsi="Arial" w:cs="Arial"/>
                <w:lang w:val="en-US"/>
              </w:rPr>
            </w:pPr>
            <w:r>
              <w:rPr>
                <w:rFonts w:ascii="Arial" w:hAnsi="Arial" w:cs="Arial"/>
                <w:lang w:val="en-US"/>
              </w:rPr>
              <w:t xml:space="preserve">34 </w:t>
            </w:r>
            <w:r>
              <w:rPr>
                <w:rFonts w:ascii="Arial" w:hAnsi="Arial" w:cs="Arial"/>
                <w:lang w:val="en-US"/>
              </w:rPr>
              <w:sym w:font="Symbol" w:char="F0B1"/>
            </w:r>
            <w:r>
              <w:rPr>
                <w:rFonts w:ascii="Arial" w:hAnsi="Arial" w:cs="Arial"/>
                <w:lang w:val="en-US"/>
              </w:rPr>
              <w:t xml:space="preserve"> 6 </w:t>
            </w:r>
            <w:proofErr w:type="spellStart"/>
            <w:proofErr w:type="gramStart"/>
            <w:r w:rsidRPr="00621588">
              <w:rPr>
                <w:rFonts w:ascii="Arial" w:hAnsi="Arial" w:cs="Arial"/>
                <w:vertAlign w:val="superscript"/>
                <w:lang w:val="en-US"/>
              </w:rPr>
              <w:t>a,b</w:t>
            </w:r>
            <w:proofErr w:type="spellEnd"/>
            <w:proofErr w:type="gramEnd"/>
          </w:p>
        </w:tc>
        <w:tc>
          <w:tcPr>
            <w:tcW w:w="1701" w:type="dxa"/>
          </w:tcPr>
          <w:p w14:paraId="1BE58900" w14:textId="77777777" w:rsidR="00621588" w:rsidRDefault="00621588" w:rsidP="00567755">
            <w:pPr>
              <w:tabs>
                <w:tab w:val="left" w:pos="3240"/>
              </w:tabs>
              <w:jc w:val="center"/>
              <w:rPr>
                <w:rFonts w:ascii="Arial" w:hAnsi="Arial" w:cs="Arial"/>
                <w:lang w:val="en-US"/>
              </w:rPr>
            </w:pPr>
            <w:r>
              <w:rPr>
                <w:rFonts w:ascii="Arial" w:hAnsi="Arial" w:cs="Arial"/>
                <w:lang w:val="en-US"/>
              </w:rPr>
              <w:t xml:space="preserve">12 </w:t>
            </w:r>
            <w:r>
              <w:rPr>
                <w:rFonts w:ascii="Arial" w:hAnsi="Arial" w:cs="Arial"/>
                <w:lang w:val="en-US"/>
              </w:rPr>
              <w:sym w:font="Symbol" w:char="F0B1"/>
            </w:r>
            <w:r>
              <w:rPr>
                <w:rFonts w:ascii="Arial" w:hAnsi="Arial" w:cs="Arial"/>
                <w:lang w:val="en-US"/>
              </w:rPr>
              <w:t xml:space="preserve"> 5 </w:t>
            </w:r>
            <w:proofErr w:type="spellStart"/>
            <w:proofErr w:type="gramStart"/>
            <w:r w:rsidRPr="00621588">
              <w:rPr>
                <w:rFonts w:ascii="Arial" w:hAnsi="Arial" w:cs="Arial"/>
                <w:vertAlign w:val="superscript"/>
                <w:lang w:val="en-US"/>
              </w:rPr>
              <w:t>a,c</w:t>
            </w:r>
            <w:proofErr w:type="spellEnd"/>
            <w:proofErr w:type="gramEnd"/>
          </w:p>
        </w:tc>
        <w:tc>
          <w:tcPr>
            <w:tcW w:w="1763" w:type="dxa"/>
          </w:tcPr>
          <w:p w14:paraId="4FC57CBF" w14:textId="77777777" w:rsidR="00621588" w:rsidRDefault="00621588" w:rsidP="00567755">
            <w:pPr>
              <w:tabs>
                <w:tab w:val="left" w:pos="3240"/>
              </w:tabs>
              <w:jc w:val="center"/>
              <w:rPr>
                <w:rFonts w:ascii="Arial" w:hAnsi="Arial" w:cs="Arial"/>
                <w:lang w:val="en-US"/>
              </w:rPr>
            </w:pPr>
            <w:r>
              <w:rPr>
                <w:rFonts w:ascii="Arial" w:hAnsi="Arial" w:cs="Arial"/>
                <w:lang w:val="en-US"/>
              </w:rPr>
              <w:t xml:space="preserve">12 </w:t>
            </w:r>
            <w:r>
              <w:rPr>
                <w:rFonts w:ascii="Arial" w:hAnsi="Arial" w:cs="Arial"/>
                <w:lang w:val="en-US"/>
              </w:rPr>
              <w:sym w:font="Symbol" w:char="F0B1"/>
            </w:r>
            <w:r>
              <w:rPr>
                <w:rFonts w:ascii="Arial" w:hAnsi="Arial" w:cs="Arial"/>
                <w:lang w:val="en-US"/>
              </w:rPr>
              <w:t xml:space="preserve"> 7 </w:t>
            </w:r>
            <w:proofErr w:type="spellStart"/>
            <w:proofErr w:type="gramStart"/>
            <w:r w:rsidRPr="00621588">
              <w:rPr>
                <w:rFonts w:ascii="Arial" w:hAnsi="Arial" w:cs="Arial"/>
                <w:vertAlign w:val="superscript"/>
                <w:lang w:val="en-US"/>
              </w:rPr>
              <w:t>b,c</w:t>
            </w:r>
            <w:proofErr w:type="spellEnd"/>
            <w:proofErr w:type="gramEnd"/>
          </w:p>
        </w:tc>
        <w:tc>
          <w:tcPr>
            <w:tcW w:w="1492" w:type="dxa"/>
          </w:tcPr>
          <w:p w14:paraId="664F8A9E" w14:textId="77777777" w:rsidR="00621588" w:rsidRDefault="00621588" w:rsidP="00567755">
            <w:pPr>
              <w:tabs>
                <w:tab w:val="left" w:pos="3240"/>
              </w:tabs>
              <w:jc w:val="center"/>
              <w:rPr>
                <w:rFonts w:ascii="Arial" w:hAnsi="Arial" w:cs="Arial"/>
                <w:lang w:val="en-US"/>
              </w:rPr>
            </w:pPr>
            <w:r>
              <w:rPr>
                <w:rFonts w:ascii="Arial" w:hAnsi="Arial" w:cs="Arial"/>
                <w:lang w:val="en-US"/>
              </w:rPr>
              <w:t>&lt;0.0001</w:t>
            </w:r>
          </w:p>
        </w:tc>
      </w:tr>
    </w:tbl>
    <w:p w14:paraId="0AF1F269" w14:textId="77777777" w:rsidR="00621588" w:rsidRPr="00621588" w:rsidRDefault="00621588" w:rsidP="00621588">
      <w:pPr>
        <w:pStyle w:val="Textkrper3"/>
        <w:spacing w:line="240" w:lineRule="auto"/>
        <w:ind w:left="567"/>
        <w:jc w:val="both"/>
        <w:rPr>
          <w:rFonts w:ascii="Arial" w:hAnsi="Arial" w:cs="Arial"/>
          <w:sz w:val="10"/>
          <w:szCs w:val="11"/>
        </w:rPr>
      </w:pPr>
    </w:p>
    <w:p w14:paraId="6BB3C18A" w14:textId="03A5CE8F" w:rsidR="00621588" w:rsidRPr="00621588" w:rsidRDefault="00621588" w:rsidP="00621588">
      <w:pPr>
        <w:pStyle w:val="Textkrper3"/>
        <w:spacing w:line="360" w:lineRule="auto"/>
        <w:ind w:left="567"/>
        <w:jc w:val="both"/>
        <w:rPr>
          <w:rFonts w:ascii="Arial" w:hAnsi="Arial" w:cs="Arial"/>
          <w:sz w:val="22"/>
          <w:szCs w:val="24"/>
        </w:rPr>
      </w:pPr>
      <w:r w:rsidRPr="00621588">
        <w:rPr>
          <w:rFonts w:ascii="Arial" w:hAnsi="Arial" w:cs="Arial"/>
          <w:sz w:val="22"/>
          <w:szCs w:val="24"/>
        </w:rPr>
        <w:t>Physiological shunt in [% of cardiac output] calculated from blood gas analyses (according to Berggren)</w:t>
      </w:r>
      <w:r>
        <w:rPr>
          <w:rFonts w:ascii="Arial" w:hAnsi="Arial" w:cs="Arial"/>
          <w:sz w:val="22"/>
          <w:szCs w:val="24"/>
        </w:rPr>
        <w:t xml:space="preserve"> during ventilation using different PEEP strategies. Comparison by repeated measures ANOVA followed by post hoc tests (Newman-</w:t>
      </w:r>
      <w:proofErr w:type="spellStart"/>
      <w:r>
        <w:rPr>
          <w:rFonts w:ascii="Arial" w:hAnsi="Arial" w:cs="Arial"/>
          <w:sz w:val="22"/>
          <w:szCs w:val="24"/>
        </w:rPr>
        <w:t>Keuls</w:t>
      </w:r>
      <w:proofErr w:type="spellEnd"/>
      <w:r>
        <w:rPr>
          <w:rFonts w:ascii="Arial" w:hAnsi="Arial" w:cs="Arial"/>
          <w:sz w:val="22"/>
          <w:szCs w:val="24"/>
        </w:rPr>
        <w:t>): a: p&lt;0.0001 table PEEP vs. minimal tidal recruitment PEEP, b:</w:t>
      </w:r>
      <w:r w:rsidRPr="00621588">
        <w:rPr>
          <w:rFonts w:ascii="Arial" w:hAnsi="Arial" w:cs="Arial"/>
          <w:sz w:val="22"/>
          <w:szCs w:val="24"/>
        </w:rPr>
        <w:t xml:space="preserve"> </w:t>
      </w:r>
      <w:r>
        <w:rPr>
          <w:rFonts w:ascii="Arial" w:hAnsi="Arial" w:cs="Arial"/>
          <w:sz w:val="22"/>
          <w:szCs w:val="24"/>
        </w:rPr>
        <w:t>p&lt;0.0001 table PEEP vs. maximal oxygenation PEEP, c: 0.9979 minimal tidal recruitment PEEP</w:t>
      </w:r>
      <w:r w:rsidRPr="00621588">
        <w:rPr>
          <w:rFonts w:ascii="Arial" w:hAnsi="Arial" w:cs="Arial"/>
          <w:sz w:val="22"/>
          <w:szCs w:val="24"/>
        </w:rPr>
        <w:t xml:space="preserve"> </w:t>
      </w:r>
      <w:r>
        <w:rPr>
          <w:rFonts w:ascii="Arial" w:hAnsi="Arial" w:cs="Arial"/>
          <w:sz w:val="22"/>
          <w:szCs w:val="24"/>
        </w:rPr>
        <w:t>vs. maximal oxygenation PEEP.</w:t>
      </w:r>
    </w:p>
    <w:p w14:paraId="2C903071" w14:textId="77777777" w:rsidR="00B16458" w:rsidRDefault="00B16458" w:rsidP="00D553D1">
      <w:pPr>
        <w:tabs>
          <w:tab w:val="left" w:pos="3240"/>
        </w:tabs>
        <w:spacing w:line="480" w:lineRule="auto"/>
        <w:ind w:firstLine="284"/>
        <w:jc w:val="both"/>
        <w:rPr>
          <w:rFonts w:ascii="Arial" w:hAnsi="Arial" w:cs="Arial"/>
          <w:lang w:val="en-US"/>
        </w:rPr>
      </w:pPr>
    </w:p>
    <w:p w14:paraId="329F21BD" w14:textId="0F2F997E" w:rsidR="00CF32CE" w:rsidRDefault="00CF32CE" w:rsidP="00621588">
      <w:pPr>
        <w:pageBreakBefore/>
        <w:tabs>
          <w:tab w:val="left" w:pos="3240"/>
        </w:tabs>
        <w:spacing w:line="480" w:lineRule="auto"/>
        <w:ind w:firstLine="284"/>
        <w:jc w:val="both"/>
        <w:rPr>
          <w:rFonts w:ascii="Arial" w:hAnsi="Arial" w:cs="Arial"/>
          <w:lang w:val="en-US"/>
        </w:rPr>
      </w:pPr>
      <w:r>
        <w:rPr>
          <w:rFonts w:ascii="Arial" w:hAnsi="Arial" w:cs="Arial"/>
          <w:lang w:val="en-US"/>
        </w:rPr>
        <w:lastRenderedPageBreak/>
        <w:t xml:space="preserve">The amount of shunt perfused lung tissue measured by SPECT was well correlated to </w:t>
      </w:r>
      <w:r w:rsidR="00CA598D">
        <w:rPr>
          <w:rFonts w:ascii="Arial" w:hAnsi="Arial" w:cs="Arial"/>
          <w:lang w:val="en-US"/>
        </w:rPr>
        <w:t>the volume (R</w:t>
      </w:r>
      <w:r w:rsidR="00CA598D" w:rsidRPr="008B40E9">
        <w:rPr>
          <w:rFonts w:ascii="Arial" w:hAnsi="Arial" w:cs="Arial"/>
          <w:vertAlign w:val="superscript"/>
          <w:lang w:val="en-US"/>
        </w:rPr>
        <w:t>2</w:t>
      </w:r>
      <w:r w:rsidR="00CA598D">
        <w:rPr>
          <w:rFonts w:ascii="Arial" w:hAnsi="Arial" w:cs="Arial"/>
          <w:lang w:val="en-US"/>
        </w:rPr>
        <w:t>=0.76, P&lt;0.</w:t>
      </w:r>
      <w:r w:rsidR="00CF2AA6">
        <w:rPr>
          <w:rFonts w:ascii="Arial" w:hAnsi="Arial" w:cs="Arial"/>
          <w:lang w:val="en-US"/>
        </w:rPr>
        <w:t>0</w:t>
      </w:r>
      <w:r w:rsidR="00CA598D">
        <w:rPr>
          <w:rFonts w:ascii="Arial" w:hAnsi="Arial" w:cs="Arial"/>
          <w:lang w:val="en-US"/>
        </w:rPr>
        <w:t xml:space="preserve">01, </w:t>
      </w:r>
      <w:r w:rsidR="00C07897">
        <w:rPr>
          <w:rFonts w:ascii="Arial" w:hAnsi="Arial" w:cs="Arial"/>
          <w:lang w:val="en-US"/>
        </w:rPr>
        <w:t>figure S</w:t>
      </w:r>
      <w:r w:rsidR="00E17427">
        <w:rPr>
          <w:rFonts w:ascii="Arial" w:hAnsi="Arial" w:cs="Arial"/>
          <w:lang w:val="en-US"/>
        </w:rPr>
        <w:t>1</w:t>
      </w:r>
      <w:r w:rsidR="0041183E">
        <w:rPr>
          <w:rFonts w:ascii="Arial" w:hAnsi="Arial" w:cs="Arial"/>
          <w:lang w:val="en-US"/>
        </w:rPr>
        <w:t>0</w:t>
      </w:r>
      <w:r w:rsidR="00CA598D">
        <w:rPr>
          <w:rFonts w:ascii="Arial" w:hAnsi="Arial" w:cs="Arial"/>
          <w:lang w:val="en-US"/>
        </w:rPr>
        <w:t>) and the mass (R</w:t>
      </w:r>
      <w:r w:rsidR="00CA598D" w:rsidRPr="008B40E9">
        <w:rPr>
          <w:rFonts w:ascii="Arial" w:hAnsi="Arial" w:cs="Arial"/>
          <w:vertAlign w:val="superscript"/>
          <w:lang w:val="en-US"/>
        </w:rPr>
        <w:t>2</w:t>
      </w:r>
      <w:r w:rsidR="00CA598D">
        <w:rPr>
          <w:rFonts w:ascii="Arial" w:hAnsi="Arial" w:cs="Arial"/>
          <w:lang w:val="en-US"/>
        </w:rPr>
        <w:t>=0.</w:t>
      </w:r>
      <w:r w:rsidR="00EB1276">
        <w:rPr>
          <w:rFonts w:ascii="Arial" w:hAnsi="Arial" w:cs="Arial"/>
          <w:lang w:val="en-US"/>
        </w:rPr>
        <w:t>76</w:t>
      </w:r>
      <w:r w:rsidR="00CA598D">
        <w:rPr>
          <w:rFonts w:ascii="Arial" w:hAnsi="Arial" w:cs="Arial"/>
          <w:lang w:val="en-US"/>
        </w:rPr>
        <w:t>, P&lt;0.</w:t>
      </w:r>
      <w:r w:rsidR="00CF2AA6">
        <w:rPr>
          <w:rFonts w:ascii="Arial" w:hAnsi="Arial" w:cs="Arial"/>
          <w:lang w:val="en-US"/>
        </w:rPr>
        <w:t>0</w:t>
      </w:r>
      <w:r w:rsidR="00CA598D">
        <w:rPr>
          <w:rFonts w:ascii="Arial" w:hAnsi="Arial" w:cs="Arial"/>
          <w:lang w:val="en-US"/>
        </w:rPr>
        <w:t xml:space="preserve">01, </w:t>
      </w:r>
      <w:r w:rsidR="00E71A02">
        <w:rPr>
          <w:rFonts w:ascii="Arial" w:hAnsi="Arial" w:cs="Arial"/>
          <w:lang w:val="en-US"/>
        </w:rPr>
        <w:t xml:space="preserve">figure </w:t>
      </w:r>
      <w:r w:rsidR="00C07897">
        <w:rPr>
          <w:rFonts w:ascii="Arial" w:hAnsi="Arial" w:cs="Arial"/>
          <w:lang w:val="en-US"/>
        </w:rPr>
        <w:t>S</w:t>
      </w:r>
      <w:r w:rsidR="00E17427">
        <w:rPr>
          <w:rFonts w:ascii="Arial" w:hAnsi="Arial" w:cs="Arial"/>
          <w:lang w:val="en-US"/>
        </w:rPr>
        <w:t>1</w:t>
      </w:r>
      <w:r w:rsidR="0041183E">
        <w:rPr>
          <w:rFonts w:ascii="Arial" w:hAnsi="Arial" w:cs="Arial"/>
          <w:lang w:val="en-US"/>
        </w:rPr>
        <w:t>1</w:t>
      </w:r>
      <w:r w:rsidR="00CA598D">
        <w:rPr>
          <w:rFonts w:ascii="Arial" w:hAnsi="Arial" w:cs="Arial"/>
          <w:lang w:val="en-US"/>
        </w:rPr>
        <w:t xml:space="preserve">) of lung tissue that appeared as non-aerated in the CT analysis. </w:t>
      </w:r>
      <w:r w:rsidR="00FC0998">
        <w:rPr>
          <w:rFonts w:ascii="Arial" w:hAnsi="Arial" w:cs="Arial"/>
          <w:lang w:val="en-US"/>
        </w:rPr>
        <w:t xml:space="preserve">Furthermore, </w:t>
      </w:r>
      <w:r w:rsidR="00B86E0D">
        <w:rPr>
          <w:rFonts w:ascii="Arial" w:hAnsi="Arial" w:cs="Arial"/>
          <w:lang w:val="en-US"/>
        </w:rPr>
        <w:t>acceptable</w:t>
      </w:r>
      <w:r w:rsidR="00CA598D">
        <w:rPr>
          <w:rFonts w:ascii="Arial" w:hAnsi="Arial" w:cs="Arial"/>
          <w:lang w:val="en-US"/>
        </w:rPr>
        <w:t xml:space="preserve"> linear correlations </w:t>
      </w:r>
      <w:r w:rsidR="00621588">
        <w:rPr>
          <w:rFonts w:ascii="Arial" w:hAnsi="Arial" w:cs="Arial"/>
          <w:lang w:val="en-US"/>
        </w:rPr>
        <w:t xml:space="preserve">mostly with a slope </w:t>
      </w:r>
      <w:r w:rsidR="00184031">
        <w:rPr>
          <w:rFonts w:ascii="Arial" w:hAnsi="Arial" w:cs="Arial"/>
          <w:lang w:val="en-US"/>
        </w:rPr>
        <w:t>different from</w:t>
      </w:r>
      <w:r w:rsidR="00621588">
        <w:rPr>
          <w:rFonts w:ascii="Arial" w:hAnsi="Arial" w:cs="Arial"/>
          <w:lang w:val="en-US"/>
        </w:rPr>
        <w:t xml:space="preserve"> one </w:t>
      </w:r>
      <w:r w:rsidR="00CA598D">
        <w:rPr>
          <w:rFonts w:ascii="Arial" w:hAnsi="Arial" w:cs="Arial"/>
          <w:lang w:val="en-US"/>
        </w:rPr>
        <w:t>were found</w:t>
      </w:r>
      <w:r w:rsidR="00FC0998">
        <w:rPr>
          <w:rFonts w:ascii="Arial" w:hAnsi="Arial" w:cs="Arial"/>
          <w:lang w:val="en-US"/>
        </w:rPr>
        <w:t xml:space="preserve"> when comparing shunt perfused lung tissue with the cumulative volume of non- and poorly</w:t>
      </w:r>
      <w:r w:rsidR="009D7ADC">
        <w:rPr>
          <w:rFonts w:ascii="Arial" w:hAnsi="Arial" w:cs="Arial"/>
          <w:lang w:val="en-US"/>
        </w:rPr>
        <w:t>-</w:t>
      </w:r>
      <w:r w:rsidR="00FC0998">
        <w:rPr>
          <w:rFonts w:ascii="Arial" w:hAnsi="Arial" w:cs="Arial"/>
          <w:lang w:val="en-US"/>
        </w:rPr>
        <w:t>aerated lung tissue (R</w:t>
      </w:r>
      <w:r w:rsidR="00FC0998" w:rsidRPr="008B40E9">
        <w:rPr>
          <w:rFonts w:ascii="Arial" w:hAnsi="Arial" w:cs="Arial"/>
          <w:vertAlign w:val="superscript"/>
          <w:lang w:val="en-US"/>
        </w:rPr>
        <w:t>2</w:t>
      </w:r>
      <w:r w:rsidR="00FC0998">
        <w:rPr>
          <w:rFonts w:ascii="Arial" w:hAnsi="Arial" w:cs="Arial"/>
          <w:lang w:val="en-US"/>
        </w:rPr>
        <w:t>=0.</w:t>
      </w:r>
      <w:r w:rsidR="00EB1276">
        <w:rPr>
          <w:rFonts w:ascii="Arial" w:hAnsi="Arial" w:cs="Arial"/>
          <w:lang w:val="en-US"/>
        </w:rPr>
        <w:t>61</w:t>
      </w:r>
      <w:r w:rsidR="00FC0998">
        <w:rPr>
          <w:rFonts w:ascii="Arial" w:hAnsi="Arial" w:cs="Arial"/>
          <w:lang w:val="en-US"/>
        </w:rPr>
        <w:t xml:space="preserve"> and R</w:t>
      </w:r>
      <w:r w:rsidR="00FC0998" w:rsidRPr="008B40E9">
        <w:rPr>
          <w:rFonts w:ascii="Arial" w:hAnsi="Arial" w:cs="Arial"/>
          <w:vertAlign w:val="superscript"/>
          <w:lang w:val="en-US"/>
        </w:rPr>
        <w:t>2</w:t>
      </w:r>
      <w:r w:rsidR="00FC0998">
        <w:rPr>
          <w:rFonts w:ascii="Arial" w:hAnsi="Arial" w:cs="Arial"/>
          <w:lang w:val="en-US"/>
        </w:rPr>
        <w:t>=0.</w:t>
      </w:r>
      <w:r w:rsidR="00EB1276">
        <w:rPr>
          <w:rFonts w:ascii="Arial" w:hAnsi="Arial" w:cs="Arial"/>
          <w:lang w:val="en-US"/>
        </w:rPr>
        <w:t>58</w:t>
      </w:r>
      <w:r w:rsidR="00FC0998">
        <w:rPr>
          <w:rFonts w:ascii="Arial" w:hAnsi="Arial" w:cs="Arial"/>
          <w:lang w:val="en-US"/>
        </w:rPr>
        <w:t>, P&lt;0.0</w:t>
      </w:r>
      <w:r w:rsidR="00CF2AA6">
        <w:rPr>
          <w:rFonts w:ascii="Arial" w:hAnsi="Arial" w:cs="Arial"/>
          <w:lang w:val="en-US"/>
        </w:rPr>
        <w:t>0</w:t>
      </w:r>
      <w:r w:rsidR="00FC0998">
        <w:rPr>
          <w:rFonts w:ascii="Arial" w:hAnsi="Arial" w:cs="Arial"/>
          <w:lang w:val="en-US"/>
        </w:rPr>
        <w:t xml:space="preserve">1, respectively, figures </w:t>
      </w:r>
      <w:r w:rsidR="00C07897">
        <w:rPr>
          <w:rFonts w:ascii="Arial" w:hAnsi="Arial" w:cs="Arial"/>
          <w:lang w:val="en-US"/>
        </w:rPr>
        <w:t>S</w:t>
      </w:r>
      <w:r w:rsidR="00E17427">
        <w:rPr>
          <w:rFonts w:ascii="Arial" w:hAnsi="Arial" w:cs="Arial"/>
          <w:lang w:val="en-US"/>
        </w:rPr>
        <w:t>1</w:t>
      </w:r>
      <w:r w:rsidR="0041183E">
        <w:rPr>
          <w:rFonts w:ascii="Arial" w:hAnsi="Arial" w:cs="Arial"/>
          <w:lang w:val="en-US"/>
        </w:rPr>
        <w:t>0</w:t>
      </w:r>
      <w:r w:rsidR="00FC0998">
        <w:rPr>
          <w:rFonts w:ascii="Arial" w:hAnsi="Arial" w:cs="Arial"/>
          <w:lang w:val="en-US"/>
        </w:rPr>
        <w:t xml:space="preserve"> and </w:t>
      </w:r>
      <w:r w:rsidR="00C07897">
        <w:rPr>
          <w:rFonts w:ascii="Arial" w:hAnsi="Arial" w:cs="Arial"/>
          <w:lang w:val="en-US"/>
        </w:rPr>
        <w:t>figure S</w:t>
      </w:r>
      <w:r w:rsidR="00E17427">
        <w:rPr>
          <w:rFonts w:ascii="Arial" w:hAnsi="Arial" w:cs="Arial"/>
          <w:lang w:val="en-US"/>
        </w:rPr>
        <w:t>1</w:t>
      </w:r>
      <w:r w:rsidR="0041183E">
        <w:rPr>
          <w:rFonts w:ascii="Arial" w:hAnsi="Arial" w:cs="Arial"/>
          <w:lang w:val="en-US"/>
        </w:rPr>
        <w:t>1</w:t>
      </w:r>
      <w:r w:rsidR="00FC0998">
        <w:rPr>
          <w:rFonts w:ascii="Arial" w:hAnsi="Arial" w:cs="Arial"/>
          <w:lang w:val="en-US"/>
        </w:rPr>
        <w:t>).</w:t>
      </w:r>
      <w:r w:rsidR="00D115BA">
        <w:rPr>
          <w:rFonts w:ascii="Arial" w:hAnsi="Arial" w:cs="Arial"/>
          <w:lang w:val="en-US"/>
        </w:rPr>
        <w:t xml:space="preserve"> That fact that the left but not the right plots of figures S10 and S11 show an intercept unequal to zero data suggest that poorly aerated lung tissue contributes sunt perfusion.</w:t>
      </w:r>
    </w:p>
    <w:p w14:paraId="1DDE1C77" w14:textId="1B74C072" w:rsidR="00CF32CE" w:rsidRPr="008B0220" w:rsidRDefault="00E71A02" w:rsidP="008B0220">
      <w:pPr>
        <w:pStyle w:val="berschrift2"/>
        <w:spacing w:line="480" w:lineRule="auto"/>
        <w:rPr>
          <w:rFonts w:ascii="Arial" w:hAnsi="Arial" w:cs="Arial"/>
          <w:i/>
          <w:iCs/>
          <w:szCs w:val="24"/>
        </w:rPr>
      </w:pPr>
      <w:r w:rsidRPr="008B0220">
        <w:rPr>
          <w:rFonts w:ascii="Arial" w:hAnsi="Arial" w:cs="Arial"/>
          <w:i/>
          <w:iCs/>
          <w:szCs w:val="24"/>
        </w:rPr>
        <w:t xml:space="preserve">Figure </w:t>
      </w:r>
      <w:r w:rsidR="0044542E">
        <w:rPr>
          <w:rFonts w:ascii="Arial" w:hAnsi="Arial" w:cs="Arial"/>
          <w:i/>
          <w:iCs/>
          <w:szCs w:val="24"/>
        </w:rPr>
        <w:t>S</w:t>
      </w:r>
      <w:r w:rsidR="00E17427">
        <w:rPr>
          <w:rFonts w:ascii="Arial" w:hAnsi="Arial" w:cs="Arial"/>
          <w:i/>
          <w:iCs/>
          <w:szCs w:val="24"/>
        </w:rPr>
        <w:t>1</w:t>
      </w:r>
      <w:r w:rsidR="0041183E">
        <w:rPr>
          <w:rFonts w:ascii="Arial" w:hAnsi="Arial" w:cs="Arial"/>
          <w:i/>
          <w:iCs/>
          <w:szCs w:val="24"/>
        </w:rPr>
        <w:t>0</w:t>
      </w:r>
    </w:p>
    <w:p w14:paraId="6CF6BBAC" w14:textId="00E17B15" w:rsidR="00AA33E1" w:rsidRDefault="00D115BA" w:rsidP="00D553D1">
      <w:pPr>
        <w:tabs>
          <w:tab w:val="left" w:pos="3240"/>
        </w:tabs>
        <w:spacing w:line="480" w:lineRule="auto"/>
        <w:ind w:firstLine="284"/>
        <w:jc w:val="both"/>
        <w:rPr>
          <w:rFonts w:ascii="Arial" w:hAnsi="Arial" w:cs="Arial"/>
          <w:lang w:val="en-US"/>
        </w:rPr>
      </w:pPr>
      <w:r w:rsidRPr="00D115BA">
        <w:rPr>
          <w:rFonts w:ascii="Arial" w:hAnsi="Arial" w:cs="Arial"/>
          <w:noProof/>
          <w:lang w:val="en-US"/>
        </w:rPr>
        <w:drawing>
          <wp:inline distT="0" distB="0" distL="0" distR="0" wp14:anchorId="653B8F85" wp14:editId="59FD823E">
            <wp:extent cx="5590478" cy="2151274"/>
            <wp:effectExtent l="0" t="0" r="0" b="0"/>
            <wp:docPr id="2" name="Grafik 2" descr="Ein Bild, das Karte,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5980" cy="2161087"/>
                    </a:xfrm>
                    <a:prstGeom prst="rect">
                      <a:avLst/>
                    </a:prstGeom>
                  </pic:spPr>
                </pic:pic>
              </a:graphicData>
            </a:graphic>
          </wp:inline>
        </w:drawing>
      </w:r>
    </w:p>
    <w:p w14:paraId="508AA966" w14:textId="39210214" w:rsidR="00CF32CE" w:rsidRDefault="009D7ADC" w:rsidP="00CF32CE">
      <w:pPr>
        <w:pStyle w:val="Textkrper3"/>
        <w:spacing w:line="360" w:lineRule="auto"/>
        <w:ind w:left="567"/>
        <w:jc w:val="both"/>
        <w:rPr>
          <w:rFonts w:ascii="Arial" w:hAnsi="Arial" w:cs="Arial"/>
          <w:sz w:val="22"/>
          <w:szCs w:val="24"/>
        </w:rPr>
      </w:pPr>
      <w:r>
        <w:rPr>
          <w:rFonts w:ascii="Arial" w:hAnsi="Arial" w:cs="Arial"/>
          <w:sz w:val="22"/>
          <w:szCs w:val="24"/>
        </w:rPr>
        <w:t>Left: c</w:t>
      </w:r>
      <w:r w:rsidR="00CF32CE" w:rsidRPr="008B40E9">
        <w:rPr>
          <w:rFonts w:ascii="Arial" w:hAnsi="Arial" w:cs="Arial"/>
          <w:sz w:val="22"/>
          <w:szCs w:val="24"/>
        </w:rPr>
        <w:t xml:space="preserve">omparison of shunt </w:t>
      </w:r>
      <w:r>
        <w:rPr>
          <w:rFonts w:ascii="Arial" w:hAnsi="Arial" w:cs="Arial"/>
          <w:sz w:val="22"/>
          <w:szCs w:val="24"/>
        </w:rPr>
        <w:t xml:space="preserve">perfused lung region </w:t>
      </w:r>
      <w:r w:rsidR="00CF32CE" w:rsidRPr="008B40E9">
        <w:rPr>
          <w:rFonts w:ascii="Arial" w:hAnsi="Arial" w:cs="Arial"/>
          <w:sz w:val="22"/>
          <w:szCs w:val="24"/>
        </w:rPr>
        <w:t xml:space="preserve">in [% of </w:t>
      </w:r>
      <w:r>
        <w:rPr>
          <w:rFonts w:ascii="Arial" w:hAnsi="Arial" w:cs="Arial"/>
          <w:sz w:val="22"/>
          <w:szCs w:val="24"/>
        </w:rPr>
        <w:t>lung volume</w:t>
      </w:r>
      <w:r w:rsidR="00CF32CE" w:rsidRPr="008B40E9">
        <w:rPr>
          <w:rFonts w:ascii="Arial" w:hAnsi="Arial" w:cs="Arial"/>
          <w:sz w:val="22"/>
          <w:szCs w:val="24"/>
        </w:rPr>
        <w:t xml:space="preserve">] </w:t>
      </w:r>
      <w:r>
        <w:rPr>
          <w:rFonts w:ascii="Arial" w:hAnsi="Arial" w:cs="Arial"/>
          <w:sz w:val="22"/>
          <w:szCs w:val="24"/>
        </w:rPr>
        <w:t xml:space="preserve">measured by </w:t>
      </w:r>
      <w:r w:rsidR="00CF32CE" w:rsidRPr="008B40E9">
        <w:rPr>
          <w:rFonts w:ascii="Arial" w:hAnsi="Arial" w:cs="Arial"/>
          <w:sz w:val="22"/>
          <w:szCs w:val="24"/>
        </w:rPr>
        <w:t>SPECT</w:t>
      </w:r>
      <w:r>
        <w:rPr>
          <w:rFonts w:ascii="Arial" w:hAnsi="Arial" w:cs="Arial"/>
          <w:sz w:val="22"/>
          <w:szCs w:val="24"/>
        </w:rPr>
        <w:t xml:space="preserve"> and CT-derived amount of</w:t>
      </w:r>
      <w:r w:rsidR="00CF32CE" w:rsidRPr="008B40E9">
        <w:rPr>
          <w:rFonts w:ascii="Arial" w:hAnsi="Arial" w:cs="Arial"/>
          <w:sz w:val="22"/>
          <w:szCs w:val="24"/>
        </w:rPr>
        <w:t xml:space="preserve"> </w:t>
      </w:r>
      <w:r>
        <w:rPr>
          <w:rFonts w:ascii="Arial" w:hAnsi="Arial" w:cs="Arial"/>
          <w:sz w:val="22"/>
          <w:szCs w:val="24"/>
        </w:rPr>
        <w:t>non-aerated lung tissue in</w:t>
      </w:r>
      <w:r w:rsidR="00CF32CE" w:rsidRPr="008B40E9">
        <w:rPr>
          <w:rFonts w:ascii="Arial" w:hAnsi="Arial" w:cs="Arial"/>
          <w:sz w:val="22"/>
          <w:szCs w:val="24"/>
        </w:rPr>
        <w:t xml:space="preserve"> [% of </w:t>
      </w:r>
      <w:r>
        <w:rPr>
          <w:rFonts w:ascii="Arial" w:hAnsi="Arial" w:cs="Arial"/>
          <w:sz w:val="22"/>
          <w:szCs w:val="24"/>
        </w:rPr>
        <w:t>lung volume</w:t>
      </w:r>
      <w:r w:rsidR="00CF32CE" w:rsidRPr="008B40E9">
        <w:rPr>
          <w:rFonts w:ascii="Arial" w:hAnsi="Arial" w:cs="Arial"/>
          <w:sz w:val="22"/>
          <w:szCs w:val="24"/>
        </w:rPr>
        <w:t xml:space="preserve">]; </w:t>
      </w:r>
      <w:r>
        <w:rPr>
          <w:rFonts w:ascii="Arial" w:hAnsi="Arial" w:cs="Arial"/>
          <w:sz w:val="22"/>
          <w:szCs w:val="24"/>
        </w:rPr>
        <w:t>right</w:t>
      </w:r>
      <w:r w:rsidR="00CF32CE" w:rsidRPr="008B40E9">
        <w:rPr>
          <w:rFonts w:ascii="Arial" w:hAnsi="Arial" w:cs="Arial"/>
          <w:sz w:val="22"/>
          <w:szCs w:val="24"/>
        </w:rPr>
        <w:t xml:space="preserve">: </w:t>
      </w:r>
      <w:r>
        <w:rPr>
          <w:rFonts w:ascii="Arial" w:hAnsi="Arial" w:cs="Arial"/>
          <w:sz w:val="22"/>
          <w:szCs w:val="24"/>
        </w:rPr>
        <w:t>c</w:t>
      </w:r>
      <w:r w:rsidRPr="008B40E9">
        <w:rPr>
          <w:rFonts w:ascii="Arial" w:hAnsi="Arial" w:cs="Arial"/>
          <w:sz w:val="22"/>
          <w:szCs w:val="24"/>
        </w:rPr>
        <w:t xml:space="preserve">omparison of shunt </w:t>
      </w:r>
      <w:r>
        <w:rPr>
          <w:rFonts w:ascii="Arial" w:hAnsi="Arial" w:cs="Arial"/>
          <w:sz w:val="22"/>
          <w:szCs w:val="24"/>
        </w:rPr>
        <w:t xml:space="preserve">perfused lung region </w:t>
      </w:r>
      <w:r w:rsidRPr="008B40E9">
        <w:rPr>
          <w:rFonts w:ascii="Arial" w:hAnsi="Arial" w:cs="Arial"/>
          <w:sz w:val="22"/>
          <w:szCs w:val="24"/>
        </w:rPr>
        <w:t xml:space="preserve">in [% of </w:t>
      </w:r>
      <w:r>
        <w:rPr>
          <w:rFonts w:ascii="Arial" w:hAnsi="Arial" w:cs="Arial"/>
          <w:sz w:val="22"/>
          <w:szCs w:val="24"/>
        </w:rPr>
        <w:t>lung volume</w:t>
      </w:r>
      <w:r w:rsidRPr="008B40E9">
        <w:rPr>
          <w:rFonts w:ascii="Arial" w:hAnsi="Arial" w:cs="Arial"/>
          <w:sz w:val="22"/>
          <w:szCs w:val="24"/>
        </w:rPr>
        <w:t xml:space="preserve">] </w:t>
      </w:r>
      <w:r>
        <w:rPr>
          <w:rFonts w:ascii="Arial" w:hAnsi="Arial" w:cs="Arial"/>
          <w:sz w:val="22"/>
          <w:szCs w:val="24"/>
        </w:rPr>
        <w:t xml:space="preserve">measured by </w:t>
      </w:r>
      <w:r w:rsidRPr="008B40E9">
        <w:rPr>
          <w:rFonts w:ascii="Arial" w:hAnsi="Arial" w:cs="Arial"/>
          <w:sz w:val="22"/>
          <w:szCs w:val="24"/>
        </w:rPr>
        <w:t>SPECT</w:t>
      </w:r>
      <w:r>
        <w:rPr>
          <w:rFonts w:ascii="Arial" w:hAnsi="Arial" w:cs="Arial"/>
          <w:sz w:val="22"/>
          <w:szCs w:val="24"/>
        </w:rPr>
        <w:t xml:space="preserve"> and cumulative volume of</w:t>
      </w:r>
      <w:r w:rsidRPr="008B40E9">
        <w:rPr>
          <w:rFonts w:ascii="Arial" w:hAnsi="Arial" w:cs="Arial"/>
          <w:sz w:val="22"/>
          <w:szCs w:val="24"/>
        </w:rPr>
        <w:t xml:space="preserve"> </w:t>
      </w:r>
      <w:r>
        <w:rPr>
          <w:rFonts w:ascii="Arial" w:hAnsi="Arial" w:cs="Arial"/>
          <w:sz w:val="22"/>
          <w:szCs w:val="24"/>
        </w:rPr>
        <w:t>non- or poorly-aerated lung tissue in</w:t>
      </w:r>
      <w:r w:rsidRPr="008B40E9">
        <w:rPr>
          <w:rFonts w:ascii="Arial" w:hAnsi="Arial" w:cs="Arial"/>
          <w:sz w:val="22"/>
          <w:szCs w:val="24"/>
        </w:rPr>
        <w:t xml:space="preserve"> [% of </w:t>
      </w:r>
      <w:r>
        <w:rPr>
          <w:rFonts w:ascii="Arial" w:hAnsi="Arial" w:cs="Arial"/>
          <w:sz w:val="22"/>
          <w:szCs w:val="24"/>
        </w:rPr>
        <w:t>lung volume</w:t>
      </w:r>
      <w:r w:rsidRPr="008B40E9">
        <w:rPr>
          <w:rFonts w:ascii="Arial" w:hAnsi="Arial" w:cs="Arial"/>
          <w:sz w:val="22"/>
          <w:szCs w:val="24"/>
        </w:rPr>
        <w:t>]</w:t>
      </w:r>
      <w:r>
        <w:rPr>
          <w:rFonts w:ascii="Arial" w:hAnsi="Arial" w:cs="Arial"/>
          <w:sz w:val="22"/>
          <w:szCs w:val="24"/>
        </w:rPr>
        <w:t xml:space="preserve">; </w:t>
      </w:r>
      <w:r w:rsidR="00CF32CE" w:rsidRPr="008B40E9">
        <w:rPr>
          <w:rFonts w:ascii="Arial" w:hAnsi="Arial" w:cs="Arial"/>
          <w:sz w:val="22"/>
          <w:szCs w:val="24"/>
        </w:rPr>
        <w:t xml:space="preserve">linear </w:t>
      </w:r>
      <w:r>
        <w:rPr>
          <w:rFonts w:ascii="Arial" w:hAnsi="Arial" w:cs="Arial"/>
          <w:sz w:val="22"/>
          <w:szCs w:val="24"/>
        </w:rPr>
        <w:t>regression analyses, p&lt;0.</w:t>
      </w:r>
      <w:r w:rsidR="00CF2AA6">
        <w:rPr>
          <w:rFonts w:ascii="Arial" w:hAnsi="Arial" w:cs="Arial"/>
          <w:sz w:val="22"/>
          <w:szCs w:val="24"/>
        </w:rPr>
        <w:t>0</w:t>
      </w:r>
      <w:r>
        <w:rPr>
          <w:rFonts w:ascii="Arial" w:hAnsi="Arial" w:cs="Arial"/>
          <w:sz w:val="22"/>
          <w:szCs w:val="24"/>
        </w:rPr>
        <w:t xml:space="preserve">01, </w:t>
      </w:r>
      <w:r w:rsidR="00D65413">
        <w:rPr>
          <w:rFonts w:ascii="Arial" w:hAnsi="Arial" w:cs="Arial"/>
          <w:sz w:val="22"/>
          <w:szCs w:val="24"/>
        </w:rPr>
        <w:t>respectively</w:t>
      </w:r>
      <w:r>
        <w:rPr>
          <w:rFonts w:ascii="Arial" w:hAnsi="Arial" w:cs="Arial"/>
          <w:sz w:val="22"/>
          <w:szCs w:val="24"/>
        </w:rPr>
        <w:t>.</w:t>
      </w:r>
    </w:p>
    <w:p w14:paraId="54172DDD" w14:textId="6318EB01" w:rsidR="00FC0998" w:rsidRPr="008B0220" w:rsidRDefault="008B0220" w:rsidP="008B0220">
      <w:pPr>
        <w:pStyle w:val="berschrift2"/>
        <w:spacing w:line="480" w:lineRule="auto"/>
        <w:rPr>
          <w:rFonts w:ascii="Arial" w:hAnsi="Arial" w:cs="Arial"/>
          <w:i/>
          <w:iCs/>
          <w:szCs w:val="24"/>
        </w:rPr>
      </w:pPr>
      <w:r>
        <w:rPr>
          <w:rFonts w:ascii="Arial" w:hAnsi="Arial" w:cs="Arial"/>
          <w:i/>
          <w:iCs/>
          <w:szCs w:val="24"/>
        </w:rPr>
        <w:lastRenderedPageBreak/>
        <w:t>figure</w:t>
      </w:r>
      <w:r w:rsidR="0086327D">
        <w:rPr>
          <w:rFonts w:ascii="Arial" w:hAnsi="Arial" w:cs="Arial"/>
          <w:i/>
          <w:iCs/>
          <w:szCs w:val="24"/>
        </w:rPr>
        <w:t xml:space="preserve"> </w:t>
      </w:r>
      <w:r w:rsidR="0044542E">
        <w:rPr>
          <w:rFonts w:ascii="Arial" w:hAnsi="Arial" w:cs="Arial"/>
          <w:i/>
          <w:iCs/>
          <w:szCs w:val="24"/>
        </w:rPr>
        <w:t>S</w:t>
      </w:r>
      <w:r w:rsidR="00E17427">
        <w:rPr>
          <w:rFonts w:ascii="Arial" w:hAnsi="Arial" w:cs="Arial"/>
          <w:i/>
          <w:iCs/>
          <w:szCs w:val="24"/>
        </w:rPr>
        <w:t>1</w:t>
      </w:r>
      <w:r w:rsidR="0041183E">
        <w:rPr>
          <w:rFonts w:ascii="Arial" w:hAnsi="Arial" w:cs="Arial"/>
          <w:i/>
          <w:iCs/>
          <w:szCs w:val="24"/>
        </w:rPr>
        <w:t>1</w:t>
      </w:r>
    </w:p>
    <w:p w14:paraId="184750D4" w14:textId="7575CCB1" w:rsidR="00CF32CE" w:rsidRDefault="00D115BA" w:rsidP="00D553D1">
      <w:pPr>
        <w:tabs>
          <w:tab w:val="left" w:pos="3240"/>
        </w:tabs>
        <w:spacing w:line="480" w:lineRule="auto"/>
        <w:ind w:firstLine="284"/>
        <w:jc w:val="both"/>
        <w:rPr>
          <w:rFonts w:ascii="Arial" w:hAnsi="Arial" w:cs="Arial"/>
          <w:lang w:val="en-US"/>
        </w:rPr>
      </w:pPr>
      <w:r w:rsidRPr="00D115BA">
        <w:rPr>
          <w:rFonts w:ascii="Arial" w:hAnsi="Arial" w:cs="Arial"/>
          <w:noProof/>
          <w:lang w:val="en-US"/>
        </w:rPr>
        <w:drawing>
          <wp:inline distT="0" distB="0" distL="0" distR="0" wp14:anchorId="433A98D6" wp14:editId="73E56F02">
            <wp:extent cx="5545873" cy="2142668"/>
            <wp:effectExtent l="0" t="0" r="4445" b="3810"/>
            <wp:docPr id="4" name="Grafik 4" descr="Ein Bild, das Karte,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4101" cy="2153574"/>
                    </a:xfrm>
                    <a:prstGeom prst="rect">
                      <a:avLst/>
                    </a:prstGeom>
                  </pic:spPr>
                </pic:pic>
              </a:graphicData>
            </a:graphic>
          </wp:inline>
        </w:drawing>
      </w:r>
    </w:p>
    <w:p w14:paraId="02F48AD1" w14:textId="01BBFBAA" w:rsidR="009F6870" w:rsidRDefault="009D7ADC" w:rsidP="00865175">
      <w:pPr>
        <w:pStyle w:val="Textkrper3"/>
        <w:spacing w:line="360" w:lineRule="auto"/>
        <w:ind w:left="567"/>
        <w:jc w:val="both"/>
        <w:rPr>
          <w:rFonts w:ascii="Arial" w:hAnsi="Arial" w:cs="Arial"/>
          <w:sz w:val="22"/>
          <w:szCs w:val="24"/>
        </w:rPr>
      </w:pPr>
      <w:r>
        <w:rPr>
          <w:rFonts w:ascii="Arial" w:hAnsi="Arial" w:cs="Arial"/>
          <w:sz w:val="22"/>
          <w:szCs w:val="24"/>
        </w:rPr>
        <w:t>Left: c</w:t>
      </w:r>
      <w:r w:rsidRPr="008B40E9">
        <w:rPr>
          <w:rFonts w:ascii="Arial" w:hAnsi="Arial" w:cs="Arial"/>
          <w:sz w:val="22"/>
          <w:szCs w:val="24"/>
        </w:rPr>
        <w:t xml:space="preserve">omparison of shunt </w:t>
      </w:r>
      <w:r>
        <w:rPr>
          <w:rFonts w:ascii="Arial" w:hAnsi="Arial" w:cs="Arial"/>
          <w:sz w:val="22"/>
          <w:szCs w:val="24"/>
        </w:rPr>
        <w:t xml:space="preserve">perfused lung region </w:t>
      </w:r>
      <w:r w:rsidRPr="008B40E9">
        <w:rPr>
          <w:rFonts w:ascii="Arial" w:hAnsi="Arial" w:cs="Arial"/>
          <w:sz w:val="22"/>
          <w:szCs w:val="24"/>
        </w:rPr>
        <w:t xml:space="preserve">in [% of </w:t>
      </w:r>
      <w:r>
        <w:rPr>
          <w:rFonts w:ascii="Arial" w:hAnsi="Arial" w:cs="Arial"/>
          <w:sz w:val="22"/>
          <w:szCs w:val="24"/>
        </w:rPr>
        <w:t>lung volume</w:t>
      </w:r>
      <w:r w:rsidRPr="008B40E9">
        <w:rPr>
          <w:rFonts w:ascii="Arial" w:hAnsi="Arial" w:cs="Arial"/>
          <w:sz w:val="22"/>
          <w:szCs w:val="24"/>
        </w:rPr>
        <w:t xml:space="preserve">] </w:t>
      </w:r>
      <w:r>
        <w:rPr>
          <w:rFonts w:ascii="Arial" w:hAnsi="Arial" w:cs="Arial"/>
          <w:sz w:val="22"/>
          <w:szCs w:val="24"/>
        </w:rPr>
        <w:t xml:space="preserve">measured by </w:t>
      </w:r>
      <w:r w:rsidRPr="008B40E9">
        <w:rPr>
          <w:rFonts w:ascii="Arial" w:hAnsi="Arial" w:cs="Arial"/>
          <w:sz w:val="22"/>
          <w:szCs w:val="24"/>
        </w:rPr>
        <w:t>SPECT</w:t>
      </w:r>
      <w:r>
        <w:rPr>
          <w:rFonts w:ascii="Arial" w:hAnsi="Arial" w:cs="Arial"/>
          <w:sz w:val="22"/>
          <w:szCs w:val="24"/>
        </w:rPr>
        <w:t xml:space="preserve"> and CT-derived amount of</w:t>
      </w:r>
      <w:r w:rsidRPr="008B40E9">
        <w:rPr>
          <w:rFonts w:ascii="Arial" w:hAnsi="Arial" w:cs="Arial"/>
          <w:sz w:val="22"/>
          <w:szCs w:val="24"/>
        </w:rPr>
        <w:t xml:space="preserve"> </w:t>
      </w:r>
      <w:r>
        <w:rPr>
          <w:rFonts w:ascii="Arial" w:hAnsi="Arial" w:cs="Arial"/>
          <w:sz w:val="22"/>
          <w:szCs w:val="24"/>
        </w:rPr>
        <w:t>non-aerated lung tissue in</w:t>
      </w:r>
      <w:r w:rsidRPr="008B40E9">
        <w:rPr>
          <w:rFonts w:ascii="Arial" w:hAnsi="Arial" w:cs="Arial"/>
          <w:sz w:val="22"/>
          <w:szCs w:val="24"/>
        </w:rPr>
        <w:t xml:space="preserve"> [% of </w:t>
      </w:r>
      <w:r>
        <w:rPr>
          <w:rFonts w:ascii="Arial" w:hAnsi="Arial" w:cs="Arial"/>
          <w:sz w:val="22"/>
          <w:szCs w:val="24"/>
        </w:rPr>
        <w:t>lung volume</w:t>
      </w:r>
      <w:r w:rsidRPr="008B40E9">
        <w:rPr>
          <w:rFonts w:ascii="Arial" w:hAnsi="Arial" w:cs="Arial"/>
          <w:sz w:val="22"/>
          <w:szCs w:val="24"/>
        </w:rPr>
        <w:t xml:space="preserve">]; </w:t>
      </w:r>
      <w:r>
        <w:rPr>
          <w:rFonts w:ascii="Arial" w:hAnsi="Arial" w:cs="Arial"/>
          <w:sz w:val="22"/>
          <w:szCs w:val="24"/>
        </w:rPr>
        <w:t>right</w:t>
      </w:r>
      <w:r w:rsidRPr="008B40E9">
        <w:rPr>
          <w:rFonts w:ascii="Arial" w:hAnsi="Arial" w:cs="Arial"/>
          <w:sz w:val="22"/>
          <w:szCs w:val="24"/>
        </w:rPr>
        <w:t xml:space="preserve">: </w:t>
      </w:r>
      <w:r>
        <w:rPr>
          <w:rFonts w:ascii="Arial" w:hAnsi="Arial" w:cs="Arial"/>
          <w:sz w:val="22"/>
          <w:szCs w:val="24"/>
        </w:rPr>
        <w:t>c</w:t>
      </w:r>
      <w:r w:rsidRPr="008B40E9">
        <w:rPr>
          <w:rFonts w:ascii="Arial" w:hAnsi="Arial" w:cs="Arial"/>
          <w:sz w:val="22"/>
          <w:szCs w:val="24"/>
        </w:rPr>
        <w:t xml:space="preserve">omparison of shunt </w:t>
      </w:r>
      <w:r>
        <w:rPr>
          <w:rFonts w:ascii="Arial" w:hAnsi="Arial" w:cs="Arial"/>
          <w:sz w:val="22"/>
          <w:szCs w:val="24"/>
        </w:rPr>
        <w:t xml:space="preserve">perfused lung region </w:t>
      </w:r>
      <w:r w:rsidRPr="008B40E9">
        <w:rPr>
          <w:rFonts w:ascii="Arial" w:hAnsi="Arial" w:cs="Arial"/>
          <w:sz w:val="22"/>
          <w:szCs w:val="24"/>
        </w:rPr>
        <w:t xml:space="preserve">in [% of </w:t>
      </w:r>
      <w:r>
        <w:rPr>
          <w:rFonts w:ascii="Arial" w:hAnsi="Arial" w:cs="Arial"/>
          <w:sz w:val="22"/>
          <w:szCs w:val="24"/>
        </w:rPr>
        <w:t>lung volume</w:t>
      </w:r>
      <w:r w:rsidRPr="008B40E9">
        <w:rPr>
          <w:rFonts w:ascii="Arial" w:hAnsi="Arial" w:cs="Arial"/>
          <w:sz w:val="22"/>
          <w:szCs w:val="24"/>
        </w:rPr>
        <w:t xml:space="preserve">] </w:t>
      </w:r>
      <w:r>
        <w:rPr>
          <w:rFonts w:ascii="Arial" w:hAnsi="Arial" w:cs="Arial"/>
          <w:sz w:val="22"/>
          <w:szCs w:val="24"/>
        </w:rPr>
        <w:t xml:space="preserve">measured by </w:t>
      </w:r>
      <w:r w:rsidRPr="008B40E9">
        <w:rPr>
          <w:rFonts w:ascii="Arial" w:hAnsi="Arial" w:cs="Arial"/>
          <w:sz w:val="22"/>
          <w:szCs w:val="24"/>
        </w:rPr>
        <w:t>SPECT</w:t>
      </w:r>
      <w:r>
        <w:rPr>
          <w:rFonts w:ascii="Arial" w:hAnsi="Arial" w:cs="Arial"/>
          <w:sz w:val="22"/>
          <w:szCs w:val="24"/>
        </w:rPr>
        <w:t xml:space="preserve"> and cumulative volume of</w:t>
      </w:r>
      <w:r w:rsidRPr="008B40E9">
        <w:rPr>
          <w:rFonts w:ascii="Arial" w:hAnsi="Arial" w:cs="Arial"/>
          <w:sz w:val="22"/>
          <w:szCs w:val="24"/>
        </w:rPr>
        <w:t xml:space="preserve"> </w:t>
      </w:r>
      <w:r>
        <w:rPr>
          <w:rFonts w:ascii="Arial" w:hAnsi="Arial" w:cs="Arial"/>
          <w:sz w:val="22"/>
          <w:szCs w:val="24"/>
        </w:rPr>
        <w:t>non- or poorly-aerated lung tissue in</w:t>
      </w:r>
      <w:r w:rsidRPr="008B40E9">
        <w:rPr>
          <w:rFonts w:ascii="Arial" w:hAnsi="Arial" w:cs="Arial"/>
          <w:sz w:val="22"/>
          <w:szCs w:val="24"/>
        </w:rPr>
        <w:t xml:space="preserve"> [% of </w:t>
      </w:r>
      <w:r>
        <w:rPr>
          <w:rFonts w:ascii="Arial" w:hAnsi="Arial" w:cs="Arial"/>
          <w:sz w:val="22"/>
          <w:szCs w:val="24"/>
        </w:rPr>
        <w:t>lung volume</w:t>
      </w:r>
      <w:r w:rsidRPr="008B40E9">
        <w:rPr>
          <w:rFonts w:ascii="Arial" w:hAnsi="Arial" w:cs="Arial"/>
          <w:sz w:val="22"/>
          <w:szCs w:val="24"/>
        </w:rPr>
        <w:t>]</w:t>
      </w:r>
      <w:r>
        <w:rPr>
          <w:rFonts w:ascii="Arial" w:hAnsi="Arial" w:cs="Arial"/>
          <w:sz w:val="22"/>
          <w:szCs w:val="24"/>
        </w:rPr>
        <w:t xml:space="preserve">; </w:t>
      </w:r>
      <w:r w:rsidRPr="008B40E9">
        <w:rPr>
          <w:rFonts w:ascii="Arial" w:hAnsi="Arial" w:cs="Arial"/>
          <w:sz w:val="22"/>
          <w:szCs w:val="24"/>
        </w:rPr>
        <w:t xml:space="preserve">linear </w:t>
      </w:r>
      <w:r>
        <w:rPr>
          <w:rFonts w:ascii="Arial" w:hAnsi="Arial" w:cs="Arial"/>
          <w:sz w:val="22"/>
          <w:szCs w:val="24"/>
        </w:rPr>
        <w:t>regression analyses, p&lt;0.0</w:t>
      </w:r>
      <w:r w:rsidR="00CF2AA6">
        <w:rPr>
          <w:rFonts w:ascii="Arial" w:hAnsi="Arial" w:cs="Arial"/>
          <w:sz w:val="22"/>
          <w:szCs w:val="24"/>
        </w:rPr>
        <w:t>0</w:t>
      </w:r>
      <w:r>
        <w:rPr>
          <w:rFonts w:ascii="Arial" w:hAnsi="Arial" w:cs="Arial"/>
          <w:sz w:val="22"/>
          <w:szCs w:val="24"/>
        </w:rPr>
        <w:t xml:space="preserve">1, </w:t>
      </w:r>
      <w:r w:rsidR="00D65413">
        <w:rPr>
          <w:rFonts w:ascii="Arial" w:hAnsi="Arial" w:cs="Arial"/>
          <w:sz w:val="22"/>
          <w:szCs w:val="24"/>
        </w:rPr>
        <w:t>respectively</w:t>
      </w:r>
      <w:r>
        <w:rPr>
          <w:rFonts w:ascii="Arial" w:hAnsi="Arial" w:cs="Arial"/>
          <w:sz w:val="22"/>
          <w:szCs w:val="24"/>
        </w:rPr>
        <w:t>.</w:t>
      </w:r>
    </w:p>
    <w:p w14:paraId="5815A92F" w14:textId="2D94888E" w:rsidR="0093666A" w:rsidRPr="0093666A" w:rsidRDefault="0093666A" w:rsidP="00A9463E">
      <w:pPr>
        <w:spacing w:line="480" w:lineRule="auto"/>
        <w:jc w:val="both"/>
        <w:rPr>
          <w:rFonts w:ascii="Arial" w:hAnsi="Arial" w:cs="Arial"/>
          <w:sz w:val="22"/>
          <w:lang w:val="en-US" w:eastAsia="de-DE"/>
        </w:rPr>
      </w:pPr>
    </w:p>
    <w:sectPr w:rsidR="0093666A" w:rsidRPr="0093666A" w:rsidSect="00FB1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FA1FB" w14:textId="77777777" w:rsidR="00BF5204" w:rsidRDefault="00BF5204" w:rsidP="0043653E">
      <w:r>
        <w:separator/>
      </w:r>
    </w:p>
  </w:endnote>
  <w:endnote w:type="continuationSeparator" w:id="0">
    <w:p w14:paraId="403E56DE" w14:textId="77777777" w:rsidR="00BF5204" w:rsidRDefault="00BF5204" w:rsidP="004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E14D" w14:textId="77777777" w:rsidR="00BF5204" w:rsidRDefault="00BF5204" w:rsidP="0043653E">
      <w:r>
        <w:separator/>
      </w:r>
    </w:p>
  </w:footnote>
  <w:footnote w:type="continuationSeparator" w:id="0">
    <w:p w14:paraId="611F98FB" w14:textId="77777777" w:rsidR="00BF5204" w:rsidRDefault="00BF5204" w:rsidP="004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61"/>
    <w:multiLevelType w:val="hybridMultilevel"/>
    <w:tmpl w:val="20060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30068"/>
    <w:multiLevelType w:val="hybridMultilevel"/>
    <w:tmpl w:val="5B94AF96"/>
    <w:lvl w:ilvl="0" w:tplc="8DB87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52125"/>
    <w:multiLevelType w:val="hybridMultilevel"/>
    <w:tmpl w:val="C05E4C48"/>
    <w:lvl w:ilvl="0" w:tplc="4560C59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CA8130A"/>
    <w:multiLevelType w:val="hybridMultilevel"/>
    <w:tmpl w:val="22CC39C4"/>
    <w:lvl w:ilvl="0" w:tplc="182C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2ED1"/>
    <w:multiLevelType w:val="hybridMultilevel"/>
    <w:tmpl w:val="8F0E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C0EE4"/>
    <w:multiLevelType w:val="hybridMultilevel"/>
    <w:tmpl w:val="E1AE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10C8"/>
    <w:multiLevelType w:val="hybridMultilevel"/>
    <w:tmpl w:val="EC54E1F4"/>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7" w15:restartNumberingAfterBreak="0">
    <w:nsid w:val="70930976"/>
    <w:multiLevelType w:val="hybridMultilevel"/>
    <w:tmpl w:val="E71CD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3F4C6A"/>
    <w:multiLevelType w:val="hybridMultilevel"/>
    <w:tmpl w:val="986A9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B5830"/>
    <w:multiLevelType w:val="hybridMultilevel"/>
    <w:tmpl w:val="20082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AA33E2"/>
    <w:rsid w:val="000029A3"/>
    <w:rsid w:val="00003B5B"/>
    <w:rsid w:val="000079FD"/>
    <w:rsid w:val="00011525"/>
    <w:rsid w:val="00015B3F"/>
    <w:rsid w:val="000313A9"/>
    <w:rsid w:val="0003645F"/>
    <w:rsid w:val="00037B45"/>
    <w:rsid w:val="00041D7B"/>
    <w:rsid w:val="000444E5"/>
    <w:rsid w:val="0005211B"/>
    <w:rsid w:val="00052726"/>
    <w:rsid w:val="00053481"/>
    <w:rsid w:val="00053675"/>
    <w:rsid w:val="00053A32"/>
    <w:rsid w:val="00063677"/>
    <w:rsid w:val="00063BD3"/>
    <w:rsid w:val="00066B11"/>
    <w:rsid w:val="00067522"/>
    <w:rsid w:val="0007501D"/>
    <w:rsid w:val="00090725"/>
    <w:rsid w:val="000912E3"/>
    <w:rsid w:val="000A3422"/>
    <w:rsid w:val="000A68F7"/>
    <w:rsid w:val="000B1008"/>
    <w:rsid w:val="000B10AD"/>
    <w:rsid w:val="000B41F6"/>
    <w:rsid w:val="000B4FB3"/>
    <w:rsid w:val="000B5C6F"/>
    <w:rsid w:val="000C02BF"/>
    <w:rsid w:val="000C31D8"/>
    <w:rsid w:val="000C45FF"/>
    <w:rsid w:val="000C7383"/>
    <w:rsid w:val="000C7C1F"/>
    <w:rsid w:val="000D14B3"/>
    <w:rsid w:val="000E0F1E"/>
    <w:rsid w:val="000E2738"/>
    <w:rsid w:val="000E3F32"/>
    <w:rsid w:val="000E4256"/>
    <w:rsid w:val="000E4D42"/>
    <w:rsid w:val="000E617C"/>
    <w:rsid w:val="000F1C60"/>
    <w:rsid w:val="000F266E"/>
    <w:rsid w:val="000F6464"/>
    <w:rsid w:val="00101ABE"/>
    <w:rsid w:val="00105F72"/>
    <w:rsid w:val="00107BD1"/>
    <w:rsid w:val="001103AD"/>
    <w:rsid w:val="0011617A"/>
    <w:rsid w:val="001169FE"/>
    <w:rsid w:val="00116EDB"/>
    <w:rsid w:val="00121FD5"/>
    <w:rsid w:val="001223BC"/>
    <w:rsid w:val="00126FB4"/>
    <w:rsid w:val="00131A04"/>
    <w:rsid w:val="0013616F"/>
    <w:rsid w:val="00137611"/>
    <w:rsid w:val="00141151"/>
    <w:rsid w:val="00144800"/>
    <w:rsid w:val="001509C3"/>
    <w:rsid w:val="00157E06"/>
    <w:rsid w:val="00160E2B"/>
    <w:rsid w:val="001614A1"/>
    <w:rsid w:val="00162D92"/>
    <w:rsid w:val="001740BD"/>
    <w:rsid w:val="0017574B"/>
    <w:rsid w:val="00180CF4"/>
    <w:rsid w:val="0018236A"/>
    <w:rsid w:val="00182467"/>
    <w:rsid w:val="00182D2C"/>
    <w:rsid w:val="00184031"/>
    <w:rsid w:val="00195BD7"/>
    <w:rsid w:val="001A167C"/>
    <w:rsid w:val="001A6F22"/>
    <w:rsid w:val="001B2D8B"/>
    <w:rsid w:val="001B5C0D"/>
    <w:rsid w:val="001C779F"/>
    <w:rsid w:val="001D47C3"/>
    <w:rsid w:val="001D671F"/>
    <w:rsid w:val="001D76F3"/>
    <w:rsid w:val="001E05FF"/>
    <w:rsid w:val="001F2EC7"/>
    <w:rsid w:val="001F3F7B"/>
    <w:rsid w:val="001F71F1"/>
    <w:rsid w:val="00200E6E"/>
    <w:rsid w:val="00201317"/>
    <w:rsid w:val="00203C16"/>
    <w:rsid w:val="00211228"/>
    <w:rsid w:val="002159FB"/>
    <w:rsid w:val="00223C03"/>
    <w:rsid w:val="00230256"/>
    <w:rsid w:val="002352F0"/>
    <w:rsid w:val="00235C65"/>
    <w:rsid w:val="00241BD7"/>
    <w:rsid w:val="00256969"/>
    <w:rsid w:val="0026555B"/>
    <w:rsid w:val="00265F4F"/>
    <w:rsid w:val="00280560"/>
    <w:rsid w:val="00291AD0"/>
    <w:rsid w:val="00291C57"/>
    <w:rsid w:val="00293BC0"/>
    <w:rsid w:val="00297425"/>
    <w:rsid w:val="002976F9"/>
    <w:rsid w:val="00297F06"/>
    <w:rsid w:val="002A0425"/>
    <w:rsid w:val="002A2D7C"/>
    <w:rsid w:val="002A68A9"/>
    <w:rsid w:val="002B12AC"/>
    <w:rsid w:val="002B2858"/>
    <w:rsid w:val="002B3B68"/>
    <w:rsid w:val="002B4197"/>
    <w:rsid w:val="002C130A"/>
    <w:rsid w:val="002C35CC"/>
    <w:rsid w:val="002C4D99"/>
    <w:rsid w:val="002D2255"/>
    <w:rsid w:val="002D270A"/>
    <w:rsid w:val="002D39F0"/>
    <w:rsid w:val="002D5C5E"/>
    <w:rsid w:val="002D7C56"/>
    <w:rsid w:val="002E1E96"/>
    <w:rsid w:val="002E53CB"/>
    <w:rsid w:val="002E5BDD"/>
    <w:rsid w:val="002E7FD7"/>
    <w:rsid w:val="002F437A"/>
    <w:rsid w:val="002F4BEE"/>
    <w:rsid w:val="002F7442"/>
    <w:rsid w:val="00310F67"/>
    <w:rsid w:val="003111D9"/>
    <w:rsid w:val="00314993"/>
    <w:rsid w:val="003217BC"/>
    <w:rsid w:val="003278D3"/>
    <w:rsid w:val="003357DD"/>
    <w:rsid w:val="00336AEE"/>
    <w:rsid w:val="00345002"/>
    <w:rsid w:val="0035061C"/>
    <w:rsid w:val="0035559F"/>
    <w:rsid w:val="003574D4"/>
    <w:rsid w:val="00361530"/>
    <w:rsid w:val="00361CE2"/>
    <w:rsid w:val="00363578"/>
    <w:rsid w:val="00375CAA"/>
    <w:rsid w:val="0038050C"/>
    <w:rsid w:val="003834FD"/>
    <w:rsid w:val="00387B0B"/>
    <w:rsid w:val="00392B47"/>
    <w:rsid w:val="00395789"/>
    <w:rsid w:val="00395F83"/>
    <w:rsid w:val="003A55C7"/>
    <w:rsid w:val="003A6D94"/>
    <w:rsid w:val="003B2204"/>
    <w:rsid w:val="003B589D"/>
    <w:rsid w:val="003C4D65"/>
    <w:rsid w:val="003C6A87"/>
    <w:rsid w:val="003C6BEF"/>
    <w:rsid w:val="003D5320"/>
    <w:rsid w:val="003E39C5"/>
    <w:rsid w:val="003F552F"/>
    <w:rsid w:val="003F68B4"/>
    <w:rsid w:val="003F733C"/>
    <w:rsid w:val="004019D6"/>
    <w:rsid w:val="004020F9"/>
    <w:rsid w:val="004075EB"/>
    <w:rsid w:val="0041183E"/>
    <w:rsid w:val="004129C9"/>
    <w:rsid w:val="00415EFB"/>
    <w:rsid w:val="0041741A"/>
    <w:rsid w:val="00425785"/>
    <w:rsid w:val="004257FD"/>
    <w:rsid w:val="00425826"/>
    <w:rsid w:val="0043653E"/>
    <w:rsid w:val="00441FF4"/>
    <w:rsid w:val="004443BC"/>
    <w:rsid w:val="0044542E"/>
    <w:rsid w:val="0044663F"/>
    <w:rsid w:val="0044747A"/>
    <w:rsid w:val="00456081"/>
    <w:rsid w:val="004564A1"/>
    <w:rsid w:val="0045693F"/>
    <w:rsid w:val="0045708D"/>
    <w:rsid w:val="00457E73"/>
    <w:rsid w:val="00471CB2"/>
    <w:rsid w:val="00482FC0"/>
    <w:rsid w:val="004831DB"/>
    <w:rsid w:val="0048458D"/>
    <w:rsid w:val="00486CC0"/>
    <w:rsid w:val="00491415"/>
    <w:rsid w:val="004A6EF7"/>
    <w:rsid w:val="004A7C7F"/>
    <w:rsid w:val="004C79F0"/>
    <w:rsid w:val="004E4202"/>
    <w:rsid w:val="004E4771"/>
    <w:rsid w:val="004F2AEE"/>
    <w:rsid w:val="004F3D2E"/>
    <w:rsid w:val="00502176"/>
    <w:rsid w:val="00516BFD"/>
    <w:rsid w:val="00516EBE"/>
    <w:rsid w:val="0052100E"/>
    <w:rsid w:val="00530E4C"/>
    <w:rsid w:val="00535235"/>
    <w:rsid w:val="0053585F"/>
    <w:rsid w:val="005360BD"/>
    <w:rsid w:val="005411E0"/>
    <w:rsid w:val="00545D1B"/>
    <w:rsid w:val="005514D0"/>
    <w:rsid w:val="005609C3"/>
    <w:rsid w:val="0056152B"/>
    <w:rsid w:val="005643F8"/>
    <w:rsid w:val="005707CF"/>
    <w:rsid w:val="005722C1"/>
    <w:rsid w:val="00573F85"/>
    <w:rsid w:val="00580849"/>
    <w:rsid w:val="00581DD7"/>
    <w:rsid w:val="00583E89"/>
    <w:rsid w:val="00585479"/>
    <w:rsid w:val="005922AF"/>
    <w:rsid w:val="00596157"/>
    <w:rsid w:val="005A3774"/>
    <w:rsid w:val="005A58CE"/>
    <w:rsid w:val="005A7774"/>
    <w:rsid w:val="005B0CF0"/>
    <w:rsid w:val="005D0B44"/>
    <w:rsid w:val="005D5F38"/>
    <w:rsid w:val="005D6B0E"/>
    <w:rsid w:val="005D7721"/>
    <w:rsid w:val="005E5AD8"/>
    <w:rsid w:val="005E6D64"/>
    <w:rsid w:val="005F332D"/>
    <w:rsid w:val="005F6CF8"/>
    <w:rsid w:val="005F6EC2"/>
    <w:rsid w:val="00612E97"/>
    <w:rsid w:val="00613D47"/>
    <w:rsid w:val="00613E21"/>
    <w:rsid w:val="0061450B"/>
    <w:rsid w:val="00616EF2"/>
    <w:rsid w:val="0061780A"/>
    <w:rsid w:val="00621588"/>
    <w:rsid w:val="00621727"/>
    <w:rsid w:val="0062364A"/>
    <w:rsid w:val="00624644"/>
    <w:rsid w:val="0062642B"/>
    <w:rsid w:val="00640E45"/>
    <w:rsid w:val="0064164B"/>
    <w:rsid w:val="006436A4"/>
    <w:rsid w:val="00647F75"/>
    <w:rsid w:val="00655E3E"/>
    <w:rsid w:val="00656095"/>
    <w:rsid w:val="00656989"/>
    <w:rsid w:val="00657311"/>
    <w:rsid w:val="006604BA"/>
    <w:rsid w:val="006634C0"/>
    <w:rsid w:val="00671EA3"/>
    <w:rsid w:val="00680406"/>
    <w:rsid w:val="00681E04"/>
    <w:rsid w:val="0068258D"/>
    <w:rsid w:val="00691219"/>
    <w:rsid w:val="00692602"/>
    <w:rsid w:val="0069743C"/>
    <w:rsid w:val="006A4E5B"/>
    <w:rsid w:val="006A647B"/>
    <w:rsid w:val="006A672C"/>
    <w:rsid w:val="006A7272"/>
    <w:rsid w:val="006B20D6"/>
    <w:rsid w:val="006B46ED"/>
    <w:rsid w:val="006B54EA"/>
    <w:rsid w:val="006B5E5E"/>
    <w:rsid w:val="006C0E9C"/>
    <w:rsid w:val="006C669F"/>
    <w:rsid w:val="006D114D"/>
    <w:rsid w:val="006D21DD"/>
    <w:rsid w:val="006D3A24"/>
    <w:rsid w:val="006D3FBF"/>
    <w:rsid w:val="006D548E"/>
    <w:rsid w:val="006E3F2E"/>
    <w:rsid w:val="006E64FD"/>
    <w:rsid w:val="007050D4"/>
    <w:rsid w:val="00705764"/>
    <w:rsid w:val="00711217"/>
    <w:rsid w:val="0071418C"/>
    <w:rsid w:val="00716C46"/>
    <w:rsid w:val="00717511"/>
    <w:rsid w:val="0071798A"/>
    <w:rsid w:val="00723614"/>
    <w:rsid w:val="00732A9B"/>
    <w:rsid w:val="007367BC"/>
    <w:rsid w:val="007420F6"/>
    <w:rsid w:val="00742B4F"/>
    <w:rsid w:val="00745B8F"/>
    <w:rsid w:val="00750ECC"/>
    <w:rsid w:val="007557CF"/>
    <w:rsid w:val="00755BC6"/>
    <w:rsid w:val="007776F5"/>
    <w:rsid w:val="007818D2"/>
    <w:rsid w:val="00785290"/>
    <w:rsid w:val="0078708B"/>
    <w:rsid w:val="00787AED"/>
    <w:rsid w:val="00787CF2"/>
    <w:rsid w:val="007A4A9F"/>
    <w:rsid w:val="007A7A72"/>
    <w:rsid w:val="007A7FA2"/>
    <w:rsid w:val="007B1142"/>
    <w:rsid w:val="007B1E53"/>
    <w:rsid w:val="007C05F3"/>
    <w:rsid w:val="007C4D6D"/>
    <w:rsid w:val="007D00E7"/>
    <w:rsid w:val="007D1C4E"/>
    <w:rsid w:val="007D509A"/>
    <w:rsid w:val="007D6634"/>
    <w:rsid w:val="007D7778"/>
    <w:rsid w:val="007E1815"/>
    <w:rsid w:val="007E2545"/>
    <w:rsid w:val="007E4B0E"/>
    <w:rsid w:val="007E5DEA"/>
    <w:rsid w:val="007E6405"/>
    <w:rsid w:val="007E7142"/>
    <w:rsid w:val="007F3BF3"/>
    <w:rsid w:val="00806FF2"/>
    <w:rsid w:val="00811BD2"/>
    <w:rsid w:val="00816BDF"/>
    <w:rsid w:val="008205DE"/>
    <w:rsid w:val="008220CE"/>
    <w:rsid w:val="00827CA9"/>
    <w:rsid w:val="00831C3B"/>
    <w:rsid w:val="00834D66"/>
    <w:rsid w:val="00835878"/>
    <w:rsid w:val="00842E8C"/>
    <w:rsid w:val="0084316D"/>
    <w:rsid w:val="0084327A"/>
    <w:rsid w:val="0084522D"/>
    <w:rsid w:val="00845CAF"/>
    <w:rsid w:val="008464C7"/>
    <w:rsid w:val="00847765"/>
    <w:rsid w:val="00852D6C"/>
    <w:rsid w:val="00857186"/>
    <w:rsid w:val="00857B68"/>
    <w:rsid w:val="008601AD"/>
    <w:rsid w:val="0086327D"/>
    <w:rsid w:val="00865175"/>
    <w:rsid w:val="00865BF7"/>
    <w:rsid w:val="00866799"/>
    <w:rsid w:val="0087269E"/>
    <w:rsid w:val="00880089"/>
    <w:rsid w:val="00887EC1"/>
    <w:rsid w:val="00894A3F"/>
    <w:rsid w:val="008A0DDA"/>
    <w:rsid w:val="008A1236"/>
    <w:rsid w:val="008A7C2F"/>
    <w:rsid w:val="008B0220"/>
    <w:rsid w:val="008B0D82"/>
    <w:rsid w:val="008B38DF"/>
    <w:rsid w:val="008B5739"/>
    <w:rsid w:val="008B724D"/>
    <w:rsid w:val="008D05EC"/>
    <w:rsid w:val="008D31D3"/>
    <w:rsid w:val="008D4295"/>
    <w:rsid w:val="008D5DDC"/>
    <w:rsid w:val="008E0F90"/>
    <w:rsid w:val="008E5048"/>
    <w:rsid w:val="008F2BFA"/>
    <w:rsid w:val="008F3E10"/>
    <w:rsid w:val="008F678B"/>
    <w:rsid w:val="0090787C"/>
    <w:rsid w:val="0092479E"/>
    <w:rsid w:val="00930857"/>
    <w:rsid w:val="00933C27"/>
    <w:rsid w:val="0093666A"/>
    <w:rsid w:val="0094102E"/>
    <w:rsid w:val="00941176"/>
    <w:rsid w:val="0094209E"/>
    <w:rsid w:val="0094395C"/>
    <w:rsid w:val="00944B5E"/>
    <w:rsid w:val="00945B0E"/>
    <w:rsid w:val="009551B2"/>
    <w:rsid w:val="00961248"/>
    <w:rsid w:val="009651E7"/>
    <w:rsid w:val="00980DE8"/>
    <w:rsid w:val="0098703F"/>
    <w:rsid w:val="00987694"/>
    <w:rsid w:val="00987AA5"/>
    <w:rsid w:val="00990406"/>
    <w:rsid w:val="0099183D"/>
    <w:rsid w:val="00992FC9"/>
    <w:rsid w:val="009936F2"/>
    <w:rsid w:val="009A08E6"/>
    <w:rsid w:val="009A0BA9"/>
    <w:rsid w:val="009A1058"/>
    <w:rsid w:val="009A25E5"/>
    <w:rsid w:val="009A26D1"/>
    <w:rsid w:val="009A2779"/>
    <w:rsid w:val="009A3052"/>
    <w:rsid w:val="009B744E"/>
    <w:rsid w:val="009C1291"/>
    <w:rsid w:val="009C30B5"/>
    <w:rsid w:val="009C4CD0"/>
    <w:rsid w:val="009C4D5E"/>
    <w:rsid w:val="009D0261"/>
    <w:rsid w:val="009D39E4"/>
    <w:rsid w:val="009D3CD2"/>
    <w:rsid w:val="009D7ADC"/>
    <w:rsid w:val="009E2A82"/>
    <w:rsid w:val="009E4F0A"/>
    <w:rsid w:val="009E4F45"/>
    <w:rsid w:val="009F6870"/>
    <w:rsid w:val="00A036A8"/>
    <w:rsid w:val="00A144D6"/>
    <w:rsid w:val="00A146A8"/>
    <w:rsid w:val="00A16ACF"/>
    <w:rsid w:val="00A20A41"/>
    <w:rsid w:val="00A20E24"/>
    <w:rsid w:val="00A20EF1"/>
    <w:rsid w:val="00A250FE"/>
    <w:rsid w:val="00A31850"/>
    <w:rsid w:val="00A34DB4"/>
    <w:rsid w:val="00A429F6"/>
    <w:rsid w:val="00A46598"/>
    <w:rsid w:val="00A531ED"/>
    <w:rsid w:val="00A54CBB"/>
    <w:rsid w:val="00A564D8"/>
    <w:rsid w:val="00A60B16"/>
    <w:rsid w:val="00A63CB9"/>
    <w:rsid w:val="00A642BC"/>
    <w:rsid w:val="00A64497"/>
    <w:rsid w:val="00A66410"/>
    <w:rsid w:val="00A7091A"/>
    <w:rsid w:val="00A750AD"/>
    <w:rsid w:val="00A760F7"/>
    <w:rsid w:val="00A761D7"/>
    <w:rsid w:val="00A776B1"/>
    <w:rsid w:val="00A802CF"/>
    <w:rsid w:val="00A80A12"/>
    <w:rsid w:val="00A80DD4"/>
    <w:rsid w:val="00A81ED0"/>
    <w:rsid w:val="00A85FA7"/>
    <w:rsid w:val="00A902D0"/>
    <w:rsid w:val="00A936AF"/>
    <w:rsid w:val="00A9463E"/>
    <w:rsid w:val="00A95E1F"/>
    <w:rsid w:val="00AA07AF"/>
    <w:rsid w:val="00AA33E1"/>
    <w:rsid w:val="00AA33E2"/>
    <w:rsid w:val="00AA4C4A"/>
    <w:rsid w:val="00AB255D"/>
    <w:rsid w:val="00AC1245"/>
    <w:rsid w:val="00AC3A65"/>
    <w:rsid w:val="00AD19E0"/>
    <w:rsid w:val="00AD3D87"/>
    <w:rsid w:val="00AD409D"/>
    <w:rsid w:val="00AD4B4F"/>
    <w:rsid w:val="00AE1DC7"/>
    <w:rsid w:val="00AE5C04"/>
    <w:rsid w:val="00AF23C6"/>
    <w:rsid w:val="00AF6666"/>
    <w:rsid w:val="00AF7E76"/>
    <w:rsid w:val="00B16458"/>
    <w:rsid w:val="00B210BC"/>
    <w:rsid w:val="00B244C3"/>
    <w:rsid w:val="00B254A0"/>
    <w:rsid w:val="00B30203"/>
    <w:rsid w:val="00B32B1E"/>
    <w:rsid w:val="00B34D61"/>
    <w:rsid w:val="00B36FD5"/>
    <w:rsid w:val="00B40A28"/>
    <w:rsid w:val="00B46B26"/>
    <w:rsid w:val="00B534BF"/>
    <w:rsid w:val="00B53EB9"/>
    <w:rsid w:val="00B56E89"/>
    <w:rsid w:val="00B606B0"/>
    <w:rsid w:val="00B664BE"/>
    <w:rsid w:val="00B66C62"/>
    <w:rsid w:val="00B6715F"/>
    <w:rsid w:val="00B71D44"/>
    <w:rsid w:val="00B805F0"/>
    <w:rsid w:val="00B815A6"/>
    <w:rsid w:val="00B81AC0"/>
    <w:rsid w:val="00B85C7D"/>
    <w:rsid w:val="00B86E0D"/>
    <w:rsid w:val="00B94C3A"/>
    <w:rsid w:val="00BA133D"/>
    <w:rsid w:val="00BA19CF"/>
    <w:rsid w:val="00BA1AA2"/>
    <w:rsid w:val="00BA1E08"/>
    <w:rsid w:val="00BB4354"/>
    <w:rsid w:val="00BC0DC4"/>
    <w:rsid w:val="00BD01FF"/>
    <w:rsid w:val="00BD124C"/>
    <w:rsid w:val="00BF5204"/>
    <w:rsid w:val="00C02D17"/>
    <w:rsid w:val="00C07897"/>
    <w:rsid w:val="00C14688"/>
    <w:rsid w:val="00C22D69"/>
    <w:rsid w:val="00C37790"/>
    <w:rsid w:val="00C57095"/>
    <w:rsid w:val="00C572DF"/>
    <w:rsid w:val="00C62796"/>
    <w:rsid w:val="00C703DB"/>
    <w:rsid w:val="00C734B4"/>
    <w:rsid w:val="00C73F71"/>
    <w:rsid w:val="00C77B17"/>
    <w:rsid w:val="00C86857"/>
    <w:rsid w:val="00C86AF6"/>
    <w:rsid w:val="00C9179E"/>
    <w:rsid w:val="00C97168"/>
    <w:rsid w:val="00CA14FB"/>
    <w:rsid w:val="00CA15EF"/>
    <w:rsid w:val="00CA3847"/>
    <w:rsid w:val="00CA3B46"/>
    <w:rsid w:val="00CA3F0D"/>
    <w:rsid w:val="00CA598D"/>
    <w:rsid w:val="00CA6EB0"/>
    <w:rsid w:val="00CA7F78"/>
    <w:rsid w:val="00CB2B4A"/>
    <w:rsid w:val="00CB2F18"/>
    <w:rsid w:val="00CB433D"/>
    <w:rsid w:val="00CB659E"/>
    <w:rsid w:val="00CB69C7"/>
    <w:rsid w:val="00CC2DDA"/>
    <w:rsid w:val="00CD78B4"/>
    <w:rsid w:val="00CE260E"/>
    <w:rsid w:val="00CE6536"/>
    <w:rsid w:val="00CF2AA6"/>
    <w:rsid w:val="00CF32CE"/>
    <w:rsid w:val="00CF4FA7"/>
    <w:rsid w:val="00D115BA"/>
    <w:rsid w:val="00D15FDA"/>
    <w:rsid w:val="00D16C4C"/>
    <w:rsid w:val="00D21264"/>
    <w:rsid w:val="00D217A3"/>
    <w:rsid w:val="00D22F59"/>
    <w:rsid w:val="00D26B89"/>
    <w:rsid w:val="00D345CD"/>
    <w:rsid w:val="00D515A3"/>
    <w:rsid w:val="00D5431E"/>
    <w:rsid w:val="00D553D1"/>
    <w:rsid w:val="00D56F38"/>
    <w:rsid w:val="00D62D51"/>
    <w:rsid w:val="00D65413"/>
    <w:rsid w:val="00D66965"/>
    <w:rsid w:val="00D72FC9"/>
    <w:rsid w:val="00D730D6"/>
    <w:rsid w:val="00D8326D"/>
    <w:rsid w:val="00D83C76"/>
    <w:rsid w:val="00D943FA"/>
    <w:rsid w:val="00D958E7"/>
    <w:rsid w:val="00D972F4"/>
    <w:rsid w:val="00DA48FB"/>
    <w:rsid w:val="00DA4BCD"/>
    <w:rsid w:val="00DB0273"/>
    <w:rsid w:val="00DC0549"/>
    <w:rsid w:val="00DC2F76"/>
    <w:rsid w:val="00DC6907"/>
    <w:rsid w:val="00DC6C93"/>
    <w:rsid w:val="00DD1DA7"/>
    <w:rsid w:val="00DD3390"/>
    <w:rsid w:val="00DD6931"/>
    <w:rsid w:val="00DE23AB"/>
    <w:rsid w:val="00DE4019"/>
    <w:rsid w:val="00DE5CBE"/>
    <w:rsid w:val="00DF7C62"/>
    <w:rsid w:val="00E0353B"/>
    <w:rsid w:val="00E0414C"/>
    <w:rsid w:val="00E050D3"/>
    <w:rsid w:val="00E14F10"/>
    <w:rsid w:val="00E15999"/>
    <w:rsid w:val="00E17427"/>
    <w:rsid w:val="00E26357"/>
    <w:rsid w:val="00E302ED"/>
    <w:rsid w:val="00E316AB"/>
    <w:rsid w:val="00E31E9E"/>
    <w:rsid w:val="00E32D47"/>
    <w:rsid w:val="00E37593"/>
    <w:rsid w:val="00E430B2"/>
    <w:rsid w:val="00E446CE"/>
    <w:rsid w:val="00E47D26"/>
    <w:rsid w:val="00E5349E"/>
    <w:rsid w:val="00E56A03"/>
    <w:rsid w:val="00E61093"/>
    <w:rsid w:val="00E63690"/>
    <w:rsid w:val="00E70257"/>
    <w:rsid w:val="00E719E3"/>
    <w:rsid w:val="00E71A02"/>
    <w:rsid w:val="00E74334"/>
    <w:rsid w:val="00E744C9"/>
    <w:rsid w:val="00E7735C"/>
    <w:rsid w:val="00E84820"/>
    <w:rsid w:val="00E85192"/>
    <w:rsid w:val="00E86048"/>
    <w:rsid w:val="00E92C00"/>
    <w:rsid w:val="00E94C41"/>
    <w:rsid w:val="00EB0386"/>
    <w:rsid w:val="00EB1276"/>
    <w:rsid w:val="00EB165C"/>
    <w:rsid w:val="00EB3A27"/>
    <w:rsid w:val="00EB548B"/>
    <w:rsid w:val="00EB5B53"/>
    <w:rsid w:val="00EC122B"/>
    <w:rsid w:val="00EC558C"/>
    <w:rsid w:val="00ED26F1"/>
    <w:rsid w:val="00ED7793"/>
    <w:rsid w:val="00F01CB4"/>
    <w:rsid w:val="00F029B7"/>
    <w:rsid w:val="00F03E89"/>
    <w:rsid w:val="00F114AE"/>
    <w:rsid w:val="00F12E41"/>
    <w:rsid w:val="00F234F5"/>
    <w:rsid w:val="00F25663"/>
    <w:rsid w:val="00F3023B"/>
    <w:rsid w:val="00F36F70"/>
    <w:rsid w:val="00F37E40"/>
    <w:rsid w:val="00F4142B"/>
    <w:rsid w:val="00F41B4A"/>
    <w:rsid w:val="00F41C0C"/>
    <w:rsid w:val="00F46DAF"/>
    <w:rsid w:val="00F525D7"/>
    <w:rsid w:val="00F572B7"/>
    <w:rsid w:val="00F75B3F"/>
    <w:rsid w:val="00F8006D"/>
    <w:rsid w:val="00F84FFC"/>
    <w:rsid w:val="00FA21DB"/>
    <w:rsid w:val="00FA3915"/>
    <w:rsid w:val="00FA43D5"/>
    <w:rsid w:val="00FB1989"/>
    <w:rsid w:val="00FB3306"/>
    <w:rsid w:val="00FB360A"/>
    <w:rsid w:val="00FB4D99"/>
    <w:rsid w:val="00FC0998"/>
    <w:rsid w:val="00FC102A"/>
    <w:rsid w:val="00FC436E"/>
    <w:rsid w:val="00FD0D89"/>
    <w:rsid w:val="00FD544B"/>
    <w:rsid w:val="00FD5E41"/>
    <w:rsid w:val="00FE1073"/>
    <w:rsid w:val="00FE1DD7"/>
    <w:rsid w:val="00FE3513"/>
    <w:rsid w:val="00FE39D2"/>
    <w:rsid w:val="00FE507B"/>
    <w:rsid w:val="00FF74E9"/>
    <w:rsid w:val="00FF7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rd">
    <w:name w:val="Normal"/>
    <w:qFormat/>
    <w:rsid w:val="0041741A"/>
    <w:pPr>
      <w:spacing w:before="120" w:after="120"/>
    </w:pPr>
    <w:rPr>
      <w:lang w:val="sv-SE" w:eastAsia="sv-SE"/>
    </w:rPr>
  </w:style>
  <w:style w:type="paragraph" w:styleId="berschrift2">
    <w:name w:val="heading 2"/>
    <w:basedOn w:val="Standard"/>
    <w:next w:val="Standard"/>
    <w:link w:val="berschrift2Zchn"/>
    <w:qFormat/>
    <w:rsid w:val="000E617C"/>
    <w:pPr>
      <w:keepNext/>
      <w:tabs>
        <w:tab w:val="left" w:pos="300"/>
        <w:tab w:val="left" w:pos="2920"/>
      </w:tabs>
      <w:spacing w:before="240" w:line="360" w:lineRule="auto"/>
      <w:ind w:right="-17"/>
      <w:jc w:val="both"/>
      <w:outlineLvl w:val="1"/>
    </w:pPr>
    <w:rPr>
      <w:szCs w:val="20"/>
      <w:u w:val="single"/>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A33E2"/>
    <w:rPr>
      <w:color w:val="0000FF"/>
      <w:u w:val="single"/>
    </w:rPr>
  </w:style>
  <w:style w:type="paragraph" w:styleId="Textkrper3">
    <w:name w:val="Body Text 3"/>
    <w:basedOn w:val="Standard"/>
    <w:link w:val="Textkrper3Zchn"/>
    <w:rsid w:val="00BA1AA2"/>
    <w:pPr>
      <w:spacing w:line="480" w:lineRule="auto"/>
    </w:pPr>
    <w:rPr>
      <w:szCs w:val="20"/>
      <w:lang w:val="en-US" w:eastAsia="de-DE"/>
    </w:rPr>
  </w:style>
  <w:style w:type="character" w:styleId="Kommentarzeichen">
    <w:name w:val="annotation reference"/>
    <w:basedOn w:val="Absatz-Standardschriftart"/>
    <w:rsid w:val="005E6D64"/>
    <w:rPr>
      <w:sz w:val="16"/>
      <w:szCs w:val="16"/>
    </w:rPr>
  </w:style>
  <w:style w:type="paragraph" w:styleId="Kommentartext">
    <w:name w:val="annotation text"/>
    <w:basedOn w:val="Standard"/>
    <w:link w:val="KommentartextZchn"/>
    <w:rsid w:val="005E6D64"/>
    <w:rPr>
      <w:sz w:val="20"/>
      <w:szCs w:val="20"/>
    </w:rPr>
  </w:style>
  <w:style w:type="character" w:customStyle="1" w:styleId="KommentartextZchn">
    <w:name w:val="Kommentartext Zchn"/>
    <w:basedOn w:val="Absatz-Standardschriftart"/>
    <w:link w:val="Kommentartext"/>
    <w:rsid w:val="005E6D64"/>
    <w:rPr>
      <w:lang w:val="sv-SE" w:eastAsia="sv-SE"/>
    </w:rPr>
  </w:style>
  <w:style w:type="paragraph" w:styleId="Kommentarthema">
    <w:name w:val="annotation subject"/>
    <w:basedOn w:val="Kommentartext"/>
    <w:next w:val="Kommentartext"/>
    <w:link w:val="KommentarthemaZchn"/>
    <w:rsid w:val="005E6D64"/>
    <w:rPr>
      <w:b/>
      <w:bCs/>
    </w:rPr>
  </w:style>
  <w:style w:type="character" w:customStyle="1" w:styleId="KommentarthemaZchn">
    <w:name w:val="Kommentarthema Zchn"/>
    <w:basedOn w:val="KommentartextZchn"/>
    <w:link w:val="Kommentarthema"/>
    <w:rsid w:val="005E6D64"/>
    <w:rPr>
      <w:b/>
      <w:bCs/>
      <w:lang w:val="sv-SE" w:eastAsia="sv-SE"/>
    </w:rPr>
  </w:style>
  <w:style w:type="paragraph" w:styleId="Sprechblasentext">
    <w:name w:val="Balloon Text"/>
    <w:basedOn w:val="Standard"/>
    <w:link w:val="SprechblasentextZchn"/>
    <w:rsid w:val="005E6D64"/>
    <w:rPr>
      <w:rFonts w:ascii="Tahoma" w:hAnsi="Tahoma" w:cs="Tahoma"/>
      <w:sz w:val="16"/>
      <w:szCs w:val="16"/>
    </w:rPr>
  </w:style>
  <w:style w:type="character" w:customStyle="1" w:styleId="SprechblasentextZchn">
    <w:name w:val="Sprechblasentext Zchn"/>
    <w:basedOn w:val="Absatz-Standardschriftart"/>
    <w:link w:val="Sprechblasentext"/>
    <w:rsid w:val="005E6D64"/>
    <w:rPr>
      <w:rFonts w:ascii="Tahoma" w:hAnsi="Tahoma" w:cs="Tahoma"/>
      <w:sz w:val="16"/>
      <w:szCs w:val="16"/>
      <w:lang w:val="sv-SE" w:eastAsia="sv-SE"/>
    </w:rPr>
  </w:style>
  <w:style w:type="table" w:styleId="Tabellenraster">
    <w:name w:val="Table Grid"/>
    <w:basedOn w:val="NormaleTabelle"/>
    <w:rsid w:val="00B8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92FC9"/>
  </w:style>
  <w:style w:type="paragraph" w:styleId="Dokumentstruktur">
    <w:name w:val="Document Map"/>
    <w:basedOn w:val="Standard"/>
    <w:semiHidden/>
    <w:rsid w:val="00711217"/>
    <w:pPr>
      <w:shd w:val="clear" w:color="auto" w:fill="000080"/>
    </w:pPr>
    <w:rPr>
      <w:rFonts w:ascii="Tahoma" w:hAnsi="Tahoma" w:cs="Tahoma"/>
      <w:sz w:val="20"/>
      <w:szCs w:val="20"/>
    </w:rPr>
  </w:style>
  <w:style w:type="paragraph" w:styleId="berarbeitung">
    <w:name w:val="Revision"/>
    <w:hidden/>
    <w:uiPriority w:val="99"/>
    <w:semiHidden/>
    <w:rsid w:val="00FD5E41"/>
    <w:rPr>
      <w:lang w:val="sv-SE" w:eastAsia="sv-SE"/>
    </w:rPr>
  </w:style>
  <w:style w:type="paragraph" w:customStyle="1" w:styleId="Absatzerstehngend">
    <w:name w:val="Absatz erste hängend"/>
    <w:basedOn w:val="Standard"/>
    <w:qFormat/>
    <w:rsid w:val="007D1C4E"/>
    <w:pPr>
      <w:autoSpaceDE w:val="0"/>
      <w:autoSpaceDN w:val="0"/>
      <w:adjustRightInd w:val="0"/>
      <w:spacing w:line="480" w:lineRule="auto"/>
      <w:ind w:firstLine="709"/>
      <w:jc w:val="both"/>
    </w:pPr>
    <w:rPr>
      <w:rFonts w:ascii="Arial" w:hAnsi="Arial" w:cs="Arial"/>
      <w:bCs/>
      <w:lang w:val="en-US"/>
    </w:rPr>
  </w:style>
  <w:style w:type="paragraph" w:styleId="Listenabsatz">
    <w:name w:val="List Paragraph"/>
    <w:basedOn w:val="Standard"/>
    <w:uiPriority w:val="99"/>
    <w:qFormat/>
    <w:rsid w:val="00827CA9"/>
    <w:pPr>
      <w:ind w:left="720"/>
      <w:contextualSpacing/>
    </w:pPr>
  </w:style>
  <w:style w:type="paragraph" w:styleId="Textkrper2">
    <w:name w:val="Body Text 2"/>
    <w:basedOn w:val="Standard"/>
    <w:link w:val="Textkrper2Zchn"/>
    <w:rsid w:val="00CA15EF"/>
    <w:pPr>
      <w:spacing w:line="480" w:lineRule="auto"/>
    </w:pPr>
  </w:style>
  <w:style w:type="character" w:customStyle="1" w:styleId="Textkrper2Zchn">
    <w:name w:val="Textkörper 2 Zchn"/>
    <w:basedOn w:val="Absatz-Standardschriftart"/>
    <w:link w:val="Textkrper2"/>
    <w:rsid w:val="00CA15EF"/>
    <w:rPr>
      <w:sz w:val="24"/>
      <w:szCs w:val="24"/>
      <w:lang w:val="sv-SE" w:eastAsia="sv-SE"/>
    </w:rPr>
  </w:style>
  <w:style w:type="paragraph" w:styleId="StandardWeb">
    <w:name w:val="Normal (Web)"/>
    <w:basedOn w:val="Standard"/>
    <w:uiPriority w:val="99"/>
    <w:rsid w:val="00CA15EF"/>
    <w:pPr>
      <w:spacing w:before="100" w:beforeAutospacing="1" w:after="100" w:afterAutospacing="1"/>
    </w:pPr>
    <w:rPr>
      <w:lang w:val="en-US" w:eastAsia="en-US"/>
    </w:rPr>
  </w:style>
  <w:style w:type="character" w:customStyle="1" w:styleId="berschrift2Zchn">
    <w:name w:val="Überschrift 2 Zchn"/>
    <w:basedOn w:val="Absatz-Standardschriftart"/>
    <w:link w:val="berschrift2"/>
    <w:locked/>
    <w:rsid w:val="000E617C"/>
    <w:rPr>
      <w:szCs w:val="20"/>
      <w:u w:val="single"/>
      <w:lang w:val="en-US"/>
    </w:rPr>
  </w:style>
  <w:style w:type="character" w:customStyle="1" w:styleId="Textkrper3Zchn">
    <w:name w:val="Textkörper 3 Zchn"/>
    <w:basedOn w:val="Absatz-Standardschriftart"/>
    <w:link w:val="Textkrper3"/>
    <w:rsid w:val="00D16C4C"/>
    <w:rPr>
      <w:sz w:val="24"/>
      <w:lang w:val="en-US"/>
    </w:rPr>
  </w:style>
  <w:style w:type="paragraph" w:styleId="Literaturverzeichnis">
    <w:name w:val="Bibliography"/>
    <w:basedOn w:val="Standard"/>
    <w:next w:val="Standard"/>
    <w:uiPriority w:val="37"/>
    <w:unhideWhenUsed/>
    <w:rsid w:val="0093666A"/>
    <w:pPr>
      <w:tabs>
        <w:tab w:val="left" w:pos="264"/>
      </w:tabs>
      <w:spacing w:line="480" w:lineRule="auto"/>
      <w:ind w:left="264" w:hanging="264"/>
    </w:pPr>
  </w:style>
  <w:style w:type="paragraph" w:styleId="Endnotentext">
    <w:name w:val="endnote text"/>
    <w:basedOn w:val="Standard"/>
    <w:link w:val="EndnotentextZchn"/>
    <w:rsid w:val="0043653E"/>
    <w:rPr>
      <w:sz w:val="20"/>
      <w:szCs w:val="20"/>
    </w:rPr>
  </w:style>
  <w:style w:type="character" w:customStyle="1" w:styleId="EndnotentextZchn">
    <w:name w:val="Endnotentext Zchn"/>
    <w:basedOn w:val="Absatz-Standardschriftart"/>
    <w:link w:val="Endnotentext"/>
    <w:rsid w:val="0043653E"/>
    <w:rPr>
      <w:sz w:val="20"/>
      <w:szCs w:val="20"/>
      <w:lang w:val="sv-SE" w:eastAsia="sv-SE"/>
    </w:rPr>
  </w:style>
  <w:style w:type="character" w:styleId="Endnotenzeichen">
    <w:name w:val="endnote reference"/>
    <w:basedOn w:val="Absatz-Standardschriftart"/>
    <w:rsid w:val="0043653E"/>
    <w:rPr>
      <w:vertAlign w:val="superscript"/>
    </w:rPr>
  </w:style>
  <w:style w:type="paragraph" w:styleId="Funotentext">
    <w:name w:val="footnote text"/>
    <w:basedOn w:val="Standard"/>
    <w:link w:val="FunotentextZchn"/>
    <w:rsid w:val="0043653E"/>
    <w:rPr>
      <w:sz w:val="20"/>
      <w:szCs w:val="20"/>
    </w:rPr>
  </w:style>
  <w:style w:type="character" w:customStyle="1" w:styleId="FunotentextZchn">
    <w:name w:val="Fußnotentext Zchn"/>
    <w:basedOn w:val="Absatz-Standardschriftart"/>
    <w:link w:val="Funotentext"/>
    <w:rsid w:val="0043653E"/>
    <w:rPr>
      <w:sz w:val="20"/>
      <w:szCs w:val="20"/>
      <w:lang w:val="sv-SE" w:eastAsia="sv-SE"/>
    </w:rPr>
  </w:style>
  <w:style w:type="character" w:styleId="Funotenzeichen">
    <w:name w:val="footnote reference"/>
    <w:basedOn w:val="Absatz-Standardschriftart"/>
    <w:rsid w:val="0043653E"/>
    <w:rPr>
      <w:vertAlign w:val="superscript"/>
    </w:rPr>
  </w:style>
  <w:style w:type="paragraph" w:customStyle="1" w:styleId="Literaturverzeichnis1">
    <w:name w:val="Literaturverzeichnis1"/>
    <w:basedOn w:val="Standard"/>
    <w:rsid w:val="00A9463E"/>
    <w:pPr>
      <w:widowControl w:val="0"/>
      <w:tabs>
        <w:tab w:val="left" w:pos="500"/>
      </w:tabs>
      <w:autoSpaceDE w:val="0"/>
      <w:autoSpaceDN w:val="0"/>
      <w:adjustRightInd w:val="0"/>
      <w:spacing w:after="240"/>
      <w:ind w:left="504" w:hanging="504"/>
    </w:pPr>
    <w:rPr>
      <w:rFonts w:ascii="Arial" w:hAnsi="Arial" w:cs="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0042-4E01-694E-BF5C-449276DB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Methods</vt:lpstr>
    </vt:vector>
  </TitlesOfParts>
  <Company>UKB BONN</Company>
  <LinksUpToDate>false</LinksUpToDate>
  <CharactersWithSpaces>3931</CharactersWithSpaces>
  <SharedDoc>false</SharedDoc>
  <HLinks>
    <vt:vector size="6" baseType="variant">
      <vt:variant>
        <vt:i4>4063236</vt:i4>
      </vt:variant>
      <vt:variant>
        <vt:i4>4</vt:i4>
      </vt:variant>
      <vt:variant>
        <vt:i4>0</vt:i4>
      </vt:variant>
      <vt:variant>
        <vt:i4>5</vt:i4>
      </vt:variant>
      <vt:variant>
        <vt:lpwstr>https://kontakte.web.de/adr_show/?cid=1788868140&amp;cat=1&amp;ind=L&amp;sortier=0&amp;sid=000000C1450C6D4FCD55F1E73C927C83DA9411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Thomas</dc:creator>
  <cp:lastModifiedBy>TM</cp:lastModifiedBy>
  <cp:revision>7</cp:revision>
  <cp:lastPrinted>2009-05-18T13:23:00Z</cp:lastPrinted>
  <dcterms:created xsi:type="dcterms:W3CDTF">2019-12-08T19:39:00Z</dcterms:created>
  <dcterms:modified xsi:type="dcterms:W3CDTF">2019-12-13T11:18:00Z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id="DJXgR74g"/&gt;&lt;style id="http://www.zotero.org/styles/critical-care-medicine"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