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B" w:rsidRDefault="00B42B5B">
      <w:pPr>
        <w:jc w:val="center"/>
        <w:rPr>
          <w:b/>
        </w:rPr>
      </w:pPr>
      <w:bookmarkStart w:id="0" w:name="_Toc93132375"/>
    </w:p>
    <w:p w:rsidR="00B42B5B" w:rsidRDefault="00B42B5B">
      <w:pPr>
        <w:jc w:val="center"/>
        <w:rPr>
          <w:b/>
        </w:rPr>
      </w:pPr>
    </w:p>
    <w:p w:rsidR="00B42B5B" w:rsidRDefault="00B42B5B">
      <w:pPr>
        <w:jc w:val="center"/>
        <w:rPr>
          <w:b/>
        </w:rPr>
      </w:pPr>
    </w:p>
    <w:p w:rsidR="00B42B5B" w:rsidRDefault="00B42B5B">
      <w:pPr>
        <w:jc w:val="center"/>
        <w:rPr>
          <w:b/>
        </w:rPr>
      </w:pPr>
    </w:p>
    <w:p w:rsidR="00B42B5B" w:rsidRDefault="00B42B5B">
      <w:pPr>
        <w:jc w:val="center"/>
        <w:rPr>
          <w:b/>
        </w:rPr>
      </w:pPr>
    </w:p>
    <w:p w:rsidR="00B42B5B" w:rsidRDefault="00B42B5B">
      <w:pPr>
        <w:jc w:val="center"/>
        <w:rPr>
          <w:b/>
        </w:rPr>
      </w:pPr>
    </w:p>
    <w:p w:rsidR="00B42B5B" w:rsidRDefault="00B42B5B">
      <w:pPr>
        <w:jc w:val="center"/>
        <w:rPr>
          <w:b/>
        </w:rPr>
      </w:pPr>
    </w:p>
    <w:p w:rsidR="00B42B5B" w:rsidRDefault="00B42B5B">
      <w:pPr>
        <w:jc w:val="center"/>
        <w:rPr>
          <w:b/>
        </w:rPr>
      </w:pPr>
    </w:p>
    <w:p w:rsidR="00B42B5B" w:rsidRDefault="00B42B5B">
      <w:pPr>
        <w:jc w:val="center"/>
        <w:rPr>
          <w:b/>
        </w:rPr>
      </w:pPr>
    </w:p>
    <w:p w:rsidR="00B42B5B" w:rsidRDefault="00B42B5B">
      <w:pPr>
        <w:jc w:val="center"/>
        <w:rPr>
          <w:b/>
        </w:rPr>
      </w:pPr>
    </w:p>
    <w:p w:rsidR="00B42B5B" w:rsidRDefault="00B42B5B">
      <w:pPr>
        <w:jc w:val="center"/>
        <w:rPr>
          <w:b/>
        </w:rPr>
      </w:pPr>
    </w:p>
    <w:p w:rsidR="00B42B5B" w:rsidRDefault="00B42B5B">
      <w:pPr>
        <w:jc w:val="center"/>
        <w:rPr>
          <w:b/>
        </w:rPr>
      </w:pPr>
    </w:p>
    <w:p w:rsidR="00B42B5B" w:rsidRPr="0039298D" w:rsidRDefault="00B42B5B">
      <w:pPr>
        <w:pStyle w:val="Title"/>
        <w:rPr>
          <w:rFonts w:ascii="Times New Roman" w:hAnsi="Times New Roman"/>
          <w:sz w:val="32"/>
          <w:szCs w:val="28"/>
        </w:rPr>
      </w:pPr>
      <w:r w:rsidRPr="0039298D">
        <w:rPr>
          <w:rFonts w:ascii="Times New Roman" w:hAnsi="Times New Roman"/>
          <w:sz w:val="32"/>
          <w:szCs w:val="28"/>
        </w:rPr>
        <w:t>PeriOperative ISchemic Evaluation</w:t>
      </w:r>
      <w:r w:rsidR="0039298D" w:rsidRPr="0039298D">
        <w:rPr>
          <w:rFonts w:ascii="Times New Roman" w:hAnsi="Times New Roman"/>
          <w:sz w:val="32"/>
          <w:szCs w:val="28"/>
        </w:rPr>
        <w:t>-2</w:t>
      </w:r>
      <w:r w:rsidRPr="0039298D">
        <w:rPr>
          <w:rFonts w:ascii="Times New Roman" w:hAnsi="Times New Roman"/>
          <w:sz w:val="32"/>
          <w:szCs w:val="28"/>
        </w:rPr>
        <w:t xml:space="preserve"> (POISE</w:t>
      </w:r>
      <w:r w:rsidR="0039298D" w:rsidRPr="0039298D">
        <w:rPr>
          <w:rFonts w:ascii="Times New Roman" w:hAnsi="Times New Roman"/>
          <w:sz w:val="32"/>
          <w:szCs w:val="28"/>
        </w:rPr>
        <w:t>-2</w:t>
      </w:r>
      <w:r w:rsidRPr="0039298D">
        <w:rPr>
          <w:rFonts w:ascii="Times New Roman" w:hAnsi="Times New Roman"/>
          <w:sz w:val="32"/>
          <w:szCs w:val="28"/>
        </w:rPr>
        <w:t>) Trial</w:t>
      </w:r>
    </w:p>
    <w:p w:rsidR="00B42B5B" w:rsidRDefault="00B42B5B" w:rsidP="0039298D">
      <w:pPr>
        <w:rPr>
          <w:b/>
        </w:rPr>
      </w:pPr>
    </w:p>
    <w:p w:rsidR="00B42B5B" w:rsidRPr="0039298D" w:rsidRDefault="0082428D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LONG</w:t>
      </w:r>
      <w:r w:rsidR="00B42B5B" w:rsidRPr="0039298D">
        <w:rPr>
          <w:b/>
          <w:sz w:val="28"/>
        </w:rPr>
        <w:t>-TERM STATISTICAL ANALYSIS PLAN</w:t>
      </w:r>
    </w:p>
    <w:p w:rsidR="0039298D" w:rsidRDefault="0039298D" w:rsidP="0039298D">
      <w:pPr>
        <w:jc w:val="center"/>
        <w:rPr>
          <w:b/>
          <w:sz w:val="28"/>
        </w:rPr>
      </w:pPr>
      <w:r w:rsidRPr="0039298D">
        <w:rPr>
          <w:b/>
        </w:rPr>
        <w:t>POPULATION HEALTH RESEARCH INSTITUTE</w:t>
      </w:r>
    </w:p>
    <w:p w:rsidR="00B42B5B" w:rsidRDefault="00B42B5B">
      <w:pPr>
        <w:spacing w:line="480" w:lineRule="auto"/>
        <w:jc w:val="center"/>
        <w:rPr>
          <w:b/>
        </w:rPr>
      </w:pPr>
    </w:p>
    <w:p w:rsidR="00B42B5B" w:rsidRDefault="00686900">
      <w:pPr>
        <w:spacing w:line="480" w:lineRule="auto"/>
        <w:jc w:val="center"/>
        <w:rPr>
          <w:bCs/>
        </w:rPr>
      </w:pPr>
      <w:r>
        <w:rPr>
          <w:b/>
        </w:rPr>
        <w:t>J</w:t>
      </w:r>
      <w:r w:rsidR="0082428D">
        <w:rPr>
          <w:b/>
        </w:rPr>
        <w:t>une 7, 2015</w:t>
      </w:r>
    </w:p>
    <w:p w:rsidR="00B42B5B" w:rsidRDefault="00B42B5B">
      <w:pPr>
        <w:spacing w:line="480" w:lineRule="auto"/>
        <w:rPr>
          <w:b/>
          <w:bCs/>
        </w:rPr>
      </w:pPr>
      <w:r>
        <w:rPr>
          <w:b/>
          <w:bCs/>
        </w:rPr>
        <w:br w:type="page"/>
      </w:r>
      <w:bookmarkStart w:id="1" w:name="_Toc93132307"/>
      <w:r>
        <w:rPr>
          <w:b/>
          <w:bCs/>
        </w:rPr>
        <w:lastRenderedPageBreak/>
        <w:t>1.</w:t>
      </w:r>
      <w:r>
        <w:rPr>
          <w:b/>
          <w:bCs/>
        </w:rPr>
        <w:tab/>
      </w:r>
      <w:r w:rsidR="00A04A3B">
        <w:rPr>
          <w:b/>
          <w:bCs/>
        </w:rPr>
        <w:t>TRIAL</w:t>
      </w:r>
      <w:r>
        <w:rPr>
          <w:b/>
          <w:bCs/>
        </w:rPr>
        <w:t xml:space="preserve"> OBJECTIVES</w:t>
      </w:r>
      <w:bookmarkEnd w:id="1"/>
    </w:p>
    <w:p w:rsidR="00B42B5B" w:rsidRDefault="00B42B5B" w:rsidP="00A04A3B">
      <w:pPr>
        <w:spacing w:line="480" w:lineRule="auto"/>
        <w:rPr>
          <w:b/>
        </w:rPr>
      </w:pPr>
      <w:bookmarkStart w:id="2" w:name="_Toc93132309"/>
      <w:r>
        <w:rPr>
          <w:b/>
        </w:rPr>
        <w:t xml:space="preserve">Primary Efficacy Objective: </w:t>
      </w:r>
    </w:p>
    <w:p w:rsidR="00A04A3B" w:rsidRDefault="00B42B5B" w:rsidP="00A04A3B">
      <w:pPr>
        <w:spacing w:line="480" w:lineRule="auto"/>
      </w:pPr>
      <w:r>
        <w:t xml:space="preserve">1. </w:t>
      </w:r>
      <w:r w:rsidR="00A04A3B">
        <w:t xml:space="preserve">To determine the impact of </w:t>
      </w:r>
      <w:r w:rsidR="002B46D1">
        <w:t xml:space="preserve">perioperative administration of </w:t>
      </w:r>
      <w:r w:rsidR="00A04A3B">
        <w:t xml:space="preserve">low-dose clonidine versus placebo and </w:t>
      </w:r>
      <w:r w:rsidR="002B46D1">
        <w:t xml:space="preserve">separately </w:t>
      </w:r>
      <w:r w:rsidR="00A04A3B">
        <w:t xml:space="preserve">low-dose ASA versus placebo on the </w:t>
      </w:r>
      <w:r w:rsidR="00B20956">
        <w:t>1-year</w:t>
      </w:r>
      <w:r w:rsidR="00A04A3B">
        <w:t xml:space="preserve"> risk of mortality or nonfatal myocardial infarction (MI) in patients with, or at risk of, atherosclerotic disease who under</w:t>
      </w:r>
      <w:r w:rsidR="00A6170C">
        <w:t>went</w:t>
      </w:r>
      <w:r w:rsidR="00A04A3B">
        <w:t xml:space="preserve"> noncardiac surgery.</w:t>
      </w:r>
    </w:p>
    <w:p w:rsidR="00B42B5B" w:rsidRDefault="00B42B5B">
      <w:pPr>
        <w:spacing w:line="480" w:lineRule="auto"/>
        <w:rPr>
          <w:b/>
        </w:rPr>
      </w:pPr>
    </w:p>
    <w:p w:rsidR="00B42B5B" w:rsidRDefault="00B42B5B" w:rsidP="00A04A3B">
      <w:pPr>
        <w:spacing w:line="480" w:lineRule="auto"/>
        <w:rPr>
          <w:b/>
        </w:rPr>
      </w:pPr>
      <w:r>
        <w:rPr>
          <w:b/>
        </w:rPr>
        <w:t>Secondary Efficacy Objectives:</w:t>
      </w:r>
    </w:p>
    <w:p w:rsidR="00A04A3B" w:rsidRDefault="00A04A3B" w:rsidP="00A04A3B">
      <w:pPr>
        <w:spacing w:line="480" w:lineRule="auto"/>
      </w:pPr>
      <w:r>
        <w:t xml:space="preserve">1. To determine the impact of perioperative administration of low-dose clonidine </w:t>
      </w:r>
      <w:r w:rsidR="002B46D1">
        <w:t xml:space="preserve">versus placebo </w:t>
      </w:r>
      <w:r>
        <w:t xml:space="preserve">and separately low-dose ASA </w:t>
      </w:r>
      <w:r w:rsidR="002B46D1">
        <w:t xml:space="preserve">versus placebo </w:t>
      </w:r>
      <w:r>
        <w:t xml:space="preserve">on the </w:t>
      </w:r>
      <w:r w:rsidR="002B46D1">
        <w:t xml:space="preserve">1-year risk of a </w:t>
      </w:r>
      <w:r>
        <w:t xml:space="preserve">composite of mortality, </w:t>
      </w:r>
      <w:r w:rsidRPr="00AF7F5B">
        <w:t xml:space="preserve">nonfatal </w:t>
      </w:r>
      <w:r>
        <w:t>MI, and nonfatal stroke</w:t>
      </w:r>
      <w:r w:rsidR="002B46D1" w:rsidRPr="002B46D1">
        <w:t xml:space="preserve"> </w:t>
      </w:r>
      <w:r w:rsidR="002B46D1">
        <w:t>in patients with, or at risk of, atherosclerotic disease who underwent noncardiac surgery.</w:t>
      </w:r>
    </w:p>
    <w:p w:rsidR="00B166BE" w:rsidRDefault="00B166BE" w:rsidP="00A04A3B">
      <w:pPr>
        <w:spacing w:line="480" w:lineRule="auto"/>
      </w:pPr>
    </w:p>
    <w:p w:rsidR="00256AF2" w:rsidRDefault="00442D41" w:rsidP="00A04A3B">
      <w:pPr>
        <w:spacing w:line="480" w:lineRule="auto"/>
      </w:pPr>
      <w:r>
        <w:t>2.</w:t>
      </w:r>
      <w:r w:rsidR="00B20956">
        <w:t xml:space="preserve"> </w:t>
      </w:r>
      <w:r w:rsidR="00256AF2">
        <w:t xml:space="preserve">To determine the impact of perioperative administration of low-dose clonidine </w:t>
      </w:r>
      <w:r w:rsidR="002B46D1">
        <w:t xml:space="preserve">versus placebo </w:t>
      </w:r>
      <w:r w:rsidR="00256AF2">
        <w:t xml:space="preserve">and separately low-dose ASA </w:t>
      </w:r>
      <w:r w:rsidR="002B46D1">
        <w:t xml:space="preserve">versus placebo </w:t>
      </w:r>
      <w:r w:rsidR="00256AF2">
        <w:t xml:space="preserve">on the </w:t>
      </w:r>
      <w:r w:rsidR="002B46D1">
        <w:t xml:space="preserve">1-year risk of a </w:t>
      </w:r>
      <w:r w:rsidR="00256AF2">
        <w:t xml:space="preserve">composite of </w:t>
      </w:r>
      <w:r w:rsidR="00256AF2" w:rsidRPr="00862902">
        <w:rPr>
          <w:color w:val="000000"/>
        </w:rPr>
        <w:t>new diagnosis of cancer and diagnosis of recurrent cancer</w:t>
      </w:r>
      <w:r w:rsidR="00256AF2">
        <w:t xml:space="preserve"> </w:t>
      </w:r>
      <w:r w:rsidR="000C4CDC">
        <w:t>in patients with, or at risk of, atherosclerotic disease who underwent noncardiac surgery.</w:t>
      </w:r>
      <w:r w:rsidR="00256AF2">
        <w:rPr>
          <w:sz w:val="23"/>
          <w:szCs w:val="23"/>
        </w:rPr>
        <w:t xml:space="preserve"> </w:t>
      </w:r>
      <w:r w:rsidR="00256AF2" w:rsidRPr="00AF7F5B">
        <w:t xml:space="preserve">  </w:t>
      </w:r>
    </w:p>
    <w:p w:rsidR="00256AF2" w:rsidRDefault="00256AF2" w:rsidP="00A04A3B">
      <w:pPr>
        <w:spacing w:line="480" w:lineRule="auto"/>
      </w:pPr>
    </w:p>
    <w:p w:rsidR="00D80749" w:rsidRDefault="00256AF2" w:rsidP="00A04A3B">
      <w:pPr>
        <w:spacing w:line="480" w:lineRule="auto"/>
      </w:pPr>
      <w:r>
        <w:t xml:space="preserve">3. </w:t>
      </w:r>
      <w:r w:rsidR="00B20956">
        <w:t xml:space="preserve">To determine the impact of perioperative administration of low-dose clonidine </w:t>
      </w:r>
      <w:r w:rsidR="002B46D1">
        <w:t xml:space="preserve">versus placebo </w:t>
      </w:r>
      <w:r w:rsidR="00B20956">
        <w:t xml:space="preserve">and separately low-dose ASA </w:t>
      </w:r>
      <w:r w:rsidR="002B46D1">
        <w:t xml:space="preserve">versus placebo </w:t>
      </w:r>
      <w:r w:rsidR="00B20956">
        <w:t xml:space="preserve">on </w:t>
      </w:r>
      <w:r w:rsidR="002B46D1">
        <w:t xml:space="preserve">the 1-year risk of </w:t>
      </w:r>
      <w:r w:rsidR="00B20956">
        <w:t>each of the following individual secondary outcomes</w:t>
      </w:r>
      <w:r w:rsidR="00B20956" w:rsidRPr="00862902">
        <w:rPr>
          <w:color w:val="000000"/>
        </w:rPr>
        <w:t xml:space="preserve">: </w:t>
      </w:r>
      <w:r w:rsidR="00130DF1" w:rsidRPr="00862902">
        <w:rPr>
          <w:color w:val="000000"/>
        </w:rPr>
        <w:t xml:space="preserve">chronic incisional pain, </w:t>
      </w:r>
      <w:r w:rsidR="00B20956" w:rsidRPr="00862902">
        <w:rPr>
          <w:color w:val="000000"/>
        </w:rPr>
        <w:t xml:space="preserve">new diagnosis of cancer, </w:t>
      </w:r>
      <w:r w:rsidR="00130DF1" w:rsidRPr="00862902">
        <w:rPr>
          <w:color w:val="000000"/>
        </w:rPr>
        <w:t xml:space="preserve">and </w:t>
      </w:r>
      <w:r w:rsidR="00B20956" w:rsidRPr="00862902">
        <w:rPr>
          <w:color w:val="000000"/>
        </w:rPr>
        <w:t>diagnosis of recurrent cance</w:t>
      </w:r>
      <w:r w:rsidR="00130DF1" w:rsidRPr="00862902">
        <w:rPr>
          <w:color w:val="000000"/>
        </w:rPr>
        <w:t>r</w:t>
      </w:r>
      <w:r w:rsidR="000C4CDC">
        <w:rPr>
          <w:color w:val="000000"/>
        </w:rPr>
        <w:t xml:space="preserve"> </w:t>
      </w:r>
      <w:r w:rsidR="000C4CDC">
        <w:t xml:space="preserve">in patients with, or at risk of, atherosclerotic disease who underwent noncardiac </w:t>
      </w:r>
      <w:proofErr w:type="gramStart"/>
      <w:r w:rsidR="000C4CDC">
        <w:t>surgery.</w:t>
      </w:r>
      <w:r w:rsidR="00B20956" w:rsidRPr="00862902">
        <w:rPr>
          <w:color w:val="000000"/>
        </w:rPr>
        <w:t>.</w:t>
      </w:r>
      <w:proofErr w:type="gramEnd"/>
      <w:r w:rsidR="00B20956">
        <w:rPr>
          <w:sz w:val="23"/>
          <w:szCs w:val="23"/>
        </w:rPr>
        <w:t xml:space="preserve"> </w:t>
      </w:r>
      <w:r w:rsidR="00D80749" w:rsidRPr="00AF7F5B">
        <w:t xml:space="preserve">  </w:t>
      </w:r>
    </w:p>
    <w:p w:rsidR="0077075A" w:rsidRDefault="0077075A" w:rsidP="00A04A3B">
      <w:pPr>
        <w:spacing w:line="480" w:lineRule="auto"/>
      </w:pPr>
    </w:p>
    <w:p w:rsidR="0077075A" w:rsidRDefault="0077075A" w:rsidP="00A04A3B">
      <w:pPr>
        <w:spacing w:line="480" w:lineRule="auto"/>
      </w:pPr>
      <w:r>
        <w:t xml:space="preserve">4. To determine among all the ASA </w:t>
      </w:r>
      <w:r w:rsidR="002B46D1">
        <w:t xml:space="preserve">versus placebo </w:t>
      </w:r>
      <w:r>
        <w:t xml:space="preserve">patients the impact on </w:t>
      </w:r>
      <w:r w:rsidR="002B46D1">
        <w:t xml:space="preserve">the 1-year risk of </w:t>
      </w:r>
      <w:r>
        <w:t xml:space="preserve">a composite outcome of mortality, nonfatal MI, cardiac </w:t>
      </w:r>
      <w:r w:rsidRPr="00AF7F5B">
        <w:t xml:space="preserve">revascularization procedure, nonfatal pulmonary emboli, and nonfatal deep venous thrombosis </w:t>
      </w:r>
      <w:r>
        <w:t>and whether the effects differ from each other in each ASA stratum</w:t>
      </w:r>
      <w:r w:rsidR="000C4CDC">
        <w:t>, in patients with, or at risk of, atherosclerotic disease who underwent noncardiac surgery</w:t>
      </w:r>
      <w:r w:rsidRPr="00AF7F5B">
        <w:t xml:space="preserve">.  </w:t>
      </w:r>
    </w:p>
    <w:p w:rsidR="00D80749" w:rsidRDefault="00D80749" w:rsidP="00A04A3B">
      <w:pPr>
        <w:spacing w:line="480" w:lineRule="auto"/>
      </w:pPr>
    </w:p>
    <w:p w:rsidR="00B166BE" w:rsidRDefault="00B166BE" w:rsidP="00B166BE">
      <w:pPr>
        <w:spacing w:line="480" w:lineRule="auto"/>
        <w:rPr>
          <w:b/>
        </w:rPr>
      </w:pPr>
      <w:r>
        <w:rPr>
          <w:b/>
        </w:rPr>
        <w:t>Tertiary Efficacy Objectives:</w:t>
      </w:r>
    </w:p>
    <w:p w:rsidR="00B166BE" w:rsidRDefault="00B166BE" w:rsidP="00A04A3B">
      <w:pPr>
        <w:spacing w:line="480" w:lineRule="auto"/>
      </w:pPr>
      <w:r>
        <w:t xml:space="preserve">1. To determine the impact of perioperative administration of low-dose clonidine </w:t>
      </w:r>
      <w:r w:rsidR="002B46D1">
        <w:t xml:space="preserve">versus placebo </w:t>
      </w:r>
      <w:r>
        <w:t xml:space="preserve">and separately low-dose ASA </w:t>
      </w:r>
      <w:r w:rsidR="002B46D1">
        <w:t xml:space="preserve">versus placebo </w:t>
      </w:r>
      <w:r>
        <w:t xml:space="preserve">on </w:t>
      </w:r>
      <w:r w:rsidR="000C4CDC">
        <w:t xml:space="preserve">the 1-year risk of </w:t>
      </w:r>
      <w:r>
        <w:t xml:space="preserve">each of the following individual </w:t>
      </w:r>
      <w:r w:rsidR="00AE7D23">
        <w:t>tertiary</w:t>
      </w:r>
      <w:r>
        <w:t xml:space="preserve"> outcomes: mortality, vascular mortality, MI, nonfatal cardiac arrest, cardiac revascularization procedure, </w:t>
      </w:r>
      <w:r w:rsidRPr="00AF7F5B">
        <w:t>pulmonary emboli</w:t>
      </w:r>
      <w:r w:rsidR="009F3D5D">
        <w:t>sm</w:t>
      </w:r>
      <w:r w:rsidRPr="00AF7F5B">
        <w:t>, deep venous thrombosis</w:t>
      </w:r>
      <w:r>
        <w:t>,</w:t>
      </w:r>
      <w:r w:rsidRPr="00AF7F5B">
        <w:t xml:space="preserve"> </w:t>
      </w:r>
      <w:r w:rsidR="008F7787">
        <w:t xml:space="preserve">new </w:t>
      </w:r>
      <w:r>
        <w:t xml:space="preserve">clinically important atrial fibrillation, amputation, peripheral arterial thrombosis, rehospitalization for vascular reasons, </w:t>
      </w:r>
      <w:r w:rsidR="00130DF1">
        <w:t xml:space="preserve">congestive heart failure, </w:t>
      </w:r>
      <w:r>
        <w:t>and new acute renal failure requiring dialysis</w:t>
      </w:r>
      <w:r w:rsidR="000C4CDC">
        <w:t>, in patients with, or at risk of, atherosclerotic disease who underwent noncardiac surgery</w:t>
      </w:r>
      <w:r>
        <w:t xml:space="preserve">.  </w:t>
      </w:r>
    </w:p>
    <w:p w:rsidR="00130DF1" w:rsidRDefault="00130DF1">
      <w:pPr>
        <w:spacing w:line="480" w:lineRule="auto"/>
        <w:rPr>
          <w:b/>
        </w:rPr>
      </w:pPr>
    </w:p>
    <w:p w:rsidR="00B42B5B" w:rsidRDefault="00B42B5B">
      <w:pPr>
        <w:spacing w:line="480" w:lineRule="auto"/>
        <w:rPr>
          <w:b/>
          <w:bCs/>
        </w:rPr>
      </w:pPr>
      <w:bookmarkStart w:id="3" w:name="_Toc93132348"/>
      <w:bookmarkEnd w:id="2"/>
      <w:r w:rsidRPr="0001028A">
        <w:rPr>
          <w:b/>
          <w:bCs/>
        </w:rPr>
        <w:t>2.</w:t>
      </w:r>
      <w:r w:rsidRPr="0001028A">
        <w:rPr>
          <w:b/>
          <w:bCs/>
        </w:rPr>
        <w:tab/>
      </w:r>
      <w:r w:rsidR="0001028A">
        <w:rPr>
          <w:b/>
          <w:bCs/>
        </w:rPr>
        <w:t>TRIAL</w:t>
      </w:r>
      <w:r>
        <w:rPr>
          <w:b/>
          <w:bCs/>
        </w:rPr>
        <w:t xml:space="preserve"> OUTCOME EVENTS</w:t>
      </w:r>
      <w:bookmarkEnd w:id="3"/>
    </w:p>
    <w:p w:rsidR="00B42B5B" w:rsidRDefault="00B42B5B">
      <w:pPr>
        <w:spacing w:line="480" w:lineRule="auto"/>
        <w:rPr>
          <w:b/>
          <w:bCs/>
        </w:rPr>
      </w:pPr>
      <w:bookmarkStart w:id="4" w:name="_Toc93132350"/>
      <w:r>
        <w:rPr>
          <w:b/>
          <w:bCs/>
        </w:rPr>
        <w:t>Primary Efficacy Outcome</w:t>
      </w:r>
      <w:bookmarkEnd w:id="4"/>
      <w:r w:rsidR="0001028A">
        <w:rPr>
          <w:b/>
          <w:bCs/>
        </w:rPr>
        <w:t xml:space="preserve"> for Clonidine and ASA</w:t>
      </w:r>
    </w:p>
    <w:p w:rsidR="00B42B5B" w:rsidRDefault="00B42B5B">
      <w:pPr>
        <w:spacing w:line="480" w:lineRule="auto"/>
      </w:pPr>
      <w:r>
        <w:t xml:space="preserve">1. The primary efficacy outcome </w:t>
      </w:r>
      <w:r w:rsidR="000C4CDC">
        <w:t xml:space="preserve">for clonidine and ASA </w:t>
      </w:r>
      <w:r>
        <w:t>is the first occurrence of any component of the following composite up to</w:t>
      </w:r>
      <w:r>
        <w:rPr>
          <w:color w:val="FF0000"/>
        </w:rPr>
        <w:t xml:space="preserve"> </w:t>
      </w:r>
      <w:r w:rsidR="00A6170C" w:rsidRPr="00AE6D6B">
        <w:rPr>
          <w:color w:val="000000"/>
        </w:rPr>
        <w:t>1 year</w:t>
      </w:r>
      <w:r>
        <w:t xml:space="preserve"> after randomization: </w:t>
      </w:r>
      <w:r w:rsidR="0001028A">
        <w:t>mortality or nonfatal MI</w:t>
      </w:r>
      <w:r>
        <w:t xml:space="preserve">. </w:t>
      </w:r>
    </w:p>
    <w:p w:rsidR="00B42B5B" w:rsidRDefault="00B42B5B">
      <w:pPr>
        <w:spacing w:line="480" w:lineRule="auto"/>
      </w:pPr>
      <w:bookmarkStart w:id="5" w:name="_Toc93132351"/>
    </w:p>
    <w:p w:rsidR="00B42B5B" w:rsidRDefault="00B42B5B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Secondary Efficacy Outcomes</w:t>
      </w:r>
      <w:bookmarkEnd w:id="5"/>
    </w:p>
    <w:p w:rsidR="0001028A" w:rsidRDefault="0001028A" w:rsidP="0001028A">
      <w:pPr>
        <w:spacing w:line="480" w:lineRule="auto"/>
      </w:pPr>
      <w:r>
        <w:t>1. A secondary efficacy outcome for clonidine and ASA is the first occurrence of any component of the following composite up to</w:t>
      </w:r>
      <w:r>
        <w:rPr>
          <w:color w:val="FF0000"/>
        </w:rPr>
        <w:t xml:space="preserve"> </w:t>
      </w:r>
      <w:r w:rsidR="00A6170C" w:rsidRPr="00AE6D6B">
        <w:rPr>
          <w:color w:val="000000"/>
        </w:rPr>
        <w:t>1 year</w:t>
      </w:r>
      <w:r>
        <w:t xml:space="preserve"> after randomization: </w:t>
      </w:r>
      <w:r w:rsidR="00B952AE">
        <w:t xml:space="preserve">mortality, </w:t>
      </w:r>
      <w:r w:rsidR="00B952AE" w:rsidRPr="00AF7F5B">
        <w:t xml:space="preserve">nonfatal </w:t>
      </w:r>
      <w:r w:rsidR="00B952AE">
        <w:t>MI, or nonfatal stroke</w:t>
      </w:r>
      <w:r>
        <w:t xml:space="preserve">. </w:t>
      </w:r>
    </w:p>
    <w:p w:rsidR="0001028A" w:rsidRDefault="0001028A">
      <w:pPr>
        <w:spacing w:line="480" w:lineRule="auto"/>
        <w:rPr>
          <w:b/>
          <w:bCs/>
        </w:rPr>
      </w:pPr>
    </w:p>
    <w:p w:rsidR="00256AF2" w:rsidRDefault="00B952AE">
      <w:pPr>
        <w:spacing w:line="480" w:lineRule="auto"/>
        <w:rPr>
          <w:bCs/>
        </w:rPr>
      </w:pPr>
      <w:r w:rsidRPr="00B952AE">
        <w:rPr>
          <w:bCs/>
        </w:rPr>
        <w:t xml:space="preserve">2. </w:t>
      </w:r>
      <w:r w:rsidR="000C4CDC">
        <w:rPr>
          <w:bCs/>
        </w:rPr>
        <w:t>A s</w:t>
      </w:r>
      <w:r w:rsidR="00256AF2">
        <w:rPr>
          <w:bCs/>
        </w:rPr>
        <w:t xml:space="preserve">econdary efficacy outcome for clonidine and ASA is the following composite outcome </w:t>
      </w:r>
      <w:r w:rsidR="000C4CDC">
        <w:rPr>
          <w:bCs/>
        </w:rPr>
        <w:t xml:space="preserve">up to </w:t>
      </w:r>
      <w:r w:rsidR="00256AF2">
        <w:rPr>
          <w:bCs/>
        </w:rPr>
        <w:t xml:space="preserve">1 year after randomization: </w:t>
      </w:r>
      <w:r w:rsidR="00256AF2" w:rsidRPr="00862902">
        <w:rPr>
          <w:color w:val="000000"/>
        </w:rPr>
        <w:t>new diagnosis of cancer and diagnosis of recurrent cancer.</w:t>
      </w:r>
      <w:r w:rsidR="00256AF2">
        <w:rPr>
          <w:sz w:val="23"/>
          <w:szCs w:val="23"/>
        </w:rPr>
        <w:t xml:space="preserve"> </w:t>
      </w:r>
      <w:r w:rsidR="00256AF2" w:rsidRPr="00AF7F5B">
        <w:t xml:space="preserve">  </w:t>
      </w:r>
    </w:p>
    <w:p w:rsidR="00256AF2" w:rsidRDefault="00256AF2">
      <w:pPr>
        <w:spacing w:line="480" w:lineRule="auto"/>
        <w:rPr>
          <w:bCs/>
        </w:rPr>
      </w:pPr>
    </w:p>
    <w:p w:rsidR="00256AF2" w:rsidRDefault="00256AF2">
      <w:pPr>
        <w:spacing w:line="480" w:lineRule="auto"/>
        <w:rPr>
          <w:bCs/>
        </w:rPr>
      </w:pPr>
      <w:r>
        <w:rPr>
          <w:bCs/>
        </w:rPr>
        <w:t xml:space="preserve">3. </w:t>
      </w:r>
      <w:r w:rsidR="000C4CDC">
        <w:rPr>
          <w:bCs/>
        </w:rPr>
        <w:t>A s</w:t>
      </w:r>
      <w:r w:rsidR="00B952AE">
        <w:rPr>
          <w:bCs/>
        </w:rPr>
        <w:t>econdary efficacy outcome</w:t>
      </w:r>
      <w:r>
        <w:rPr>
          <w:bCs/>
        </w:rPr>
        <w:t xml:space="preserve"> for clonidine and </w:t>
      </w:r>
      <w:r w:rsidR="00B21FFB">
        <w:rPr>
          <w:bCs/>
        </w:rPr>
        <w:t xml:space="preserve">ASA </w:t>
      </w:r>
      <w:r w:rsidR="0017105F">
        <w:rPr>
          <w:bCs/>
        </w:rPr>
        <w:t xml:space="preserve">is </w:t>
      </w:r>
      <w:r>
        <w:rPr>
          <w:bCs/>
        </w:rPr>
        <w:t>each of the following individual outcomes</w:t>
      </w:r>
      <w:r w:rsidR="000C4CDC">
        <w:rPr>
          <w:bCs/>
        </w:rPr>
        <w:t xml:space="preserve"> up to 1 year after randomization</w:t>
      </w:r>
      <w:r>
        <w:rPr>
          <w:bCs/>
        </w:rPr>
        <w:t xml:space="preserve">: </w:t>
      </w:r>
      <w:r w:rsidRPr="00862902">
        <w:rPr>
          <w:color w:val="000000"/>
        </w:rPr>
        <w:t>chronic incisional pain, new diagnosis of cancer, and diagnosis of recurrent cancer</w:t>
      </w:r>
      <w:r>
        <w:rPr>
          <w:color w:val="000000"/>
        </w:rPr>
        <w:t>.</w:t>
      </w:r>
    </w:p>
    <w:p w:rsidR="0001028A" w:rsidRDefault="0001028A">
      <w:pPr>
        <w:spacing w:line="480" w:lineRule="auto"/>
        <w:rPr>
          <w:b/>
          <w:bCs/>
        </w:rPr>
      </w:pPr>
    </w:p>
    <w:p w:rsidR="0077075A" w:rsidRDefault="0077075A">
      <w:pPr>
        <w:spacing w:line="480" w:lineRule="auto"/>
      </w:pPr>
      <w:r w:rsidRPr="0077075A">
        <w:rPr>
          <w:bCs/>
        </w:rPr>
        <w:t xml:space="preserve">4. </w:t>
      </w:r>
      <w:r>
        <w:rPr>
          <w:bCs/>
        </w:rPr>
        <w:t xml:space="preserve">A secondary efficacy outcome among all the ASA patients </w:t>
      </w:r>
      <w:r w:rsidR="0017105F">
        <w:rPr>
          <w:bCs/>
        </w:rPr>
        <w:t>(</w:t>
      </w:r>
      <w:r>
        <w:rPr>
          <w:bCs/>
        </w:rPr>
        <w:t xml:space="preserve">and whether the effects differ in </w:t>
      </w:r>
      <w:r>
        <w:t>each of the two ASA strata on the outcome</w:t>
      </w:r>
      <w:r w:rsidR="0017105F">
        <w:t>)</w:t>
      </w:r>
      <w:r>
        <w:t xml:space="preserve"> </w:t>
      </w:r>
      <w:r w:rsidR="0017105F">
        <w:t xml:space="preserve">is </w:t>
      </w:r>
      <w:r>
        <w:t xml:space="preserve">the first occurrence of any component of the following composite up </w:t>
      </w:r>
      <w:r w:rsidRPr="00AE6D6B">
        <w:rPr>
          <w:color w:val="000000"/>
        </w:rPr>
        <w:t>to 1 year</w:t>
      </w:r>
      <w:r>
        <w:t xml:space="preserve"> after randomization: mortality, nonfatal MI, cardiac </w:t>
      </w:r>
      <w:r w:rsidRPr="00AF7F5B">
        <w:t xml:space="preserve">revascularization procedure, nonfatal pulmonary emboli, </w:t>
      </w:r>
      <w:r>
        <w:t>or</w:t>
      </w:r>
      <w:r w:rsidRPr="00AF7F5B">
        <w:t xml:space="preserve"> nonfatal deep venous thrombosis.  </w:t>
      </w:r>
    </w:p>
    <w:p w:rsidR="0077075A" w:rsidRPr="0077075A" w:rsidRDefault="0077075A">
      <w:pPr>
        <w:spacing w:line="480" w:lineRule="auto"/>
        <w:rPr>
          <w:bCs/>
        </w:rPr>
      </w:pPr>
    </w:p>
    <w:p w:rsidR="00B952AE" w:rsidRDefault="00B952AE">
      <w:pPr>
        <w:spacing w:line="480" w:lineRule="auto"/>
        <w:rPr>
          <w:b/>
          <w:bCs/>
        </w:rPr>
      </w:pPr>
      <w:r>
        <w:rPr>
          <w:b/>
          <w:bCs/>
        </w:rPr>
        <w:t xml:space="preserve">Tertiary Efficacy Outcomes </w:t>
      </w:r>
      <w:r w:rsidR="00B21FFB">
        <w:rPr>
          <w:b/>
          <w:bCs/>
        </w:rPr>
        <w:t>up to</w:t>
      </w:r>
      <w:r w:rsidR="004D081B">
        <w:rPr>
          <w:b/>
          <w:bCs/>
        </w:rPr>
        <w:t xml:space="preserve"> </w:t>
      </w:r>
      <w:r w:rsidR="00787CA7">
        <w:rPr>
          <w:b/>
          <w:bCs/>
        </w:rPr>
        <w:t>1 year</w:t>
      </w:r>
      <w:r w:rsidR="004D081B">
        <w:rPr>
          <w:b/>
          <w:bCs/>
        </w:rPr>
        <w:t xml:space="preserve"> after Randomization </w:t>
      </w:r>
      <w:r>
        <w:rPr>
          <w:b/>
          <w:bCs/>
        </w:rPr>
        <w:t>for Clonidine and ASA</w:t>
      </w:r>
    </w:p>
    <w:p w:rsidR="00B952AE" w:rsidRDefault="00B42B5B">
      <w:pPr>
        <w:spacing w:line="480" w:lineRule="auto"/>
      </w:pPr>
      <w:r>
        <w:t xml:space="preserve">1. </w:t>
      </w:r>
      <w:r w:rsidR="00470DCA">
        <w:t>M</w:t>
      </w:r>
      <w:r w:rsidR="00B952AE">
        <w:t>ortality</w:t>
      </w:r>
    </w:p>
    <w:p w:rsidR="00B952AE" w:rsidRDefault="00B952AE">
      <w:pPr>
        <w:spacing w:line="480" w:lineRule="auto"/>
      </w:pPr>
      <w:r>
        <w:t>2. Vascular mortality</w:t>
      </w:r>
    </w:p>
    <w:p w:rsidR="00B952AE" w:rsidRDefault="00B952AE">
      <w:pPr>
        <w:spacing w:line="480" w:lineRule="auto"/>
      </w:pPr>
      <w:r>
        <w:lastRenderedPageBreak/>
        <w:t>3. MI</w:t>
      </w:r>
    </w:p>
    <w:p w:rsidR="00B952AE" w:rsidRDefault="00B952AE">
      <w:pPr>
        <w:spacing w:line="480" w:lineRule="auto"/>
      </w:pPr>
      <w:r>
        <w:t>4. Nonfatal cardiac arrest</w:t>
      </w:r>
    </w:p>
    <w:p w:rsidR="00B952AE" w:rsidRDefault="00B952AE">
      <w:pPr>
        <w:spacing w:line="480" w:lineRule="auto"/>
      </w:pPr>
      <w:r>
        <w:t>5. Cardiac revascularization procedure</w:t>
      </w:r>
    </w:p>
    <w:p w:rsidR="00B952AE" w:rsidRDefault="00B952AE">
      <w:pPr>
        <w:spacing w:line="480" w:lineRule="auto"/>
      </w:pPr>
      <w:r>
        <w:t>6. P</w:t>
      </w:r>
      <w:r w:rsidRPr="00AF7F5B">
        <w:t>ulmonary emboli</w:t>
      </w:r>
      <w:r w:rsidR="009F3D5D">
        <w:t>sm</w:t>
      </w:r>
    </w:p>
    <w:p w:rsidR="00B952AE" w:rsidRDefault="00B952AE">
      <w:pPr>
        <w:spacing w:line="480" w:lineRule="auto"/>
      </w:pPr>
      <w:r>
        <w:t>7. D</w:t>
      </w:r>
      <w:r w:rsidRPr="00AF7F5B">
        <w:t>eep venous thrombosis</w:t>
      </w:r>
    </w:p>
    <w:p w:rsidR="00B952AE" w:rsidRDefault="00B952AE">
      <w:pPr>
        <w:spacing w:line="480" w:lineRule="auto"/>
      </w:pPr>
      <w:r>
        <w:t xml:space="preserve">8. </w:t>
      </w:r>
      <w:r w:rsidR="00047DD2">
        <w:t>New c</w:t>
      </w:r>
      <w:r>
        <w:t>linically important atrial fibrillation</w:t>
      </w:r>
    </w:p>
    <w:p w:rsidR="00B952AE" w:rsidRDefault="00B952AE">
      <w:pPr>
        <w:spacing w:line="480" w:lineRule="auto"/>
      </w:pPr>
      <w:r>
        <w:t>9. Amputation</w:t>
      </w:r>
    </w:p>
    <w:p w:rsidR="00B952AE" w:rsidRDefault="00B952AE">
      <w:pPr>
        <w:spacing w:line="480" w:lineRule="auto"/>
      </w:pPr>
      <w:r>
        <w:t>10. Peripheral arterial thrombosis</w:t>
      </w:r>
    </w:p>
    <w:p w:rsidR="004D081B" w:rsidRDefault="00B952AE">
      <w:pPr>
        <w:spacing w:line="480" w:lineRule="auto"/>
      </w:pPr>
      <w:r>
        <w:t xml:space="preserve">11. </w:t>
      </w:r>
      <w:r w:rsidR="004D081B">
        <w:t>R</w:t>
      </w:r>
      <w:r>
        <w:t>ehospitalization for vascular reasons</w:t>
      </w:r>
    </w:p>
    <w:p w:rsidR="00256AF2" w:rsidRDefault="004D081B">
      <w:pPr>
        <w:spacing w:line="480" w:lineRule="auto"/>
      </w:pPr>
      <w:r>
        <w:t>1</w:t>
      </w:r>
      <w:r w:rsidR="00256AF2">
        <w:t>2</w:t>
      </w:r>
      <w:r>
        <w:t xml:space="preserve">. </w:t>
      </w:r>
      <w:r w:rsidR="00256AF2">
        <w:t>Congestive heart failure</w:t>
      </w:r>
    </w:p>
    <w:p w:rsidR="00B952AE" w:rsidRDefault="00256AF2">
      <w:pPr>
        <w:spacing w:line="480" w:lineRule="auto"/>
      </w:pPr>
      <w:r>
        <w:t xml:space="preserve">13. </w:t>
      </w:r>
      <w:r w:rsidR="004D081B">
        <w:t>N</w:t>
      </w:r>
      <w:r w:rsidR="00B952AE">
        <w:t>ew acute renal failure requiring dialysis</w:t>
      </w:r>
    </w:p>
    <w:p w:rsidR="004267FC" w:rsidRDefault="004267FC" w:rsidP="004D081B">
      <w:pPr>
        <w:spacing w:line="480" w:lineRule="auto"/>
      </w:pPr>
      <w:bookmarkStart w:id="6" w:name="_GoBack"/>
      <w:bookmarkEnd w:id="6"/>
    </w:p>
    <w:p w:rsidR="00B42B5B" w:rsidRDefault="00B42B5B">
      <w:pPr>
        <w:spacing w:line="480" w:lineRule="auto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STATISTICAL AND ANALYTICAL METHODS</w:t>
      </w:r>
      <w:bookmarkEnd w:id="0"/>
      <w:r>
        <w:rPr>
          <w:b/>
          <w:bCs/>
        </w:rPr>
        <w:fldChar w:fldCharType="begin"/>
      </w:r>
      <w:r>
        <w:rPr>
          <w:b/>
          <w:bCs/>
        </w:rPr>
        <w:fldChar w:fldCharType="end"/>
      </w:r>
    </w:p>
    <w:p w:rsidR="00B42B5B" w:rsidRDefault="00B42B5B">
      <w:pPr>
        <w:spacing w:line="480" w:lineRule="auto"/>
        <w:rPr>
          <w:b/>
          <w:bCs/>
        </w:rPr>
      </w:pPr>
      <w:bookmarkStart w:id="7" w:name="_Toc93132377"/>
      <w:r>
        <w:rPr>
          <w:b/>
          <w:bCs/>
        </w:rPr>
        <w:t>Analysis population</w:t>
      </w:r>
      <w:bookmarkEnd w:id="7"/>
    </w:p>
    <w:p w:rsidR="00B42B5B" w:rsidRDefault="00B42B5B" w:rsidP="00470DCA">
      <w:pPr>
        <w:spacing w:line="480" w:lineRule="auto"/>
        <w:ind w:firstLine="720"/>
      </w:pPr>
      <w:r>
        <w:t>All efficacy</w:t>
      </w:r>
      <w:r w:rsidR="008079AE">
        <w:t xml:space="preserve"> </w:t>
      </w:r>
      <w:r>
        <w:t>analyses will include all randomized patients</w:t>
      </w:r>
      <w:r w:rsidR="000F28AF">
        <w:t xml:space="preserve">.  </w:t>
      </w:r>
      <w:r>
        <w:t xml:space="preserve">We will analyze patients in the treatment group to which they were originally allocated.  There is no intention to define a per protocol population.  We will </w:t>
      </w:r>
      <w:r w:rsidR="0024014E">
        <w:t>include all</w:t>
      </w:r>
      <w:r>
        <w:t xml:space="preserve"> events that centres have reported and the adjudication committee has not refuted.</w:t>
      </w:r>
      <w:r w:rsidR="007E08F6">
        <w:t xml:space="preserve"> </w:t>
      </w:r>
    </w:p>
    <w:p w:rsidR="00B42B5B" w:rsidRDefault="00B42B5B">
      <w:pPr>
        <w:spacing w:line="480" w:lineRule="auto"/>
      </w:pPr>
    </w:p>
    <w:p w:rsidR="00B42B5B" w:rsidRDefault="00B42B5B">
      <w:pPr>
        <w:spacing w:line="480" w:lineRule="auto"/>
        <w:rPr>
          <w:b/>
          <w:bCs/>
        </w:rPr>
      </w:pPr>
      <w:r w:rsidRPr="00470DCA">
        <w:rPr>
          <w:b/>
          <w:bCs/>
        </w:rPr>
        <w:fldChar w:fldCharType="begin"/>
      </w:r>
      <w:r w:rsidRPr="00470DCA">
        <w:rPr>
          <w:b/>
          <w:bCs/>
        </w:rPr>
        <w:fldChar w:fldCharType="end"/>
      </w:r>
      <w:bookmarkStart w:id="8" w:name="_Toc93132378"/>
      <w:r w:rsidRPr="00470DCA">
        <w:rPr>
          <w:b/>
          <w:bCs/>
        </w:rPr>
        <w:t>Efficacy analysis</w:t>
      </w:r>
      <w:bookmarkEnd w:id="8"/>
    </w:p>
    <w:p w:rsidR="00B42B5B" w:rsidRDefault="00B42B5B">
      <w:pPr>
        <w:spacing w:line="480" w:lineRule="auto"/>
        <w:rPr>
          <w:b/>
          <w:bCs/>
        </w:rPr>
      </w:pPr>
      <w:bookmarkStart w:id="9" w:name="_Toc93132379"/>
      <w:r>
        <w:rPr>
          <w:b/>
          <w:bCs/>
        </w:rPr>
        <w:t>Primary efficacy analys</w:t>
      </w:r>
      <w:r w:rsidR="00470DCA">
        <w:rPr>
          <w:b/>
          <w:bCs/>
        </w:rPr>
        <w:t>e</w:t>
      </w:r>
      <w:r>
        <w:rPr>
          <w:b/>
          <w:bCs/>
        </w:rPr>
        <w:t xml:space="preserve">s </w:t>
      </w:r>
      <w:bookmarkEnd w:id="9"/>
    </w:p>
    <w:p w:rsidR="007E08F6" w:rsidRDefault="00B42B5B" w:rsidP="00470DCA">
      <w:pPr>
        <w:spacing w:line="480" w:lineRule="auto"/>
        <w:ind w:firstLine="720"/>
      </w:pPr>
      <w:r>
        <w:t>The primary efficacy variable is the first occurrence of mortality</w:t>
      </w:r>
      <w:r w:rsidR="00470DCA">
        <w:t xml:space="preserve"> or</w:t>
      </w:r>
      <w:r>
        <w:t xml:space="preserve"> nonfatal myocardial infarction</w:t>
      </w:r>
      <w:r w:rsidR="007E08F6">
        <w:t xml:space="preserve"> up to</w:t>
      </w:r>
      <w:r>
        <w:t xml:space="preserve"> </w:t>
      </w:r>
      <w:r w:rsidR="00EE4969">
        <w:t>1 year</w:t>
      </w:r>
      <w:r>
        <w:t xml:space="preserve"> after randomization.  </w:t>
      </w:r>
      <w:r w:rsidR="007E08F6" w:rsidRPr="00B22A17">
        <w:t xml:space="preserve">We will compare patients </w:t>
      </w:r>
      <w:r w:rsidR="007E08F6" w:rsidRPr="00B22A17">
        <w:lastRenderedPageBreak/>
        <w:t>allocated to clonidine with patients allocated to clonidine placebo, and we will compare patients allocated to ASA with patients allocated to ASA placebo.</w:t>
      </w:r>
      <w:r w:rsidR="007E08F6">
        <w:t xml:space="preserve">  </w:t>
      </w:r>
      <w:r>
        <w:t xml:space="preserve">Patients lost to follow-up before </w:t>
      </w:r>
      <w:r w:rsidR="00EE4969">
        <w:t>1 year</w:t>
      </w:r>
      <w:r>
        <w:t xml:space="preserve"> </w:t>
      </w:r>
      <w:r w:rsidR="007E08F6">
        <w:t xml:space="preserve">after randomization </w:t>
      </w:r>
      <w:r>
        <w:t xml:space="preserve">with no primary outcome event reported will be censored at the last day the patient had a complete evaluation of the primary efficacy variable.  </w:t>
      </w:r>
    </w:p>
    <w:p w:rsidR="00B42B5B" w:rsidRDefault="00B42B5B" w:rsidP="00801815">
      <w:pPr>
        <w:spacing w:line="480" w:lineRule="auto"/>
        <w:ind w:firstLine="720"/>
      </w:pPr>
      <w:r>
        <w:t xml:space="preserve">The primary efficacy variable will be analyzed using a stratified </w:t>
      </w:r>
      <w:r w:rsidR="000F28AF">
        <w:t>(</w:t>
      </w:r>
      <w:r w:rsidR="002B3AAD">
        <w:t>by the opposite component of the factorial design and ASA starting/continuing strata</w:t>
      </w:r>
      <w:r w:rsidR="000F28AF">
        <w:t xml:space="preserve">) </w:t>
      </w:r>
      <w:r>
        <w:t>Cox proportional hazards model.</w:t>
      </w:r>
      <w:r w:rsidR="00801815">
        <w:t xml:space="preserve">  </w:t>
      </w:r>
      <w:r w:rsidR="00CB3AE7">
        <w:t xml:space="preserve">All follow up will be censored at </w:t>
      </w:r>
      <w:r w:rsidR="00EE4969">
        <w:t>1 year</w:t>
      </w:r>
      <w:r w:rsidR="00CB3AE7">
        <w:t xml:space="preserve"> or their outcome day, whichever occurs first. </w:t>
      </w:r>
      <w:r w:rsidR="00AD5673">
        <w:t xml:space="preserve"> </w:t>
      </w:r>
      <w:r>
        <w:t xml:space="preserve">We will address the </w:t>
      </w:r>
      <w:r w:rsidR="00801815">
        <w:t xml:space="preserve">clonidine </w:t>
      </w:r>
      <w:r>
        <w:t>objective of superiority through the following hypotheses:</w:t>
      </w:r>
    </w:p>
    <w:p w:rsidR="00B42B5B" w:rsidRDefault="00B42B5B">
      <w:pPr>
        <w:spacing w:line="480" w:lineRule="auto"/>
        <w:rPr>
          <w:b/>
        </w:rPr>
      </w:pPr>
      <w:r>
        <w:rPr>
          <w:b/>
        </w:rPr>
        <w:t>H</w:t>
      </w:r>
      <w:r>
        <w:rPr>
          <w:b/>
          <w:vertAlign w:val="subscript"/>
        </w:rPr>
        <w:t>0</w:t>
      </w:r>
      <w:r>
        <w:rPr>
          <w:b/>
        </w:rPr>
        <w:t xml:space="preserve">: Hazard ratio of </w:t>
      </w:r>
      <w:r w:rsidR="007E08F6">
        <w:rPr>
          <w:b/>
        </w:rPr>
        <w:t>clonidine</w:t>
      </w:r>
      <w:r>
        <w:rPr>
          <w:b/>
        </w:rPr>
        <w:t xml:space="preserve"> versus placebo (at </w:t>
      </w:r>
      <w:r w:rsidR="00EE4969">
        <w:rPr>
          <w:b/>
        </w:rPr>
        <w:t>1 year</w:t>
      </w:r>
      <w:r>
        <w:rPr>
          <w:b/>
        </w:rPr>
        <w:t xml:space="preserve"> after randomization) = 1</w:t>
      </w:r>
    </w:p>
    <w:p w:rsidR="00B42B5B" w:rsidRDefault="00B42B5B">
      <w:pPr>
        <w:spacing w:line="480" w:lineRule="auto"/>
        <w:rPr>
          <w:b/>
        </w:rPr>
      </w:pPr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 xml:space="preserve">: Hazard ratio of </w:t>
      </w:r>
      <w:r w:rsidR="007E08F6">
        <w:rPr>
          <w:b/>
        </w:rPr>
        <w:t>clonidine</w:t>
      </w:r>
      <w:r>
        <w:rPr>
          <w:b/>
        </w:rPr>
        <w:t xml:space="preserve"> versus placebo (at </w:t>
      </w:r>
      <w:r w:rsidR="00EE4969">
        <w:rPr>
          <w:b/>
        </w:rPr>
        <w:t>1 year</w:t>
      </w:r>
      <w:r>
        <w:rPr>
          <w:b/>
        </w:rPr>
        <w:t xml:space="preserve"> after randomization) ≠ 1</w:t>
      </w:r>
    </w:p>
    <w:p w:rsidR="00B42B5B" w:rsidRDefault="00B42B5B">
      <w:pPr>
        <w:spacing w:line="480" w:lineRule="auto"/>
      </w:pPr>
      <w:r>
        <w:t xml:space="preserve">We will consider </w:t>
      </w:r>
      <w:r w:rsidR="00801815">
        <w:t>clonidine</w:t>
      </w:r>
      <w:r>
        <w:t xml:space="preserve"> superior to placebo if the upper limit of the two-sided 95% confidence interval of the hazard ratio </w:t>
      </w:r>
      <w:r w:rsidR="006B7B1C">
        <w:t>remains below</w:t>
      </w:r>
      <w:r>
        <w:t xml:space="preserve"> 1. </w:t>
      </w:r>
    </w:p>
    <w:p w:rsidR="00801815" w:rsidRDefault="00801815" w:rsidP="00801815">
      <w:pPr>
        <w:spacing w:line="480" w:lineRule="auto"/>
        <w:ind w:firstLine="720"/>
      </w:pPr>
      <w:r>
        <w:t>We will address the ASA objective of superiority through the following hypotheses:</w:t>
      </w:r>
    </w:p>
    <w:p w:rsidR="00801815" w:rsidRDefault="00801815" w:rsidP="00801815">
      <w:pPr>
        <w:spacing w:line="480" w:lineRule="auto"/>
        <w:rPr>
          <w:b/>
        </w:rPr>
      </w:pPr>
      <w:r>
        <w:rPr>
          <w:b/>
        </w:rPr>
        <w:t>H</w:t>
      </w:r>
      <w:r>
        <w:rPr>
          <w:b/>
          <w:vertAlign w:val="subscript"/>
        </w:rPr>
        <w:t>0</w:t>
      </w:r>
      <w:r>
        <w:rPr>
          <w:b/>
        </w:rPr>
        <w:t xml:space="preserve">: Hazard ratio of ASA versus placebo (at </w:t>
      </w:r>
      <w:r w:rsidR="00EE4969">
        <w:rPr>
          <w:b/>
        </w:rPr>
        <w:t>1 year</w:t>
      </w:r>
      <w:r>
        <w:rPr>
          <w:b/>
        </w:rPr>
        <w:t xml:space="preserve"> after randomization) = 1</w:t>
      </w:r>
    </w:p>
    <w:p w:rsidR="00801815" w:rsidRDefault="00801815" w:rsidP="00801815">
      <w:pPr>
        <w:spacing w:line="480" w:lineRule="auto"/>
        <w:rPr>
          <w:b/>
        </w:rPr>
      </w:pPr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 xml:space="preserve">: Hazard ratio of ASA versus placebo (at </w:t>
      </w:r>
      <w:r w:rsidR="00EE4969">
        <w:rPr>
          <w:b/>
        </w:rPr>
        <w:t>1 year</w:t>
      </w:r>
      <w:r>
        <w:rPr>
          <w:b/>
        </w:rPr>
        <w:t xml:space="preserve"> after randomization) ≠ 1</w:t>
      </w:r>
    </w:p>
    <w:p w:rsidR="00801815" w:rsidRDefault="00801815" w:rsidP="00801815">
      <w:pPr>
        <w:spacing w:line="480" w:lineRule="auto"/>
      </w:pPr>
      <w:r>
        <w:t xml:space="preserve">We will consider ASA superior to placebo if the upper limit of the two-sided 95% confidence interval of the hazard ratio </w:t>
      </w:r>
      <w:r w:rsidR="006B7B1C">
        <w:t>remains below</w:t>
      </w:r>
      <w:r>
        <w:t xml:space="preserve"> 1. </w:t>
      </w:r>
    </w:p>
    <w:p w:rsidR="00B42B5B" w:rsidRDefault="00B42B5B" w:rsidP="00801815">
      <w:pPr>
        <w:spacing w:line="480" w:lineRule="auto"/>
        <w:ind w:firstLine="720"/>
      </w:pPr>
      <w:r>
        <w:t xml:space="preserve">Estimates of the hazard ratios and two-sided 95% confidence intervals will be calculated using the Cox proportional hazards model.  If the validity of the proportional </w:t>
      </w:r>
      <w:proofErr w:type="gramStart"/>
      <w:r>
        <w:t>hazards</w:t>
      </w:r>
      <w:proofErr w:type="gramEnd"/>
      <w:r>
        <w:t xml:space="preserve"> assumption is not acceptable, we will compare the </w:t>
      </w:r>
      <w:r w:rsidR="000F28AF">
        <w:t>proportion</w:t>
      </w:r>
      <w:r>
        <w:t xml:space="preserve"> of patients with a </w:t>
      </w:r>
      <w:r>
        <w:lastRenderedPageBreak/>
        <w:t xml:space="preserve">primary outcome at </w:t>
      </w:r>
      <w:r w:rsidR="00EE4969">
        <w:t>1 year</w:t>
      </w:r>
      <w:r>
        <w:t xml:space="preserve"> after randomization between the two treatment groups, controlling for </w:t>
      </w:r>
      <w:r w:rsidR="00A75802">
        <w:t xml:space="preserve">the same </w:t>
      </w:r>
      <w:r>
        <w:t>stratification</w:t>
      </w:r>
      <w:r w:rsidR="00B21FFB">
        <w:t xml:space="preserve"> </w:t>
      </w:r>
      <w:r w:rsidR="00A75802">
        <w:t>factors</w:t>
      </w:r>
      <w:r>
        <w:t>.</w:t>
      </w:r>
      <w:r w:rsidR="00801815">
        <w:t xml:space="preserve">  </w:t>
      </w:r>
      <w:r>
        <w:t xml:space="preserve">We will also summarize the primary outcome event with Kaplan-Meier curves by treatment group.  </w:t>
      </w:r>
    </w:p>
    <w:p w:rsidR="00B42B5B" w:rsidRDefault="00B42B5B">
      <w:pPr>
        <w:spacing w:line="480" w:lineRule="auto"/>
      </w:pPr>
    </w:p>
    <w:p w:rsidR="00B42B5B" w:rsidRDefault="00B42B5B">
      <w:pPr>
        <w:spacing w:line="480" w:lineRule="auto"/>
        <w:rPr>
          <w:b/>
          <w:bCs/>
        </w:rPr>
      </w:pPr>
      <w:bookmarkStart w:id="10" w:name="_Toc93132380"/>
      <w:r w:rsidRPr="0009414B">
        <w:rPr>
          <w:b/>
          <w:bCs/>
        </w:rPr>
        <w:t>Primary subgroup</w:t>
      </w:r>
      <w:r>
        <w:rPr>
          <w:b/>
          <w:bCs/>
        </w:rPr>
        <w:t xml:space="preserve"> analys</w:t>
      </w:r>
      <w:r w:rsidR="00801815">
        <w:rPr>
          <w:b/>
          <w:bCs/>
        </w:rPr>
        <w:t>e</w:t>
      </w:r>
      <w:r>
        <w:rPr>
          <w:b/>
          <w:bCs/>
        </w:rPr>
        <w:t>s on the primary efficacy parameter</w:t>
      </w:r>
    </w:p>
    <w:p w:rsidR="006E5346" w:rsidRDefault="00801815" w:rsidP="006E5346">
      <w:pPr>
        <w:spacing w:line="480" w:lineRule="auto"/>
        <w:ind w:firstLine="720"/>
      </w:pPr>
      <w:r w:rsidRPr="00B22A17">
        <w:t xml:space="preserve">Cox proportional hazards models assessing the primary outcome will provide the basis for evaluating the </w:t>
      </w:r>
      <w:r w:rsidR="006E5346">
        <w:t xml:space="preserve">following </w:t>
      </w:r>
      <w:r w:rsidRPr="00B22A17">
        <w:t>clonidine subgroup analyses</w:t>
      </w:r>
      <w:r w:rsidR="00913BCC">
        <w:t>: 1.</w:t>
      </w:r>
      <w:r w:rsidRPr="00B22A17">
        <w:t>neuraxial blockade</w:t>
      </w:r>
      <w:r>
        <w:t xml:space="preserve"> versus no neuraxial blockade</w:t>
      </w:r>
      <w:r w:rsidR="00913BCC">
        <w:t xml:space="preserve"> (</w:t>
      </w:r>
      <w:r w:rsidR="006E5346">
        <w:t xml:space="preserve">i.e., </w:t>
      </w:r>
      <w:r w:rsidR="00913BCC">
        <w:t>we expect clonidine to have a greater beneficial effect in patients who did not receive neuraxial blockade compared to patients who did receive neuraxial blockade); 2.</w:t>
      </w:r>
      <w:r w:rsidRPr="00B22A17">
        <w:t xml:space="preserve"> vascular surgery</w:t>
      </w:r>
      <w:r>
        <w:t xml:space="preserve"> versus no vascular surgery</w:t>
      </w:r>
      <w:r w:rsidR="00913BCC">
        <w:t xml:space="preserve"> (</w:t>
      </w:r>
      <w:r w:rsidR="006E5346">
        <w:t xml:space="preserve">i.e., </w:t>
      </w:r>
      <w:r w:rsidR="00913BCC">
        <w:t xml:space="preserve">we expect clonidine to have a greater beneficial effect </w:t>
      </w:r>
      <w:r w:rsidR="006E5346">
        <w:t xml:space="preserve">in patients who underwent vascular surgery compared to patients who did not undergo vascular surgery); </w:t>
      </w:r>
      <w:r w:rsidR="009F3D5D">
        <w:t xml:space="preserve">3. </w:t>
      </w:r>
      <w:r w:rsidR="00CD614C">
        <w:t>beta-blocker usage in the 24 hours preceding surgery versus no beta-blocker usage in the 24 hours preceding surgery (we expect clonidine to have a greater beneficial effect in patients who did not receive a beta-blocker in the 24 hours prior to surgery compared to patients who did receive a beta-blocker in the 24 hours before surgery)</w:t>
      </w:r>
      <w:r w:rsidR="009F3D5D">
        <w:t xml:space="preserve"> </w:t>
      </w:r>
      <w:r w:rsidRPr="00B22A17">
        <w:t xml:space="preserve">and </w:t>
      </w:r>
      <w:r w:rsidR="00CD614C">
        <w:t>4</w:t>
      </w:r>
      <w:r w:rsidR="006E5346">
        <w:t xml:space="preserve">. </w:t>
      </w:r>
      <w:r w:rsidRPr="00B22A17">
        <w:t xml:space="preserve">baseline risk according to number of </w:t>
      </w:r>
      <w:r w:rsidR="00CD614C">
        <w:t xml:space="preserve">Revised Cardiac Risk Index (RCRI) </w:t>
      </w:r>
      <w:r w:rsidRPr="00B22A17">
        <w:t>criteria</w:t>
      </w:r>
      <w:r w:rsidR="006E5346">
        <w:t xml:space="preserve"> (i.e., we expect clonidine to have a greater beneficial effect in patients with more </w:t>
      </w:r>
      <w:r w:rsidR="00CD614C">
        <w:t xml:space="preserve">RCRI </w:t>
      </w:r>
      <w:r w:rsidR="006E5346">
        <w:t xml:space="preserve">criteria compared to patients with less </w:t>
      </w:r>
      <w:r w:rsidR="00CD614C">
        <w:t>RCRI</w:t>
      </w:r>
      <w:r w:rsidR="006E5346">
        <w:t xml:space="preserve"> criteria).  </w:t>
      </w:r>
    </w:p>
    <w:p w:rsidR="00DE5081" w:rsidRPr="006E5346" w:rsidRDefault="007F7CC8" w:rsidP="006E5346">
      <w:pPr>
        <w:spacing w:line="480" w:lineRule="auto"/>
        <w:ind w:firstLine="720"/>
      </w:pPr>
      <w:r>
        <w:rPr>
          <w:bCs/>
        </w:rPr>
        <w:t xml:space="preserve">For the subgroup analyses based on the number of </w:t>
      </w:r>
      <w:r w:rsidR="00CD614C">
        <w:rPr>
          <w:bCs/>
        </w:rPr>
        <w:t>RCRI</w:t>
      </w:r>
      <w:r>
        <w:rPr>
          <w:bCs/>
        </w:rPr>
        <w:t xml:space="preserve"> criteria, w</w:t>
      </w:r>
      <w:r w:rsidR="00B42B5B">
        <w:rPr>
          <w:bCs/>
        </w:rPr>
        <w:t xml:space="preserve">e will examine if treatment effect varies </w:t>
      </w:r>
      <w:r w:rsidR="005257B0">
        <w:rPr>
          <w:bCs/>
        </w:rPr>
        <w:t xml:space="preserve">across </w:t>
      </w:r>
      <w:r>
        <w:rPr>
          <w:bCs/>
        </w:rPr>
        <w:t xml:space="preserve">the number of </w:t>
      </w:r>
      <w:r w:rsidR="00CD614C">
        <w:rPr>
          <w:bCs/>
        </w:rPr>
        <w:t>RCRI</w:t>
      </w:r>
      <w:r>
        <w:rPr>
          <w:bCs/>
        </w:rPr>
        <w:t xml:space="preserve"> criteria </w:t>
      </w:r>
      <w:r w:rsidR="00B42B5B">
        <w:rPr>
          <w:bCs/>
        </w:rPr>
        <w:t xml:space="preserve">between the two treatment groups.  </w:t>
      </w:r>
      <w:r w:rsidR="00DE5081">
        <w:rPr>
          <w:bCs/>
        </w:rPr>
        <w:t xml:space="preserve">The </w:t>
      </w:r>
      <w:r w:rsidR="00CD614C">
        <w:rPr>
          <w:bCs/>
        </w:rPr>
        <w:t>RCRI</w:t>
      </w:r>
      <w:r w:rsidR="00DE5081">
        <w:rPr>
          <w:bCs/>
        </w:rPr>
        <w:t xml:space="preserve"> criteria consist of the following </w:t>
      </w:r>
      <w:r w:rsidR="00E52225">
        <w:rPr>
          <w:bCs/>
        </w:rPr>
        <w:t>variables.</w:t>
      </w:r>
    </w:p>
    <w:p w:rsidR="00E52225" w:rsidRDefault="00E52225" w:rsidP="00E52225">
      <w:pPr>
        <w:spacing w:line="480" w:lineRule="auto"/>
      </w:pPr>
      <w:r>
        <w:t xml:space="preserve">1. </w:t>
      </w:r>
      <w:r w:rsidRPr="0024426C">
        <w:t xml:space="preserve">history of coronary artery </w:t>
      </w:r>
      <w:r>
        <w:t>disease</w:t>
      </w:r>
    </w:p>
    <w:p w:rsidR="00E52225" w:rsidRDefault="00E52225" w:rsidP="00E52225">
      <w:pPr>
        <w:spacing w:line="480" w:lineRule="auto"/>
      </w:pPr>
      <w:r>
        <w:lastRenderedPageBreak/>
        <w:t xml:space="preserve">2. </w:t>
      </w:r>
      <w:r w:rsidRPr="0024426C">
        <w:t xml:space="preserve">history of </w:t>
      </w:r>
      <w:r w:rsidR="00F32FAF">
        <w:t>congestive heart failure</w:t>
      </w:r>
    </w:p>
    <w:p w:rsidR="00E52225" w:rsidRDefault="00E52225" w:rsidP="00E52225">
      <w:pPr>
        <w:spacing w:line="480" w:lineRule="auto"/>
      </w:pPr>
      <w:r>
        <w:t xml:space="preserve">3. </w:t>
      </w:r>
      <w:r w:rsidRPr="0024426C">
        <w:t>history of stroke</w:t>
      </w:r>
      <w:r w:rsidR="00F32FAF">
        <w:t xml:space="preserve"> or transient ischemic attack</w:t>
      </w:r>
    </w:p>
    <w:p w:rsidR="00E52225" w:rsidRDefault="00E52225" w:rsidP="00E52225">
      <w:pPr>
        <w:spacing w:line="480" w:lineRule="auto"/>
        <w:rPr>
          <w:color w:val="000000"/>
        </w:rPr>
      </w:pPr>
      <w:r>
        <w:t xml:space="preserve">4. </w:t>
      </w:r>
      <w:r w:rsidR="00F32FAF">
        <w:t xml:space="preserve">diabetes and </w:t>
      </w:r>
      <w:r w:rsidR="00F32FAF" w:rsidRPr="00B704E1">
        <w:t>preoperative treatment with insulin</w:t>
      </w:r>
      <w:r w:rsidR="00F32FAF">
        <w:t xml:space="preserve"> or an oral hypoglycemic agent</w:t>
      </w:r>
      <w:r w:rsidR="00F32FAF" w:rsidRPr="0024426C">
        <w:rPr>
          <w:color w:val="000000"/>
        </w:rPr>
        <w:t xml:space="preserve"> </w:t>
      </w:r>
    </w:p>
    <w:p w:rsidR="00F32FAF" w:rsidRDefault="00E52225" w:rsidP="00E52225">
      <w:pPr>
        <w:spacing w:line="480" w:lineRule="auto"/>
        <w:rPr>
          <w:color w:val="000000"/>
        </w:rPr>
      </w:pPr>
      <w:r>
        <w:rPr>
          <w:color w:val="000000"/>
        </w:rPr>
        <w:t xml:space="preserve">5. </w:t>
      </w:r>
      <w:r w:rsidR="00F32FAF" w:rsidRPr="0024426C">
        <w:t xml:space="preserve">preoperative serum creatinine &gt;175 </w:t>
      </w:r>
      <w:r w:rsidR="00F32FAF" w:rsidRPr="0024426C">
        <w:sym w:font="Symbol" w:char="F06D"/>
      </w:r>
      <w:r w:rsidR="00F32FAF" w:rsidRPr="0024426C">
        <w:t xml:space="preserve">mol/L </w:t>
      </w:r>
      <w:r w:rsidR="00F32FAF">
        <w:t>[</w:t>
      </w:r>
      <w:r w:rsidR="00F32FAF" w:rsidRPr="0024426C">
        <w:t>&gt;2.0 mg/dl</w:t>
      </w:r>
      <w:r w:rsidR="00F32FAF">
        <w:t>]</w:t>
      </w:r>
    </w:p>
    <w:p w:rsidR="00F32FAF" w:rsidRDefault="00F32FAF" w:rsidP="00E52225">
      <w:pPr>
        <w:spacing w:line="480" w:lineRule="auto"/>
      </w:pPr>
      <w:r>
        <w:rPr>
          <w:color w:val="000000"/>
        </w:rPr>
        <w:t xml:space="preserve">6. high-risk surgery </w:t>
      </w:r>
      <w:r>
        <w:t>defined as major vascular, major thoracic, or major general surgery</w:t>
      </w:r>
    </w:p>
    <w:p w:rsidR="00B42B5B" w:rsidRDefault="00B42B5B" w:rsidP="00F32FAF">
      <w:pPr>
        <w:spacing w:line="480" w:lineRule="auto"/>
        <w:ind w:firstLine="720"/>
        <w:rPr>
          <w:bCs/>
        </w:rPr>
      </w:pPr>
      <w:r>
        <w:t xml:space="preserve">The analysis will consist, for each </w:t>
      </w:r>
      <w:r w:rsidR="00DE5081">
        <w:t>number of eligibility criteria</w:t>
      </w:r>
      <w:r w:rsidR="005257B0">
        <w:t xml:space="preserve"> (i.e., </w:t>
      </w:r>
      <w:r w:rsidR="00F32FAF">
        <w:t xml:space="preserve">0, </w:t>
      </w:r>
      <w:r w:rsidR="005257B0">
        <w:t>1, 2, 3,</w:t>
      </w:r>
      <w:r w:rsidR="00F32FAF">
        <w:t xml:space="preserve"> </w:t>
      </w:r>
      <w:proofErr w:type="gramStart"/>
      <w:r w:rsidR="00F32FAF">
        <w:t xml:space="preserve">or </w:t>
      </w:r>
      <w:r w:rsidR="005257B0">
        <w:t xml:space="preserve"> </w:t>
      </w:r>
      <w:r w:rsidR="00F32FAF" w:rsidRPr="003A722A">
        <w:rPr>
          <w:bCs/>
        </w:rPr>
        <w:t>≥</w:t>
      </w:r>
      <w:proofErr w:type="gramEnd"/>
      <w:r w:rsidR="005257B0">
        <w:t>4)</w:t>
      </w:r>
      <w:r>
        <w:t xml:space="preserve">, of a stratified Cox proportional hazards model, incorporating terms for treatment group, the individual </w:t>
      </w:r>
      <w:r w:rsidR="00DE5081">
        <w:t xml:space="preserve">number of </w:t>
      </w:r>
      <w:r w:rsidR="00F32FAF">
        <w:t>RCRI</w:t>
      </w:r>
      <w:r w:rsidR="00DE5081">
        <w:t xml:space="preserve"> criteria</w:t>
      </w:r>
      <w:r>
        <w:t xml:space="preserve">, and the treatment group by subgroup interaction. </w:t>
      </w:r>
      <w:r w:rsidR="00E52225">
        <w:t xml:space="preserve"> </w:t>
      </w:r>
    </w:p>
    <w:p w:rsidR="00875549" w:rsidRDefault="006E5346" w:rsidP="006E5346">
      <w:pPr>
        <w:spacing w:line="480" w:lineRule="auto"/>
        <w:ind w:firstLine="720"/>
      </w:pPr>
      <w:r w:rsidRPr="00B22A17">
        <w:t>Cox proportional hazards models assessing the primary outcome will provide the basis for evaluating the</w:t>
      </w:r>
      <w:r w:rsidRPr="00B22A17">
        <w:rPr>
          <w:color w:val="000000"/>
        </w:rPr>
        <w:t xml:space="preserve"> </w:t>
      </w:r>
      <w:r>
        <w:rPr>
          <w:color w:val="000000"/>
        </w:rPr>
        <w:t xml:space="preserve">following </w:t>
      </w:r>
      <w:r w:rsidRPr="00B22A17">
        <w:t>ASA subgroup analyses</w:t>
      </w:r>
      <w:r>
        <w:t xml:space="preserve">: 1. </w:t>
      </w:r>
      <w:r w:rsidRPr="00B22A17">
        <w:t xml:space="preserve">ASA </w:t>
      </w:r>
      <w:r>
        <w:t xml:space="preserve">continuation </w:t>
      </w:r>
      <w:r w:rsidRPr="00B22A17">
        <w:t>stratum</w:t>
      </w:r>
      <w:r>
        <w:t xml:space="preserve"> versus ASA starting stratum (i.e., we expect ASA to have a greater beneficial effect in patients in the ASA continuation stratum compared to patients in the ASA starting stratum); 2. </w:t>
      </w:r>
      <w:r w:rsidR="00AE7D23" w:rsidRPr="00B22A17">
        <w:t>vascular surgery</w:t>
      </w:r>
      <w:r w:rsidR="00AE7D23">
        <w:t xml:space="preserve"> versus no vascular surgery (i.e., we expect ASA to have a greater beneficial effect in patients who underwent vascular surgery compared to patients who did not undergo vascular surgery); 3. </w:t>
      </w:r>
      <w:r w:rsidR="00875549" w:rsidRPr="00B22A17">
        <w:t xml:space="preserve">baseline risk according to number of </w:t>
      </w:r>
      <w:r w:rsidR="00F32FAF">
        <w:t>RCRI</w:t>
      </w:r>
      <w:r w:rsidR="00875549" w:rsidRPr="00B22A17">
        <w:t xml:space="preserve"> criteria</w:t>
      </w:r>
      <w:r w:rsidR="00875549">
        <w:t xml:space="preserve"> (i.e., we expect ASA to have a greater beneficial effect in patients with more </w:t>
      </w:r>
      <w:r w:rsidR="00F32FAF">
        <w:t>RCRI</w:t>
      </w:r>
      <w:r w:rsidR="00875549">
        <w:t xml:space="preserve"> criteria compared to patients with less eligibility criteria)</w:t>
      </w:r>
      <w:r w:rsidR="0009414B">
        <w:t>; and 4. vascular disease versus no vascular disease (i.e., we expect ASA to have a greater beneficial effect in patients with vascular disease)</w:t>
      </w:r>
      <w:r w:rsidR="00875549">
        <w:t>.  T</w:t>
      </w:r>
      <w:r w:rsidR="00875549">
        <w:rPr>
          <w:bCs/>
        </w:rPr>
        <w:t xml:space="preserve">he subgroup analyses based on the number of </w:t>
      </w:r>
      <w:r w:rsidR="00F32FAF">
        <w:rPr>
          <w:bCs/>
        </w:rPr>
        <w:t>RCRI</w:t>
      </w:r>
      <w:r w:rsidR="00875549">
        <w:rPr>
          <w:bCs/>
        </w:rPr>
        <w:t xml:space="preserve"> criteria for ASA will follow the same approach as outlined for clonidine.</w:t>
      </w:r>
    </w:p>
    <w:p w:rsidR="006E5346" w:rsidRPr="00016CF0" w:rsidRDefault="006E5346" w:rsidP="006E5346">
      <w:pPr>
        <w:spacing w:line="480" w:lineRule="auto"/>
        <w:ind w:firstLine="720"/>
      </w:pPr>
      <w:r>
        <w:t xml:space="preserve">The number of patients with outcomes, estimated hazard ratios, and associated two-sided 95% CIs will be calculated within each of the subgroups generated by these </w:t>
      </w:r>
      <w:r>
        <w:lastRenderedPageBreak/>
        <w:t xml:space="preserve">analyses.  </w:t>
      </w:r>
      <w:r w:rsidRPr="00B22A17">
        <w:rPr>
          <w:color w:val="000000"/>
        </w:rPr>
        <w:t>W</w:t>
      </w:r>
      <w:r w:rsidRPr="00B22A17">
        <w:t>e will infer a subgroup effect if the interaction term of treatment and subgroup is statistically significant at p&lt;0.05.</w:t>
      </w:r>
    </w:p>
    <w:p w:rsidR="006E5346" w:rsidRDefault="006E5346">
      <w:pPr>
        <w:spacing w:line="480" w:lineRule="auto"/>
        <w:rPr>
          <w:b/>
          <w:bCs/>
        </w:rPr>
      </w:pPr>
    </w:p>
    <w:p w:rsidR="005257B0" w:rsidRDefault="005257B0" w:rsidP="005257B0">
      <w:pPr>
        <w:spacing w:line="480" w:lineRule="auto"/>
        <w:rPr>
          <w:b/>
          <w:bCs/>
        </w:rPr>
      </w:pPr>
      <w:bookmarkStart w:id="11" w:name="_Toc93132381"/>
      <w:bookmarkEnd w:id="10"/>
      <w:r>
        <w:rPr>
          <w:rStyle w:val="Masqu"/>
          <w:b/>
          <w:bCs/>
          <w:vanish w:val="0"/>
        </w:rPr>
        <w:t xml:space="preserve">Analyses of secondary and </w:t>
      </w:r>
      <w:r w:rsidR="00E52225">
        <w:rPr>
          <w:rStyle w:val="Masqu"/>
          <w:b/>
          <w:bCs/>
          <w:vanish w:val="0"/>
        </w:rPr>
        <w:t xml:space="preserve">tertiary </w:t>
      </w:r>
      <w:r>
        <w:rPr>
          <w:b/>
          <w:bCs/>
        </w:rPr>
        <w:fldChar w:fldCharType="begin"/>
      </w:r>
      <w:r>
        <w:rPr>
          <w:b/>
          <w:bCs/>
        </w:rPr>
        <w:fldChar w:fldCharType="end"/>
      </w:r>
      <w:r>
        <w:rPr>
          <w:b/>
          <w:bCs/>
        </w:rPr>
        <w:t>efficacy parameters</w:t>
      </w:r>
    </w:p>
    <w:p w:rsidR="00E52225" w:rsidRDefault="00E52225" w:rsidP="00875549">
      <w:pPr>
        <w:spacing w:line="480" w:lineRule="auto"/>
        <w:ind w:firstLine="720"/>
      </w:pPr>
      <w:r>
        <w:t>The f</w:t>
      </w:r>
      <w:r w:rsidR="005257B0">
        <w:t xml:space="preserve">irst occurrence of the </w:t>
      </w:r>
      <w:r>
        <w:t xml:space="preserve">secondary composite </w:t>
      </w:r>
      <w:r w:rsidR="005257B0">
        <w:t>outcomes</w:t>
      </w:r>
      <w:r>
        <w:t xml:space="preserve"> </w:t>
      </w:r>
      <w:r w:rsidR="005257B0">
        <w:t xml:space="preserve">will be analyzed </w:t>
      </w:r>
      <w:r w:rsidR="00875549">
        <w:t>up to</w:t>
      </w:r>
      <w:r w:rsidR="005257B0">
        <w:t xml:space="preserve"> </w:t>
      </w:r>
      <w:r w:rsidR="0009414B">
        <w:t>1 year</w:t>
      </w:r>
      <w:r w:rsidR="005257B0">
        <w:t xml:space="preserve"> after randomization using the same analytical approach as for the primary efficacy variable.  </w:t>
      </w:r>
      <w:r w:rsidR="00881843">
        <w:t xml:space="preserve">The only exception to this approach is that we will analyze the outcome </w:t>
      </w:r>
      <w:r w:rsidR="00881843" w:rsidRPr="00862902">
        <w:rPr>
          <w:color w:val="000000"/>
        </w:rPr>
        <w:t>chronic incisional pain</w:t>
      </w:r>
      <w:r w:rsidR="00881843">
        <w:t xml:space="preserve"> using a Chi-square test</w:t>
      </w:r>
      <w:r w:rsidR="0017105F">
        <w:t>, because</w:t>
      </w:r>
      <w:r w:rsidR="00787CA7">
        <w:t xml:space="preserve"> it is only assessed as present 1 year after surgery</w:t>
      </w:r>
      <w:r w:rsidR="00881843">
        <w:t xml:space="preserve">.  </w:t>
      </w:r>
      <w:r>
        <w:t>The first occurrence of each individual tertiary outcome will be analyzed at 30 days after randomization using the same analytical approach as for the primary efficacy variable</w:t>
      </w:r>
      <w:r w:rsidR="004C1401">
        <w:t>. For</w:t>
      </w:r>
      <w:r>
        <w:t xml:space="preserve"> </w:t>
      </w:r>
      <w:r w:rsidR="0094090C">
        <w:t xml:space="preserve">new acute renal failure requiring dialysis we did not collect the date that dialysis was initiated after randomization, and we will therefore use a log-rank test.  </w:t>
      </w:r>
    </w:p>
    <w:p w:rsidR="006B7B1C" w:rsidRDefault="006B7B1C" w:rsidP="006B7B1C">
      <w:pPr>
        <w:spacing w:line="480" w:lineRule="auto"/>
        <w:rPr>
          <w:b/>
          <w:bCs/>
        </w:rPr>
      </w:pPr>
    </w:p>
    <w:p w:rsidR="006B7B1C" w:rsidRDefault="006B7B1C" w:rsidP="006B7B1C">
      <w:pPr>
        <w:spacing w:line="480" w:lineRule="auto"/>
        <w:rPr>
          <w:b/>
          <w:bCs/>
        </w:rPr>
      </w:pPr>
      <w:r w:rsidRPr="0077075A">
        <w:rPr>
          <w:b/>
          <w:bCs/>
        </w:rPr>
        <w:t>Primary subgroup</w:t>
      </w:r>
      <w:r>
        <w:rPr>
          <w:b/>
          <w:bCs/>
        </w:rPr>
        <w:t xml:space="preserve"> analyses on the secondary efficacy parameter</w:t>
      </w:r>
    </w:p>
    <w:p w:rsidR="006B7B1C" w:rsidRDefault="006B7B1C" w:rsidP="006B7B1C">
      <w:pPr>
        <w:spacing w:line="480" w:lineRule="auto"/>
        <w:ind w:firstLine="720"/>
        <w:rPr>
          <w:b/>
          <w:bCs/>
        </w:rPr>
      </w:pPr>
      <w:r>
        <w:rPr>
          <w:bCs/>
        </w:rPr>
        <w:t>We will undertake one subgroup analysis for our secondary outcome of th</w:t>
      </w:r>
      <w:r>
        <w:t>e first occurrence of any component of the following composite up to</w:t>
      </w:r>
      <w:r>
        <w:rPr>
          <w:color w:val="FF0000"/>
        </w:rPr>
        <w:t xml:space="preserve"> </w:t>
      </w:r>
      <w:r w:rsidR="0077075A" w:rsidRPr="00AE6D6B">
        <w:rPr>
          <w:color w:val="000000"/>
        </w:rPr>
        <w:t>1 year</w:t>
      </w:r>
      <w:r w:rsidR="0077075A">
        <w:rPr>
          <w:color w:val="FF0000"/>
        </w:rPr>
        <w:t xml:space="preserve"> </w:t>
      </w:r>
      <w:r>
        <w:t xml:space="preserve">after randomization: mortality, nonfatal MI, cardiac </w:t>
      </w:r>
      <w:r w:rsidRPr="00AF7F5B">
        <w:t xml:space="preserve">revascularization procedure, nonfatal pulmonary emboli, </w:t>
      </w:r>
      <w:r>
        <w:t>or</w:t>
      </w:r>
      <w:r w:rsidRPr="00AF7F5B">
        <w:t xml:space="preserve"> nonfatal deep venous thrombosis.  </w:t>
      </w:r>
      <w:r w:rsidRPr="00B22A17">
        <w:t>Cox proportional hazards models assessing th</w:t>
      </w:r>
      <w:r>
        <w:t>is secondary</w:t>
      </w:r>
      <w:r w:rsidRPr="00B22A17">
        <w:t xml:space="preserve"> outcome will provide the basis for evaluating the</w:t>
      </w:r>
      <w:r w:rsidRPr="00B22A17">
        <w:rPr>
          <w:color w:val="000000"/>
        </w:rPr>
        <w:t xml:space="preserve"> </w:t>
      </w:r>
      <w:r>
        <w:rPr>
          <w:color w:val="000000"/>
        </w:rPr>
        <w:t xml:space="preserve">following </w:t>
      </w:r>
      <w:r>
        <w:t>ASA subgroup analysi</w:t>
      </w:r>
      <w:r w:rsidRPr="00B22A17">
        <w:t>s</w:t>
      </w:r>
      <w:r>
        <w:t>: A</w:t>
      </w:r>
      <w:r w:rsidRPr="00B22A17">
        <w:t xml:space="preserve">SA </w:t>
      </w:r>
      <w:r>
        <w:t xml:space="preserve">continuation </w:t>
      </w:r>
      <w:r w:rsidRPr="00B22A17">
        <w:t>stratum</w:t>
      </w:r>
      <w:r>
        <w:t xml:space="preserve"> versus ASA starting stratum (i.e., we expect ASA to have a greater beneficial effect in patients in the ASA continuation stratum compared to patients in the ASA starting stratum).</w:t>
      </w:r>
      <w:r w:rsidR="00922DD6">
        <w:t xml:space="preserve"> For this subgroup </w:t>
      </w:r>
      <w:r w:rsidR="00922DD6">
        <w:lastRenderedPageBreak/>
        <w:t>analysis</w:t>
      </w:r>
      <w:r w:rsidR="00DD1B1C">
        <w:t>,</w:t>
      </w:r>
      <w:r w:rsidR="00922DD6">
        <w:t xml:space="preserve"> we will remove the ASA continuation/starting factor as a </w:t>
      </w:r>
      <w:proofErr w:type="gramStart"/>
      <w:r w:rsidR="00922DD6">
        <w:t>strata</w:t>
      </w:r>
      <w:proofErr w:type="gramEnd"/>
      <w:r w:rsidR="00922DD6">
        <w:t xml:space="preserve"> within the Cox regression.</w:t>
      </w:r>
    </w:p>
    <w:p w:rsidR="004267FC" w:rsidRDefault="006B7B1C" w:rsidP="00770FF3">
      <w:pPr>
        <w:spacing w:line="480" w:lineRule="auto"/>
        <w:ind w:firstLine="720"/>
        <w:sectPr w:rsidR="004267FC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t xml:space="preserve">The number of patients with outcomes, estimated hazard ratios, and associated two-sided 95% CIs will be calculated within each of the subgroups generated by these analyses.  </w:t>
      </w:r>
      <w:r w:rsidRPr="00B22A17">
        <w:rPr>
          <w:color w:val="000000"/>
        </w:rPr>
        <w:t>W</w:t>
      </w:r>
      <w:r w:rsidRPr="00B22A17">
        <w:t>e will infer a subgroup effect if the interaction term of treatment and subgroup is statistically significant at p&lt;0.05.</w:t>
      </w:r>
      <w:bookmarkEnd w:id="11"/>
    </w:p>
    <w:p w:rsidR="00B42B5B" w:rsidRDefault="00B42B5B" w:rsidP="00B7151D"/>
    <w:sectPr w:rsidR="00B42B5B" w:rsidSect="004267FC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576" w:rsidRDefault="005C0576">
      <w:r>
        <w:separator/>
      </w:r>
    </w:p>
  </w:endnote>
  <w:endnote w:type="continuationSeparator" w:id="0">
    <w:p w:rsidR="005C0576" w:rsidRDefault="005C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5B" w:rsidRDefault="00B42B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B5B" w:rsidRDefault="00B42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5B" w:rsidRDefault="00B42B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CA7">
      <w:rPr>
        <w:rStyle w:val="PageNumber"/>
        <w:noProof/>
      </w:rPr>
      <w:t>9</w:t>
    </w:r>
    <w:r>
      <w:rPr>
        <w:rStyle w:val="PageNumber"/>
      </w:rPr>
      <w:fldChar w:fldCharType="end"/>
    </w:r>
  </w:p>
  <w:p w:rsidR="00B42B5B" w:rsidRDefault="00B42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576" w:rsidRDefault="005C0576">
      <w:r>
        <w:separator/>
      </w:r>
    </w:p>
  </w:footnote>
  <w:footnote w:type="continuationSeparator" w:id="0">
    <w:p w:rsidR="005C0576" w:rsidRDefault="005C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7B6E6FA"/>
    <w:lvl w:ilvl="0">
      <w:start w:val="1"/>
      <w:numFmt w:val="decimal"/>
      <w:lvlText w:val="%1."/>
      <w:lvlJc w:val="left"/>
      <w:pPr>
        <w:tabs>
          <w:tab w:val="num" w:pos="1368"/>
        </w:tabs>
        <w:ind w:left="1008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0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008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8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85693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BA299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EC340F"/>
    <w:multiLevelType w:val="multilevel"/>
    <w:tmpl w:val="DAE8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22727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E856A4"/>
    <w:multiLevelType w:val="hybridMultilevel"/>
    <w:tmpl w:val="10ACE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41E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150738C"/>
    <w:multiLevelType w:val="hybridMultilevel"/>
    <w:tmpl w:val="FFCAB2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296F0B"/>
    <w:multiLevelType w:val="hybridMultilevel"/>
    <w:tmpl w:val="C66EF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943E5"/>
    <w:multiLevelType w:val="hybridMultilevel"/>
    <w:tmpl w:val="DC90FC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AD33C1"/>
    <w:multiLevelType w:val="multilevel"/>
    <w:tmpl w:val="86724B4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4E"/>
    <w:rsid w:val="0001028A"/>
    <w:rsid w:val="00047DD2"/>
    <w:rsid w:val="000928BB"/>
    <w:rsid w:val="0009414B"/>
    <w:rsid w:val="000C4CDC"/>
    <w:rsid w:val="000F28AF"/>
    <w:rsid w:val="00130DF1"/>
    <w:rsid w:val="00160ADC"/>
    <w:rsid w:val="0017105F"/>
    <w:rsid w:val="00196848"/>
    <w:rsid w:val="00204FFD"/>
    <w:rsid w:val="0024014E"/>
    <w:rsid w:val="00256AF2"/>
    <w:rsid w:val="00260C55"/>
    <w:rsid w:val="002775D7"/>
    <w:rsid w:val="002B3AAD"/>
    <w:rsid w:val="002B46D1"/>
    <w:rsid w:val="003356E4"/>
    <w:rsid w:val="0039298D"/>
    <w:rsid w:val="00413E0F"/>
    <w:rsid w:val="004267FC"/>
    <w:rsid w:val="00442D41"/>
    <w:rsid w:val="00470DCA"/>
    <w:rsid w:val="00486CC3"/>
    <w:rsid w:val="004C1401"/>
    <w:rsid w:val="004D081B"/>
    <w:rsid w:val="005257B0"/>
    <w:rsid w:val="005751B8"/>
    <w:rsid w:val="005B1905"/>
    <w:rsid w:val="005C0576"/>
    <w:rsid w:val="005D77A4"/>
    <w:rsid w:val="00603B1F"/>
    <w:rsid w:val="00681A7A"/>
    <w:rsid w:val="00686658"/>
    <w:rsid w:val="00686900"/>
    <w:rsid w:val="006B7B1C"/>
    <w:rsid w:val="006E5346"/>
    <w:rsid w:val="006F3552"/>
    <w:rsid w:val="0077075A"/>
    <w:rsid w:val="00770FF3"/>
    <w:rsid w:val="007862C3"/>
    <w:rsid w:val="00787CA7"/>
    <w:rsid w:val="007C198A"/>
    <w:rsid w:val="007C5CBA"/>
    <w:rsid w:val="007E08F6"/>
    <w:rsid w:val="007F7CC8"/>
    <w:rsid w:val="00801815"/>
    <w:rsid w:val="008079AE"/>
    <w:rsid w:val="0082428D"/>
    <w:rsid w:val="00862902"/>
    <w:rsid w:val="00875549"/>
    <w:rsid w:val="00881843"/>
    <w:rsid w:val="008E1006"/>
    <w:rsid w:val="008E1F6F"/>
    <w:rsid w:val="008F572A"/>
    <w:rsid w:val="008F7787"/>
    <w:rsid w:val="00913BCC"/>
    <w:rsid w:val="00922DD6"/>
    <w:rsid w:val="0093366D"/>
    <w:rsid w:val="0094090C"/>
    <w:rsid w:val="009D1FA4"/>
    <w:rsid w:val="009D5DC2"/>
    <w:rsid w:val="009F3D5D"/>
    <w:rsid w:val="00A04A3B"/>
    <w:rsid w:val="00A23200"/>
    <w:rsid w:val="00A56F4D"/>
    <w:rsid w:val="00A5703E"/>
    <w:rsid w:val="00A6170C"/>
    <w:rsid w:val="00A70C48"/>
    <w:rsid w:val="00A75802"/>
    <w:rsid w:val="00AB41DA"/>
    <w:rsid w:val="00AD5673"/>
    <w:rsid w:val="00AE6D6B"/>
    <w:rsid w:val="00AE7D23"/>
    <w:rsid w:val="00B166BE"/>
    <w:rsid w:val="00B20956"/>
    <w:rsid w:val="00B21FFB"/>
    <w:rsid w:val="00B42B5B"/>
    <w:rsid w:val="00B7151D"/>
    <w:rsid w:val="00B952AE"/>
    <w:rsid w:val="00BB0A4A"/>
    <w:rsid w:val="00BE7E8C"/>
    <w:rsid w:val="00C707DC"/>
    <w:rsid w:val="00CB3AE7"/>
    <w:rsid w:val="00CC76F7"/>
    <w:rsid w:val="00CD614C"/>
    <w:rsid w:val="00D0464F"/>
    <w:rsid w:val="00D80749"/>
    <w:rsid w:val="00DD1B1C"/>
    <w:rsid w:val="00DE020D"/>
    <w:rsid w:val="00DE5081"/>
    <w:rsid w:val="00E52225"/>
    <w:rsid w:val="00E55ED6"/>
    <w:rsid w:val="00E63FC1"/>
    <w:rsid w:val="00EA59B3"/>
    <w:rsid w:val="00EE4969"/>
    <w:rsid w:val="00EF5238"/>
    <w:rsid w:val="00EF7146"/>
    <w:rsid w:val="00F03487"/>
    <w:rsid w:val="00F15223"/>
    <w:rsid w:val="00F32FAF"/>
    <w:rsid w:val="00FD0A15"/>
    <w:rsid w:val="00FE1C65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4E0B2"/>
  <w15:chartTrackingRefBased/>
  <w15:docId w15:val="{CA2FDE4E-1E2A-3E42-9EC7-2263527F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09"/>
      </w:tabs>
      <w:spacing w:after="240" w:line="287" w:lineRule="atLeast"/>
      <w:outlineLvl w:val="0"/>
    </w:pPr>
    <w:rPr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0"/>
        <w:tab w:val="left" w:pos="1009"/>
      </w:tabs>
      <w:spacing w:before="240" w:after="240" w:line="287" w:lineRule="atLeast"/>
      <w:ind w:left="1009" w:hanging="1009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0"/>
        <w:tab w:val="left" w:pos="1009"/>
      </w:tabs>
      <w:spacing w:before="240" w:after="120" w:line="287" w:lineRule="atLeast"/>
      <w:ind w:hanging="1008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tabs>
        <w:tab w:val="left" w:pos="1009"/>
      </w:tabs>
      <w:spacing w:before="240" w:after="120" w:line="287" w:lineRule="atLeast"/>
      <w:ind w:hanging="1008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120" w:line="287" w:lineRule="atLeast"/>
      <w:ind w:hanging="1008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 w:line="287" w:lineRule="atLeast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4"/>
      </w:numPr>
      <w:spacing w:before="240" w:after="60" w:line="287" w:lineRule="atLeast"/>
      <w:jc w:val="both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5"/>
      </w:numPr>
      <w:spacing w:before="240" w:after="60" w:line="287" w:lineRule="atLeast"/>
      <w:jc w:val="both"/>
      <w:outlineLvl w:val="7"/>
    </w:pPr>
    <w:rPr>
      <w:rFonts w:ascii="Arial" w:hAnsi="Arial"/>
      <w:i/>
      <w:sz w:val="22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6"/>
      </w:numPr>
      <w:spacing w:before="240" w:after="60" w:line="287" w:lineRule="atLeast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Normal"/>
    <w:pPr>
      <w:spacing w:line="287" w:lineRule="atLeast"/>
      <w:ind w:left="1412" w:hanging="1412"/>
      <w:jc w:val="both"/>
    </w:pPr>
    <w:rPr>
      <w:b/>
      <w:sz w:val="20"/>
      <w:szCs w:val="20"/>
    </w:rPr>
  </w:style>
  <w:style w:type="paragraph" w:styleId="BodyText3">
    <w:name w:val="Body Text 3"/>
    <w:basedOn w:val="Normal"/>
    <w:pPr>
      <w:spacing w:line="287" w:lineRule="atLeast"/>
      <w:jc w:val="both"/>
    </w:pPr>
    <w:rPr>
      <w:i/>
      <w:sz w:val="22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customStyle="1" w:styleId="Masqu">
    <w:name w:val="Masqué"/>
    <w:rPr>
      <w:vanish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  <w:lang w:val="en-GB"/>
    </w:rPr>
  </w:style>
  <w:style w:type="paragraph" w:styleId="BodyText">
    <w:name w:val="Body Text"/>
    <w:basedOn w:val="Normal"/>
    <w:pPr>
      <w:spacing w:line="480" w:lineRule="auto"/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bCs/>
      <w:caps/>
      <w:smallCaps/>
    </w:rPr>
  </w:style>
  <w:style w:type="character" w:customStyle="1" w:styleId="Tabletext">
    <w:name w:val="Tabletext"/>
    <w:rPr>
      <w:rFonts w:ascii="Times New Roman" w:hAnsi="Times New Roman"/>
      <w:sz w:val="20"/>
      <w:vertAlign w:val="baseli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link w:val="HeaderChar"/>
    <w:rsid w:val="004267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67FC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4267FC"/>
    <w:rPr>
      <w:b/>
    </w:rPr>
  </w:style>
  <w:style w:type="character" w:customStyle="1" w:styleId="SubtitleChar">
    <w:name w:val="Subtitle Char"/>
    <w:link w:val="Subtitle"/>
    <w:rsid w:val="004267FC"/>
    <w:rPr>
      <w:b/>
      <w:sz w:val="24"/>
      <w:szCs w:val="24"/>
    </w:rPr>
  </w:style>
  <w:style w:type="character" w:styleId="CommentReference">
    <w:name w:val="annotation reference"/>
    <w:rsid w:val="00F152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223"/>
    <w:rPr>
      <w:sz w:val="20"/>
      <w:szCs w:val="20"/>
    </w:rPr>
  </w:style>
  <w:style w:type="character" w:customStyle="1" w:styleId="CommentTextChar">
    <w:name w:val="Comment Text Char"/>
    <w:link w:val="CommentText"/>
    <w:rsid w:val="00F152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5223"/>
    <w:rPr>
      <w:b/>
      <w:bCs/>
    </w:rPr>
  </w:style>
  <w:style w:type="character" w:customStyle="1" w:styleId="CommentSubjectChar">
    <w:name w:val="Comment Subject Char"/>
    <w:link w:val="CommentSubject"/>
    <w:rsid w:val="00F1522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B6AF-EA7E-894A-9ACA-4FA369E6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STATISTICAL AND ANALYTICAL METHODS</vt:lpstr>
    </vt:vector>
  </TitlesOfParts>
  <Company>McMaster University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AND ANALYTICAL METHODS</dc:title>
  <dc:subject/>
  <dc:creator>Shamir Mehta</dc:creator>
  <cp:keywords/>
  <cp:lastModifiedBy>Daniel Sessler</cp:lastModifiedBy>
  <cp:revision>3</cp:revision>
  <cp:lastPrinted>2014-01-28T04:37:00Z</cp:lastPrinted>
  <dcterms:created xsi:type="dcterms:W3CDTF">2019-07-29T20:17:00Z</dcterms:created>
  <dcterms:modified xsi:type="dcterms:W3CDTF">2019-07-29T21:16:00Z</dcterms:modified>
</cp:coreProperties>
</file>