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E763" w14:textId="6AB9070A" w:rsidR="001E3A51" w:rsidRPr="00E5257C" w:rsidRDefault="00B111B0" w:rsidP="00D71299">
      <w:pPr>
        <w:jc w:val="both"/>
        <w:rPr>
          <w:b/>
        </w:rPr>
      </w:pPr>
      <w:r w:rsidRPr="00E5257C">
        <w:rPr>
          <w:b/>
        </w:rPr>
        <w:t>Supplementary Digital Content 3</w:t>
      </w:r>
    </w:p>
    <w:p w14:paraId="74CABC97" w14:textId="79AB07DB" w:rsidR="00C60C2D" w:rsidRPr="00E5257C" w:rsidRDefault="00C60C2D" w:rsidP="00C60C2D">
      <w:pPr>
        <w:spacing w:line="480" w:lineRule="auto"/>
        <w:jc w:val="both"/>
        <w:rPr>
          <w:lang w:val="en-GB"/>
        </w:rPr>
      </w:pPr>
      <w:r w:rsidRPr="00E5257C">
        <w:rPr>
          <w:i/>
          <w:lang w:val="en-GB"/>
        </w:rPr>
        <w:t xml:space="preserve">Group Sensor Level Power Analysis. </w:t>
      </w:r>
      <w:r w:rsidRPr="00E5257C">
        <w:rPr>
          <w:lang w:val="en-GB"/>
        </w:rPr>
        <w:t>Pre-processed data (as described in the methods) were used in the source level were used to evaluate sensor level changes as follows. Group sensor level power calculations were statistically assessed at each frequency band first, within gases and across the baselines and step-wise gas concentrations and second, across gases and within the baselines and equivalent MAC-awake gas concentrations. The statistical method utilized here was a Non-Parametric Group Statistics approach proposed by Nichols and Holmes,</w:t>
      </w:r>
      <w:r w:rsidRPr="00E5257C">
        <w:rPr>
          <w:lang w:val="en-GB"/>
        </w:rPr>
        <w:fldChar w:fldCharType="begin" w:fldLock="1"/>
      </w:r>
      <w:r w:rsidRPr="00E5257C">
        <w:rPr>
          <w:lang w:val="en-GB"/>
        </w:rPr>
        <w:instrText>ADDIN CSL_CITATION {"citationItems":[{"id":"ITEM-1","itemData":{"DOI":"10.1002/hbm.1058","ISBN":"1065-9471 (Print)\\r1065-9471 (Linking)","ISSN":"1065-9471","PMID":"11747097","abstract":"Requiring only minimal assumptions for validity; nonparametric permutation testing provides a flexible and intuitive methodology for the statistical analysis of data from functional neuroimaging experiments; at some computational expense. Introduced into the functional neuroimaging literature by Holmes et al. ([1996]: J Cereb Blood Flow Metab 16:7–22); the permutation approach readily accounts for the multiple comparisons problem implicit in the standard voxel-by-voxel hypothesis testing framework. When the appropriate assumptions hold; the nonparametric permutation approach gives results similar to those obtained from a comparable Statistical Parametric Mapping approach using a general linear model with multiple comparisons corrections derived from random field theory. For analyses with low degrees of freedom; such as single subject PET/SPECT experiments or multi-subject PET/SPECT or fMRI designs assessed for population effects; the nonparametric approach employing a locally pooled (smoothed) variance estimate can outperform the comparable Statistical Parametric Mapping approach. Thus; these nonparametric techniques can be used to verify the validity of less computationally expensive parametric approaches. Although the theory and relative advantages of permutation approaches have been discussed by various authors; there has been no accessible explication of the method; and no freely distributed software implementing it. Consequently; there have been few practical applications of the technique. This article; and the accompanying MATLAB software; attempts to address these issues. The standard nonparametric randomization and permutation testing ideas are developed at an accessible level; using practical examples from functional neuroimaging; and the extensions for multiple comparisons described. Three worked examples from PET and fMRI are presented; with discussion; and comparisons with standard parametric approaches made where appropriate. Practical considerations are given throughout; and relevant statistical concepts are expounded in appendices.","author":[{"dropping-particle":"","family":"Nichols","given":"T E","non-dropping-particle":"","parse-names":false,"suffix":""},{"dropping-particle":"","family":"Holmes","given":"Andrew P","non-dropping-particle":"","parse-names":false,"suffix":""}],"container-title":"Human Brain Mapping","id":"ITEM-1","issue":"1","issued":{"date-parts":[["2001"]]},"page":"1-25","title":"Nonparametric Permutation Tests for Functional Neuroimaging: A Primer with examples","type":"article-journal","volume":"15"},"uris":["http://www.mendeley.com/documents/?uuid=75fa5a1b-7ca9-4fe9-a300-87a078f128ea"]},{"id":"ITEM-2","itemData":{"DOI":"10.1016/B978-012264841-0/50048-2","author":[{"dropping-particle":"","family":"Nichols","given":"T. E.","non-dropping-particle":"","parse-names":false,"suffix":""},{"dropping-particle":"","family":"Holmes","given":"A. P.","non-dropping-particle":"","parse-names":false,"suffix":""}],"container-title":"Human Brain Function: Second Edition","id":"ITEM-2","issued":{"date-parts":[["2003","12","1"]]},"title":"Nonparametric Permutation Tests for Functional Neuroimaging","type":"book","volume":"15"},"uris":["http://www.mendeley.com/documents/?uuid=35e53f48-a08a-49f2-9371-f26b348c7397"]}],"mendeley":{"formattedCitation":"&lt;sup&gt;1,2&lt;/sup&gt;","plainTextFormattedCitation":"1,2","previouslyFormattedCitation":"&lt;sup&gt;1,2&lt;/sup&gt;"},"properties":{"noteIndex":0},"schema":"https://github.com/citation-style-language/schema/raw/master/csl-citation.json"}</w:instrText>
      </w:r>
      <w:r w:rsidRPr="00E5257C">
        <w:rPr>
          <w:lang w:val="en-GB"/>
        </w:rPr>
        <w:fldChar w:fldCharType="separate"/>
      </w:r>
      <w:r w:rsidRPr="00E5257C">
        <w:rPr>
          <w:noProof/>
          <w:vertAlign w:val="superscript"/>
          <w:lang w:val="en-GB"/>
        </w:rPr>
        <w:t>1,2</w:t>
      </w:r>
      <w:r w:rsidRPr="00E5257C">
        <w:rPr>
          <w:lang w:val="en-GB"/>
        </w:rPr>
        <w:fldChar w:fldCharType="end"/>
      </w:r>
      <w:r w:rsidRPr="00E5257C">
        <w:rPr>
          <w:lang w:val="en-GB"/>
        </w:rPr>
        <w:t xml:space="preserve"> which has been subsequently used by countless research groups, particularly pertaining to BOLD-fMRI statistical analysis as well as more recently in </w:t>
      </w:r>
      <w:r w:rsidR="00362799">
        <w:rPr>
          <w:lang w:val="en-GB"/>
        </w:rPr>
        <w:t>magnetoencephalography</w:t>
      </w:r>
      <w:r w:rsidRPr="00E5257C">
        <w:rPr>
          <w:lang w:val="en-GB"/>
        </w:rPr>
        <w:t xml:space="preserve"> statistical analysis (</w:t>
      </w:r>
      <w:r w:rsidRPr="00E5257C">
        <w:rPr>
          <w:i/>
          <w:lang w:val="en-GB"/>
        </w:rPr>
        <w:t>e.g</w:t>
      </w:r>
      <w:r w:rsidRPr="00E5257C">
        <w:rPr>
          <w:lang w:val="en-GB"/>
        </w:rPr>
        <w:t xml:space="preserve">. </w:t>
      </w:r>
      <w:r w:rsidRPr="00E5257C">
        <w:rPr>
          <w:lang w:val="en-GB"/>
        </w:rPr>
        <w:fldChar w:fldCharType="begin" w:fldLock="1"/>
      </w:r>
      <w:r w:rsidRPr="00E5257C">
        <w:rPr>
          <w:lang w:val="en-GB"/>
        </w:rPr>
        <w:instrText>ADDIN CSL_CITATION {"citationItems":[{"id":"ITEM-1","itemData":{"DOI":"10.1523/JNEUROSCI.0903-15.2015","ISBN":"1529-2401 (Electronic)\\r0270-6474 (Linking)","ISSN":"0270-6474","PMID":"26290246","abstract":"Following the discovery of the antidepressant properties of ketamine, there has been a recent resurgence in the interest in this NMDA receptor antagonist. Although detailed animal models of the molecular mechanisms underlying ketamine's effects have emerged, there are few MEG/EEG studies examining the acute subanesthetic effects of ketamine infusion in man. We recorded 275 channel MEG in two experiments (n = 25 human males) examining the effects of subanesthetic ketamine infusion. MEG power spectra revealed a rich set of significant oscillatory changes compared with placebo sessions, including decreases in occipital, parietal, and anterior cingulate alpha power, increases in medial frontal theta power, and increases in parietal and cingulate cortex high gamma power. Each of these spectral effects demonstrated their own set of temporal dynamics. Dynamic causal modeling of frontoparietal connectivity changes with ketamine indicated a decrease in NMDA and AMPA-mediated frontal-to-parietal connectivity. AMPA-mediated connectivity changes were sustained for up to 50 min after ketamine infusion had ceased, by which time perceptual distortions were absent. The results also indicated a decrease in gain of parietal pyramidal cells, which was correlated with participants' self-reports of blissful state. Based on these results, we suggest that the antidepressant effects of ketamine may depend on its ability to change the balance of frontoparietal connectivity patterns. SIGNIFICANCE STATEMENT In this paper, we found that subanesthetic doses of ketamine, similar to those used in antidepressant studies, increase anterior theta and gamma power but decrease posterior theta, delta, and alpha power, as revealed by magnetoencephalographic recordings. Dynamic causal modeling of frontoparietal connectivity changes with ketamine indicated a decrease in NMDA and AMPA-mediated frontal-to-parietal connectivity. AMPA-mediated connectivity changes were sustained for up to 50 min after ketamine infusion had ceased, by which time perceptual distortions were absent. The results also indicated a decrease in gain of parietal pyramidal cells, which was correlated with participants' self-reports of blissful state. The alterations in frontoparietal connectivity patterns we observe here may be important in generating the antidepressant response to ketamine.","author":[{"dropping-particle":"","family":"Muthukumaraswamy","given":"S. D.","non-dropping-particle":"","parse-names":false,"suffix":""},{"dropping-particle":"","family":"Shaw","given":"A. D.","non-dropping-particle":"","parse-names":false,"suffix":""},{"dropping-particle":"","family":"Jackson","given":"L. E.","non-dropping-particle":"","parse-names":false,"suffix":""},{"dropping-particle":"","family":"Hall","given":"J.","non-dropping-particle":"","parse-names":false,"suffix":""},{"dropping-particle":"","family":"Moran","given":"R.","non-dropping-particle":"","parse-names":false,"suffix":""},{"dropping-particle":"","family":"Saxena","given":"N.","non-dropping-particle":"","parse-names":false,"suffix":""}],"container-title":"Journal of Neuroscience","id":"ITEM-1","issue":"33","issued":{"date-parts":[["2015"]]},"page":"11694-11706","title":"Evidence that Subanesthetic Doses of Ketamine Cause Sustained Disruptions of NMDA and AMPA-Mediated Frontoparietal Connectivity in Humans","type":"article-journal","volume":"35"},"uris":["http://www.mendeley.com/documents/?uuid=f436c082-53ac-4131-83bb-e3722b15c720"]},{"id":"ITEM-2","itemData":{"DOI":"10.1073/pnas.1515657113","ISBN":"0027-8424","ISSN":"1091-6490","PMID":"27001844","abstract":"Normal brain function requires interactions between spatially separated, and functionally specialized, macroscopic regions, yet the directionality of these interactions in large-scale functional networks is unknown. Magnetoencephalography was used to determine the directionality of these interactions, where directionality was inferred from time series of beamformer-reconstructed estimates of neuronal activation, using a recently proposed measure of phase transfer entropy. We observed well-organized posterior-to-anterior patterns of information flow in the higher-frequency bands (alpha1, alpha2, and beta band), dominated by regions in the visual cortex and posterior default mode network. Opposite patterns of anterior-to-posterior flow were found in the theta band, involving mainly regions in the frontal lobe that were sending information to a more distributed network. Many strong information senders in the theta band were also frequent receivers in the alpha2 band, and vice versa. Our results provide evidence that large-scale resting-state patterns of information flow in the human brain form frequency-dependent reentry loops that are dominated by flow from parieto-occipital cortex to integrative frontal areas in the higher-frequency bands, which is mirrored by a theta band anterior-to-posterior flow.","author":[{"dropping-particle":"","family":"Hillebrand","given":"Arjan","non-dropping-particle":"","parse-names":false,"suffix":""},{"dropping-particle":"","family":"Tewarie","given":"Prejaas","non-dropping-particle":"","parse-names":false,"suffix":""},{"dropping-particle":"","family":"Dellen","given":"Edwin","non-dropping-particle":"van","parse-names":false,"suffix":""},{"dropping-particle":"","family":"Yu","given":"Meichen","non-dropping-particle":"","parse-names":false,"suffix":""},{"dropping-particle":"","family":"Carbo","given":"Ellen W S","non-dropping-particle":"","parse-names":false,"suffix":""},{"dropping-particle":"","family":"Douw","given":"Linda","non-dropping-particle":"","parse-names":false,"suffix":""},{"dropping-particle":"","family":"Gouw","given":"Alida A","non-dropping-particle":"","parse-names":false,"suffix":""},{"dropping-particle":"","family":"Straaten","given":"Elisabeth C W","non-dropping-particle":"van","parse-names":false,"suffix":""},{"dropping-particle":"","family":"Stam","given":"Cornelis J","non-dropping-particle":"","parse-names":false,"suffix":""}],"container-title":"Pnas","id":"ITEM-2","issue":"14","issued":{"date-parts":[["2016"]]},"page":"3867-3872","title":"Direction of information flow in large-scale resting-state networks is frequency-dependent.","type":"article-journal","volume":"113"},"uris":["http://www.mendeley.com/documents/?uuid=c3679306-645f-480d-8d23-d37b20d6938c"]}],"mendeley":{"formattedCitation":"&lt;sup&gt;3,4&lt;/sup&gt;","plainTextFormattedCitation":"3,4","previouslyFormattedCitation":"&lt;sup&gt;3,4&lt;/sup&gt;"},"properties":{"noteIndex":0},"schema":"https://github.com/citation-style-language/schema/raw/master/csl-citation.json"}</w:instrText>
      </w:r>
      <w:r w:rsidRPr="00E5257C">
        <w:rPr>
          <w:lang w:val="en-GB"/>
        </w:rPr>
        <w:fldChar w:fldCharType="separate"/>
      </w:r>
      <w:r w:rsidRPr="00E5257C">
        <w:rPr>
          <w:noProof/>
          <w:vertAlign w:val="superscript"/>
          <w:lang w:val="en-GB"/>
        </w:rPr>
        <w:t>3,4</w:t>
      </w:r>
      <w:r w:rsidRPr="00E5257C">
        <w:rPr>
          <w:lang w:val="en-GB"/>
        </w:rPr>
        <w:fldChar w:fldCharType="end"/>
      </w:r>
      <w:r w:rsidRPr="00E5257C">
        <w:rPr>
          <w:lang w:val="en-GB"/>
        </w:rPr>
        <w:t>).</w:t>
      </w:r>
    </w:p>
    <w:p w14:paraId="3F40A3D9" w14:textId="4028D7D2" w:rsidR="00C60C2D" w:rsidRPr="00E5257C" w:rsidRDefault="00C60C2D" w:rsidP="000C5780">
      <w:pPr>
        <w:spacing w:line="480" w:lineRule="auto"/>
        <w:jc w:val="both"/>
        <w:rPr>
          <w:rFonts w:eastAsia="Times New Roman" w:cs="Times New Roman"/>
          <w:shd w:val="clear" w:color="auto" w:fill="FFFFFF"/>
          <w:lang w:val="en-GB" w:eastAsia="en-GB"/>
        </w:rPr>
      </w:pPr>
      <w:r w:rsidRPr="00E5257C">
        <w:rPr>
          <w:rFonts w:eastAsia="Times New Roman" w:cs="Times New Roman"/>
          <w:shd w:val="clear" w:color="auto" w:fill="FFFFFF"/>
          <w:lang w:val="en-GB" w:eastAsia="en-GB"/>
        </w:rPr>
        <w:t xml:space="preserve">For the across gas comparison, </w:t>
      </w:r>
      <w:r w:rsidRPr="00E5257C">
        <w:rPr>
          <w:lang w:val="en-GB"/>
        </w:rPr>
        <w:t xml:space="preserve">a two-sample t-statistic calculation was performed </w:t>
      </w:r>
      <w:r w:rsidR="00C7735E" w:rsidRPr="00E5257C">
        <w:rPr>
          <w:rFonts w:eastAsia="Times New Roman" w:cs="Times New Roman"/>
          <w:shd w:val="clear" w:color="auto" w:fill="FFFFFF"/>
          <w:lang w:val="en-GB" w:eastAsia="en-GB"/>
        </w:rPr>
        <w:t>within each frequency band and subject, all valid trials within a sensor at each of the Nitrous Oxide (N</w:t>
      </w:r>
      <w:r w:rsidR="00C7735E" w:rsidRPr="00E5257C">
        <w:rPr>
          <w:rFonts w:eastAsia="Times New Roman" w:cs="Times New Roman"/>
          <w:shd w:val="clear" w:color="auto" w:fill="FFFFFF"/>
          <w:vertAlign w:val="subscript"/>
          <w:lang w:val="en-GB" w:eastAsia="en-GB"/>
        </w:rPr>
        <w:t>2</w:t>
      </w:r>
      <w:r w:rsidR="00C7735E" w:rsidRPr="00E5257C">
        <w:rPr>
          <w:rFonts w:eastAsia="Times New Roman" w:cs="Times New Roman"/>
          <w:shd w:val="clear" w:color="auto" w:fill="FFFFFF"/>
          <w:lang w:val="en-GB" w:eastAsia="en-GB"/>
        </w:rPr>
        <w:t>O) gas pre- and post- baselines and equivalent 0.25, 0.50, 0.75 MAC-awake concentrations levels were contrasted to all valid trials within a sensor for Xenon (Xe) gas. Loss of responsiveness under Xe anaesthesia was not included in this analysis as the corresponding gas concentration of 1.30 MAC-awake does not apply to N</w:t>
      </w:r>
      <w:r w:rsidR="00C7735E" w:rsidRPr="00E5257C">
        <w:rPr>
          <w:rFonts w:eastAsia="Times New Roman" w:cs="Times New Roman"/>
          <w:shd w:val="clear" w:color="auto" w:fill="FFFFFF"/>
          <w:vertAlign w:val="subscript"/>
          <w:lang w:val="en-GB" w:eastAsia="en-GB"/>
        </w:rPr>
        <w:t>2</w:t>
      </w:r>
      <w:r w:rsidR="00C7735E" w:rsidRPr="00E5257C">
        <w:rPr>
          <w:rFonts w:eastAsia="Times New Roman" w:cs="Times New Roman"/>
          <w:shd w:val="clear" w:color="auto" w:fill="FFFFFF"/>
          <w:lang w:val="en-GB" w:eastAsia="en-GB"/>
        </w:rPr>
        <w:t xml:space="preserve">O. </w:t>
      </w:r>
      <w:r w:rsidRPr="00E5257C">
        <w:rPr>
          <w:lang w:val="en-GB"/>
        </w:rPr>
        <w:t>The resulting student’s t-statistic maps of the sensor power for all sensors were tested against the null hypothesis that the distribution of a given condition in N</w:t>
      </w:r>
      <w:r w:rsidRPr="00E5257C">
        <w:rPr>
          <w:vertAlign w:val="subscript"/>
          <w:lang w:val="en-GB"/>
        </w:rPr>
        <w:t>2</w:t>
      </w:r>
      <w:r w:rsidRPr="00E5257C">
        <w:rPr>
          <w:lang w:val="en-GB"/>
        </w:rPr>
        <w:t xml:space="preserve">O isn’t significantly different to the same condition for Xe. In order to correct for multiple comparisons across the </w:t>
      </w:r>
      <w:r w:rsidR="00362799">
        <w:rPr>
          <w:lang w:val="en-GB"/>
        </w:rPr>
        <w:t>magnetoencephalography</w:t>
      </w:r>
      <w:r w:rsidRPr="00E5257C">
        <w:rPr>
          <w:lang w:val="en-GB"/>
        </w:rPr>
        <w:t xml:space="preserve"> and </w:t>
      </w:r>
      <w:r w:rsidR="00362799">
        <w:rPr>
          <w:lang w:val="en-GB"/>
        </w:rPr>
        <w:t>electroencephalography</w:t>
      </w:r>
      <w:r w:rsidRPr="00E5257C">
        <w:rPr>
          <w:lang w:val="en-GB"/>
        </w:rPr>
        <w:t xml:space="preserve"> sensors, a null distribution was computed using 5000 permutations of the t-statistic sign at each sensor and across participants.</w:t>
      </w:r>
      <w:r w:rsidRPr="00E5257C">
        <w:rPr>
          <w:lang w:val="en-GB"/>
        </w:rPr>
        <w:fldChar w:fldCharType="begin" w:fldLock="1"/>
      </w:r>
      <w:r w:rsidR="00AB0376">
        <w:rPr>
          <w:lang w:val="en-GB"/>
        </w:rPr>
        <w:instrText>ADDIN CSL_CITATION {"citationItems":[{"id":"ITEM-1","itemData":{"DOI":"10.1016/j.neuroimage.2004.09.040","ISBN":"1053-8119","ISSN":"10538119","PMID":"15784416","abstract":"We describe the use of random field and permutation methods to detect activation in cortically constrained maps of current density computed from MEG data. The methods are applicable to any inverse imaging method that maps event-related MEG to a coregistered cortical surface. These approaches also extend directly to images computed from event-related EEG data. We determine statistical thresholds that control the familywise error rate (FWER) across space or across both space and time. Both random field and permutation methods use the distribution of the maximum statistic under the null hypothesis to find FWER thresholds. The former methods make assumptions on the distribution and smoothness of the data and use approximate analytical solutions, the latter resample the data and rely on empirical distributions. Both methods account for spatial and temporal correlation in the cortical maps. Unlike previous nonparametric work in neuroimaging, we address the problem of nonuniform specificity that can arise without a Gaussianity assumption. We compare and evaluate the methods on simulated data and experimental data from a somatosensory-evoked response study. We find that the random field methods are conservative with or without smoothing, though with a 5 vertex FWHM smoothness, they are close to exact. Our permutation methods demonstrated exact specificity in simulation studies. In real data, the permutation method was not as sensitive as the RF method, although this could be due to violations of the random field theory assumptions. ?? 2004 Elsevier Inc. All rights reserved.","author":[{"dropping-particle":"","family":"Pantazis","given":"Dimitrios","non-dropping-particle":"","parse-names":false,"suffix":""},{"dropping-particle":"","family":"Nichols","given":"Thomas E.","non-dropping-particle":"","parse-names":false,"suffix":""},{"dropping-particle":"","family":"Baillet","given":"Sylvain","non-dropping-particle":"","parse-names":false,"suffix":""},{"dropping-particle":"","family":"Leahy","given":"Richard M.","non-dropping-particle":"","parse-names":false,"suffix":""}],"container-title":"NeuroImage","id":"ITEM-1","issue":"2","issued":{"date-parts":[["2005"]]},"page":"383-394","title":"A comparison of random field theory and permutation methods for the statistical analysis of MEG data","type":"article-journal","volume":"25"},"uris":["http://www.mendeley.com/documents/?uuid=73e046d3-b16b-48ad-a50e-805b96790c5c"]}],"mendeley":{"formattedCitation":"&lt;sup&gt;5&lt;/sup&gt;","plainTextFormattedCitation":"5","previouslyFormattedCitation":"&lt;sup&gt;5&lt;/sup&gt;"},"properties":{"noteIndex":0},"schema":"https://github.com/citation-style-language/schema/raw/master/csl-citation.json"}</w:instrText>
      </w:r>
      <w:r w:rsidRPr="00E5257C">
        <w:rPr>
          <w:lang w:val="en-GB"/>
        </w:rPr>
        <w:fldChar w:fldCharType="separate"/>
      </w:r>
      <w:r w:rsidRPr="00E5257C">
        <w:rPr>
          <w:noProof/>
          <w:vertAlign w:val="superscript"/>
          <w:lang w:val="en-GB"/>
        </w:rPr>
        <w:t>5</w:t>
      </w:r>
      <w:r w:rsidRPr="00E5257C">
        <w:rPr>
          <w:lang w:val="en-GB"/>
        </w:rPr>
        <w:fldChar w:fldCharType="end"/>
      </w:r>
      <w:r w:rsidRPr="00E5257C">
        <w:rPr>
          <w:lang w:val="en-GB"/>
        </w:rPr>
        <w:t xml:space="preserve"> Calculation of one-sample t-tests was performed across individuals. Maximum statistics with significance set at p=0.050 were performed under the omnibus null hypothesis that if changes at each permutation were not significant at the sensors with the highest and lowest t-statistic values then none of the remaining sensors should have significant changes. This method allowed for the correction of multiple </w:t>
      </w:r>
      <w:r w:rsidRPr="00E5257C">
        <w:rPr>
          <w:lang w:val="en-GB"/>
        </w:rPr>
        <w:lastRenderedPageBreak/>
        <w:t>comparisons problem across sensors. Finally, in order to correct for the multiple comparisons performed across conditions, Bonferroni-Holm corrections were used, resulting in a t-statistic threshold with significance set at</w:t>
      </w:r>
      <w:r w:rsidR="009D627D" w:rsidRPr="00E5257C">
        <w:rPr>
          <w:rFonts w:cs="Times New Roman"/>
          <w:lang w:val="en-GB"/>
        </w:rPr>
        <w:t xml:space="preserve"> </w:t>
      </w:r>
      <w:r w:rsidR="009D627D" w:rsidRPr="00E5257C">
        <w:rPr>
          <w:rFonts w:eastAsia="Times New Roman" w:cs="Times New Roman"/>
          <w:shd w:val="clear" w:color="auto" w:fill="FFFFFF"/>
          <w:lang w:val="en-GB" w:eastAsia="en-GB"/>
        </w:rPr>
        <w:t>p=0.004 for the multiple conditions comparison across gases (p=0.025 to allow for two tailed comparison of increases and decreases in power; p=0.025/6 for the six condition comparisons).</w:t>
      </w:r>
    </w:p>
    <w:p w14:paraId="350CEDD0" w14:textId="7A7C137F" w:rsidR="00E5257C" w:rsidRPr="00E5257C" w:rsidRDefault="00E5257C" w:rsidP="000C5780">
      <w:pPr>
        <w:spacing w:line="480" w:lineRule="auto"/>
        <w:jc w:val="both"/>
        <w:rPr>
          <w:rFonts w:eastAsia="Times New Roman" w:cs="Times New Roman"/>
          <w:shd w:val="clear" w:color="auto" w:fill="FFFFFF"/>
          <w:lang w:val="en-GB" w:eastAsia="en-GB"/>
        </w:rPr>
      </w:pPr>
      <w:r w:rsidRPr="00E5257C">
        <w:rPr>
          <w:rFonts w:eastAsia="Times New Roman" w:cs="Times New Roman"/>
          <w:shd w:val="clear" w:color="auto" w:fill="FFFFFF"/>
          <w:lang w:val="en-GB" w:eastAsia="en-GB"/>
        </w:rPr>
        <w:t xml:space="preserve">Significant differences (p=0.004) in sensor level </w:t>
      </w:r>
      <w:r w:rsidR="00362799">
        <w:rPr>
          <w:rFonts w:eastAsia="Times New Roman" w:cs="Times New Roman"/>
          <w:shd w:val="clear" w:color="auto" w:fill="FFFFFF"/>
          <w:lang w:val="en-GB" w:eastAsia="en-GB"/>
        </w:rPr>
        <w:t>magnetoencephalography</w:t>
      </w:r>
      <w:r w:rsidRPr="00E5257C">
        <w:rPr>
          <w:rFonts w:eastAsia="Times New Roman" w:cs="Times New Roman"/>
          <w:shd w:val="clear" w:color="auto" w:fill="FFFFFF"/>
          <w:lang w:val="en-GB" w:eastAsia="en-GB"/>
        </w:rPr>
        <w:t xml:space="preserve"> and </w:t>
      </w:r>
      <w:r w:rsidR="00362799">
        <w:rPr>
          <w:rFonts w:eastAsia="Times New Roman" w:cs="Times New Roman"/>
          <w:shd w:val="clear" w:color="auto" w:fill="FFFFFF"/>
          <w:lang w:val="en-GB" w:eastAsia="en-GB"/>
        </w:rPr>
        <w:t>electroencephalography</w:t>
      </w:r>
      <w:r w:rsidRPr="00E5257C">
        <w:rPr>
          <w:rFonts w:eastAsia="Times New Roman" w:cs="Times New Roman"/>
          <w:shd w:val="clear" w:color="auto" w:fill="FFFFFF"/>
          <w:lang w:val="en-GB" w:eastAsia="en-GB"/>
        </w:rPr>
        <w:t xml:space="preserve"> for equivalent N</w:t>
      </w:r>
      <w:r w:rsidRPr="00E5257C">
        <w:rPr>
          <w:rFonts w:eastAsia="Times New Roman" w:cs="Times New Roman"/>
          <w:shd w:val="clear" w:color="auto" w:fill="FFFFFF"/>
          <w:vertAlign w:val="subscript"/>
          <w:lang w:val="en-GB" w:eastAsia="en-GB"/>
        </w:rPr>
        <w:t>2</w:t>
      </w:r>
      <w:r w:rsidRPr="00E5257C">
        <w:rPr>
          <w:rFonts w:eastAsia="Times New Roman" w:cs="Times New Roman"/>
          <w:shd w:val="clear" w:color="auto" w:fill="FFFFFF"/>
          <w:lang w:val="en-GB" w:eastAsia="en-GB"/>
        </w:rPr>
        <w:t xml:space="preserve">O to Xe concentrations are shown in Supp. Figure 3A and summarized in Supp. Table 3A. Importantly, this contrast revealed no significant differences in the pre-antiemetic baselines and post-antiemetic baseline across the two agents suggesting that the two recording sessions were sufficiently similar in all participants and both modalities. In addition, this comparison again pointed to agent as well as modality specific alterations. Differences across the two dissociative agents were observed in all frequencies for </w:t>
      </w:r>
      <w:r w:rsidR="00362799">
        <w:rPr>
          <w:rFonts w:eastAsia="Times New Roman" w:cs="Times New Roman"/>
          <w:shd w:val="clear" w:color="auto" w:fill="FFFFFF"/>
          <w:lang w:val="en-GB" w:eastAsia="en-GB"/>
        </w:rPr>
        <w:t>electroencephalography</w:t>
      </w:r>
      <w:r w:rsidRPr="00E5257C">
        <w:rPr>
          <w:rFonts w:eastAsia="Times New Roman" w:cs="Times New Roman"/>
          <w:shd w:val="clear" w:color="auto" w:fill="FFFFFF"/>
          <w:lang w:val="en-GB" w:eastAsia="en-GB"/>
        </w:rPr>
        <w:t xml:space="preserve"> sensor absolute power while the </w:t>
      </w:r>
      <w:r w:rsidR="00362799">
        <w:rPr>
          <w:rFonts w:eastAsia="Times New Roman" w:cs="Times New Roman"/>
          <w:shd w:val="clear" w:color="auto" w:fill="FFFFFF"/>
          <w:lang w:val="en-GB" w:eastAsia="en-GB"/>
        </w:rPr>
        <w:t>magnetoencephalography</w:t>
      </w:r>
      <w:r w:rsidRPr="00E5257C">
        <w:rPr>
          <w:rFonts w:eastAsia="Times New Roman" w:cs="Times New Roman"/>
          <w:shd w:val="clear" w:color="auto" w:fill="FFFFFF"/>
          <w:lang w:val="en-GB" w:eastAsia="en-GB"/>
        </w:rPr>
        <w:t xml:space="preserve"> only yielded differences in the delta, theta, alpha and beta bands. The contrast revealed bandwidth and modality invariant decreases for N</w:t>
      </w:r>
      <w:r w:rsidRPr="00E5257C">
        <w:rPr>
          <w:rFonts w:eastAsia="Times New Roman" w:cs="Times New Roman"/>
          <w:shd w:val="clear" w:color="auto" w:fill="FFFFFF"/>
          <w:vertAlign w:val="subscript"/>
          <w:lang w:val="en-GB" w:eastAsia="en-GB"/>
        </w:rPr>
        <w:t>2</w:t>
      </w:r>
      <w:r w:rsidRPr="00E5257C">
        <w:rPr>
          <w:rFonts w:eastAsia="Times New Roman" w:cs="Times New Roman"/>
          <w:shd w:val="clear" w:color="auto" w:fill="FFFFFF"/>
          <w:lang w:val="en-GB" w:eastAsia="en-GB"/>
        </w:rPr>
        <w:t xml:space="preserve">O relative to Xe and bandwidth and modality specific occipital increases in </w:t>
      </w:r>
      <w:r w:rsidR="00362799">
        <w:rPr>
          <w:rFonts w:eastAsia="Times New Roman" w:cs="Times New Roman"/>
          <w:shd w:val="clear" w:color="auto" w:fill="FFFFFF"/>
          <w:lang w:val="en-GB" w:eastAsia="en-GB"/>
        </w:rPr>
        <w:t>magnetoencephalography</w:t>
      </w:r>
      <w:r w:rsidRPr="00E5257C">
        <w:rPr>
          <w:rFonts w:eastAsia="Times New Roman" w:cs="Times New Roman"/>
          <w:shd w:val="clear" w:color="auto" w:fill="FFFFFF"/>
          <w:lang w:val="en-GB" w:eastAsia="en-GB"/>
        </w:rPr>
        <w:t xml:space="preserve"> delta, theta and alpha bands.</w:t>
      </w:r>
    </w:p>
    <w:p w14:paraId="76663E26" w14:textId="4B6B2A4B" w:rsidR="00E5257C" w:rsidRPr="00E5257C" w:rsidRDefault="00E5257C" w:rsidP="00E5257C">
      <w:pPr>
        <w:spacing w:line="480" w:lineRule="auto"/>
        <w:jc w:val="both"/>
        <w:rPr>
          <w:rFonts w:eastAsia="Times New Roman" w:cs="Times New Roman"/>
          <w:i/>
          <w:shd w:val="clear" w:color="auto" w:fill="FFFFFF"/>
          <w:lang w:val="en-GB" w:eastAsia="en-GB"/>
        </w:rPr>
      </w:pPr>
      <w:r w:rsidRPr="00E5257C">
        <w:rPr>
          <w:rFonts w:cs="Times New Roman"/>
          <w:i/>
          <w:noProof/>
          <w:lang w:val="en-GB" w:eastAsia="en-GB"/>
        </w:rPr>
        <w:lastRenderedPageBreak/>
        <w:drawing>
          <wp:inline distT="0" distB="0" distL="0" distR="0" wp14:anchorId="69426E10" wp14:editId="3F0272FA">
            <wp:extent cx="5731510" cy="4072890"/>
            <wp:effectExtent l="0" t="0" r="254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nsor_tstat_gas.png"/>
                    <pic:cNvPicPr/>
                  </pic:nvPicPr>
                  <pic:blipFill>
                    <a:blip r:embed="rId5">
                      <a:extLst>
                        <a:ext uri="{28A0092B-C50C-407E-A947-70E740481C1C}">
                          <a14:useLocalDpi xmlns:a14="http://schemas.microsoft.com/office/drawing/2010/main" val="0"/>
                        </a:ext>
                      </a:extLst>
                    </a:blip>
                    <a:stretch>
                      <a:fillRect/>
                    </a:stretch>
                  </pic:blipFill>
                  <pic:spPr>
                    <a:xfrm>
                      <a:off x="0" y="0"/>
                      <a:ext cx="5731510" cy="4072890"/>
                    </a:xfrm>
                    <a:prstGeom prst="rect">
                      <a:avLst/>
                    </a:prstGeom>
                  </pic:spPr>
                </pic:pic>
              </a:graphicData>
            </a:graphic>
          </wp:inline>
        </w:drawing>
      </w:r>
    </w:p>
    <w:p w14:paraId="356EDAA1" w14:textId="2913F1B7" w:rsidR="00E5257C" w:rsidRPr="00E5257C" w:rsidRDefault="00E5257C" w:rsidP="00E5257C">
      <w:pPr>
        <w:spacing w:line="480" w:lineRule="auto"/>
        <w:jc w:val="both"/>
        <w:rPr>
          <w:rFonts w:eastAsia="Times New Roman" w:cs="Times New Roman"/>
          <w:shd w:val="clear" w:color="auto" w:fill="FFFFFF"/>
          <w:lang w:val="en-GB" w:eastAsia="en-GB"/>
        </w:rPr>
      </w:pPr>
      <w:r w:rsidRPr="00E5257C">
        <w:rPr>
          <w:rFonts w:eastAsia="Times New Roman" w:cs="Times New Roman"/>
          <w:i/>
          <w:shd w:val="clear" w:color="auto" w:fill="FFFFFF"/>
          <w:lang w:val="en-GB" w:eastAsia="en-GB"/>
        </w:rPr>
        <w:t>Supp. Figure 3A. Group sensor level differences in power across equivalent increasing Xenon and Nitrous Oxide administered doses.</w:t>
      </w:r>
      <w:r w:rsidRPr="00E5257C">
        <w:rPr>
          <w:rFonts w:eastAsia="Times New Roman" w:cs="Times New Roman"/>
          <w:shd w:val="clear" w:color="auto" w:fill="FFFFFF"/>
          <w:lang w:val="en-GB" w:eastAsia="en-GB"/>
        </w:rPr>
        <w:t xml:space="preserve"> Maximum statistic and Bonferroni corrected t-statistic topomaps with significant changes (p=0.004) for 0.25, 0.50, 0.75 MAC-awake Nitrous Oxide (N</w:t>
      </w:r>
      <w:r w:rsidRPr="00E5257C">
        <w:rPr>
          <w:rFonts w:eastAsia="Times New Roman" w:cs="Times New Roman"/>
          <w:shd w:val="clear" w:color="auto" w:fill="FFFFFF"/>
          <w:vertAlign w:val="subscript"/>
          <w:lang w:val="en-GB" w:eastAsia="en-GB"/>
        </w:rPr>
        <w:t>2</w:t>
      </w:r>
      <w:r w:rsidRPr="00E5257C">
        <w:rPr>
          <w:rFonts w:eastAsia="Times New Roman" w:cs="Times New Roman"/>
          <w:shd w:val="clear" w:color="auto" w:fill="FFFFFF"/>
          <w:lang w:val="en-GB" w:eastAsia="en-GB"/>
        </w:rPr>
        <w:t xml:space="preserve">O) relative to Xenon (Xe) for the 306 </w:t>
      </w:r>
      <w:r w:rsidR="00362799">
        <w:rPr>
          <w:rFonts w:eastAsia="Times New Roman" w:cs="Times New Roman"/>
          <w:shd w:val="clear" w:color="auto" w:fill="FFFFFF"/>
          <w:lang w:val="en-GB" w:eastAsia="en-GB"/>
        </w:rPr>
        <w:t>magnetoencephalography</w:t>
      </w:r>
      <w:r w:rsidRPr="00E5257C">
        <w:rPr>
          <w:rFonts w:eastAsia="Times New Roman" w:cs="Times New Roman"/>
          <w:shd w:val="clear" w:color="auto" w:fill="FFFFFF"/>
          <w:lang w:val="en-GB" w:eastAsia="en-GB"/>
        </w:rPr>
        <w:t xml:space="preserve"> channels (MEG) and 64 </w:t>
      </w:r>
      <w:r w:rsidR="00362799">
        <w:rPr>
          <w:rFonts w:eastAsia="Times New Roman" w:cs="Times New Roman"/>
          <w:shd w:val="clear" w:color="auto" w:fill="FFFFFF"/>
          <w:lang w:val="en-GB" w:eastAsia="en-GB"/>
        </w:rPr>
        <w:t>electroencephalography</w:t>
      </w:r>
      <w:r w:rsidRPr="00E5257C">
        <w:rPr>
          <w:rFonts w:eastAsia="Times New Roman" w:cs="Times New Roman"/>
          <w:shd w:val="clear" w:color="auto" w:fill="FFFFFF"/>
          <w:lang w:val="en-GB" w:eastAsia="en-GB"/>
        </w:rPr>
        <w:t xml:space="preserve"> channels (EEG). Absolute maximum significance for MEG and </w:t>
      </w:r>
      <w:r w:rsidR="00362799">
        <w:rPr>
          <w:rFonts w:eastAsia="Times New Roman" w:cs="Times New Roman"/>
          <w:shd w:val="clear" w:color="auto" w:fill="FFFFFF"/>
          <w:lang w:val="en-GB" w:eastAsia="en-GB"/>
        </w:rPr>
        <w:t>EEG</w:t>
      </w:r>
      <w:r w:rsidRPr="00E5257C">
        <w:rPr>
          <w:rFonts w:eastAsia="Times New Roman" w:cs="Times New Roman"/>
          <w:shd w:val="clear" w:color="auto" w:fill="FFFFFF"/>
          <w:lang w:val="en-GB" w:eastAsia="en-GB"/>
        </w:rPr>
        <w:t xml:space="preserve"> (t-value = 11.24). [</w:t>
      </w:r>
      <w:proofErr w:type="gramStart"/>
      <w:r w:rsidRPr="00E5257C">
        <w:rPr>
          <w:rFonts w:eastAsia="Times New Roman" w:cs="Times New Roman"/>
          <w:shd w:val="clear" w:color="auto" w:fill="FFFFFF"/>
          <w:lang w:val="en-GB" w:eastAsia="en-GB"/>
        </w:rPr>
        <w:t>delta</w:t>
      </w:r>
      <w:proofErr w:type="gramEnd"/>
      <w:r w:rsidRPr="00E5257C">
        <w:rPr>
          <w:rFonts w:eastAsia="Times New Roman" w:cs="Times New Roman"/>
          <w:shd w:val="clear" w:color="auto" w:fill="FFFFFF"/>
          <w:lang w:val="en-GB" w:eastAsia="en-GB"/>
        </w:rPr>
        <w:t xml:space="preserve"> (1-4 Hz), theta (4-8 Hz), alpha (8-13 Hz), beta (13-30 Hz), low gamma (30-49 Hz), high gamma (51-99 Hz)].</w:t>
      </w:r>
    </w:p>
    <w:tbl>
      <w:tblPr>
        <w:tblStyle w:val="TableGrid1"/>
        <w:tblW w:w="10304" w:type="dxa"/>
        <w:tblInd w:w="-670" w:type="dxa"/>
        <w:tblLayout w:type="fixed"/>
        <w:tblLook w:val="04A0" w:firstRow="1" w:lastRow="0" w:firstColumn="1" w:lastColumn="0" w:noHBand="0" w:noVBand="1"/>
      </w:tblPr>
      <w:tblGrid>
        <w:gridCol w:w="905"/>
        <w:gridCol w:w="694"/>
        <w:gridCol w:w="1760"/>
        <w:gridCol w:w="1701"/>
        <w:gridCol w:w="1417"/>
        <w:gridCol w:w="1701"/>
        <w:gridCol w:w="2126"/>
      </w:tblGrid>
      <w:tr w:rsidR="00E5257C" w:rsidRPr="00E5257C" w14:paraId="59BC0B78" w14:textId="77777777" w:rsidTr="00D46666">
        <w:tc>
          <w:tcPr>
            <w:tcW w:w="905" w:type="dxa"/>
          </w:tcPr>
          <w:p w14:paraId="07827C30" w14:textId="77777777" w:rsidR="00E5257C" w:rsidRPr="00E5257C" w:rsidRDefault="00E5257C" w:rsidP="00E5257C">
            <w:pPr>
              <w:rPr>
                <w:sz w:val="20"/>
                <w:szCs w:val="20"/>
                <w:lang w:val="en-GB"/>
              </w:rPr>
            </w:pPr>
          </w:p>
        </w:tc>
        <w:tc>
          <w:tcPr>
            <w:tcW w:w="2454" w:type="dxa"/>
            <w:gridSpan w:val="2"/>
          </w:tcPr>
          <w:p w14:paraId="33E2E35A" w14:textId="77777777" w:rsidR="00E5257C" w:rsidRPr="00E5257C" w:rsidRDefault="00E5257C" w:rsidP="00E5257C">
            <w:pPr>
              <w:rPr>
                <w:sz w:val="20"/>
                <w:szCs w:val="20"/>
                <w:lang w:val="en-GB"/>
              </w:rPr>
            </w:pPr>
            <w:r w:rsidRPr="00E5257C">
              <w:rPr>
                <w:sz w:val="20"/>
                <w:szCs w:val="20"/>
                <w:lang w:val="en-GB"/>
              </w:rPr>
              <w:t xml:space="preserve">0.25 MAC-awake </w:t>
            </w:r>
            <w:r w:rsidRPr="00E5257C">
              <w:rPr>
                <w:color w:val="000000" w:themeColor="text1"/>
                <w:sz w:val="20"/>
                <w:szCs w:val="20"/>
                <w:lang w:val="en-GB"/>
              </w:rPr>
              <w:t>N</w:t>
            </w:r>
            <w:r w:rsidRPr="00E5257C">
              <w:rPr>
                <w:color w:val="000000" w:themeColor="text1"/>
                <w:sz w:val="20"/>
                <w:szCs w:val="20"/>
                <w:vertAlign w:val="subscript"/>
                <w:lang w:val="en-GB"/>
              </w:rPr>
              <w:t>2</w:t>
            </w:r>
            <w:r w:rsidRPr="00E5257C">
              <w:rPr>
                <w:color w:val="000000" w:themeColor="text1"/>
                <w:sz w:val="20"/>
                <w:szCs w:val="20"/>
                <w:lang w:val="en-GB"/>
              </w:rPr>
              <w:t xml:space="preserve">O-Xe </w:t>
            </w:r>
          </w:p>
        </w:tc>
        <w:tc>
          <w:tcPr>
            <w:tcW w:w="3118" w:type="dxa"/>
            <w:gridSpan w:val="2"/>
          </w:tcPr>
          <w:p w14:paraId="2238CA17" w14:textId="77777777" w:rsidR="00E5257C" w:rsidRPr="00E5257C" w:rsidRDefault="00E5257C" w:rsidP="00E5257C">
            <w:pPr>
              <w:rPr>
                <w:sz w:val="20"/>
                <w:szCs w:val="20"/>
                <w:lang w:val="en-GB"/>
              </w:rPr>
            </w:pPr>
            <w:r w:rsidRPr="00E5257C">
              <w:rPr>
                <w:sz w:val="20"/>
                <w:szCs w:val="20"/>
                <w:lang w:val="en-GB"/>
              </w:rPr>
              <w:t xml:space="preserve">0.50 MAC-awake </w:t>
            </w:r>
            <w:r w:rsidRPr="00E5257C">
              <w:rPr>
                <w:color w:val="000000" w:themeColor="text1"/>
                <w:sz w:val="20"/>
                <w:szCs w:val="20"/>
                <w:lang w:val="en-GB"/>
              </w:rPr>
              <w:t>N</w:t>
            </w:r>
            <w:r w:rsidRPr="00E5257C">
              <w:rPr>
                <w:color w:val="000000" w:themeColor="text1"/>
                <w:sz w:val="20"/>
                <w:szCs w:val="20"/>
                <w:vertAlign w:val="subscript"/>
                <w:lang w:val="en-GB"/>
              </w:rPr>
              <w:t>2</w:t>
            </w:r>
            <w:r w:rsidRPr="00E5257C">
              <w:rPr>
                <w:color w:val="000000" w:themeColor="text1"/>
                <w:sz w:val="20"/>
                <w:szCs w:val="20"/>
                <w:lang w:val="en-GB"/>
              </w:rPr>
              <w:t>O-Xe</w:t>
            </w:r>
          </w:p>
        </w:tc>
        <w:tc>
          <w:tcPr>
            <w:tcW w:w="3827" w:type="dxa"/>
            <w:gridSpan w:val="2"/>
          </w:tcPr>
          <w:p w14:paraId="77AD9863" w14:textId="77777777" w:rsidR="00E5257C" w:rsidRPr="00E5257C" w:rsidRDefault="00E5257C" w:rsidP="00E5257C">
            <w:pPr>
              <w:rPr>
                <w:sz w:val="20"/>
                <w:szCs w:val="20"/>
                <w:lang w:val="en-GB"/>
              </w:rPr>
            </w:pPr>
            <w:r w:rsidRPr="00E5257C">
              <w:rPr>
                <w:sz w:val="20"/>
                <w:szCs w:val="20"/>
                <w:lang w:val="en-GB"/>
              </w:rPr>
              <w:t xml:space="preserve">0.75 MAC-awake </w:t>
            </w:r>
            <w:r w:rsidRPr="00E5257C">
              <w:rPr>
                <w:color w:val="000000" w:themeColor="text1"/>
                <w:sz w:val="20"/>
                <w:szCs w:val="20"/>
                <w:lang w:val="en-GB"/>
              </w:rPr>
              <w:t>N</w:t>
            </w:r>
            <w:r w:rsidRPr="00E5257C">
              <w:rPr>
                <w:color w:val="000000" w:themeColor="text1"/>
                <w:sz w:val="20"/>
                <w:szCs w:val="20"/>
                <w:vertAlign w:val="subscript"/>
                <w:lang w:val="en-GB"/>
              </w:rPr>
              <w:t>2</w:t>
            </w:r>
            <w:r w:rsidRPr="00E5257C">
              <w:rPr>
                <w:color w:val="000000" w:themeColor="text1"/>
                <w:sz w:val="20"/>
                <w:szCs w:val="20"/>
                <w:lang w:val="en-GB"/>
              </w:rPr>
              <w:t>O-Xe</w:t>
            </w:r>
          </w:p>
        </w:tc>
      </w:tr>
      <w:tr w:rsidR="00E5257C" w:rsidRPr="00E5257C" w14:paraId="093C116A" w14:textId="77777777" w:rsidTr="00D46666">
        <w:tc>
          <w:tcPr>
            <w:tcW w:w="905" w:type="dxa"/>
          </w:tcPr>
          <w:p w14:paraId="1E10DE07" w14:textId="77777777" w:rsidR="00E5257C" w:rsidRPr="00E5257C" w:rsidRDefault="00E5257C" w:rsidP="00E5257C">
            <w:pPr>
              <w:rPr>
                <w:sz w:val="20"/>
                <w:szCs w:val="20"/>
                <w:lang w:val="en-GB"/>
              </w:rPr>
            </w:pPr>
          </w:p>
        </w:tc>
        <w:tc>
          <w:tcPr>
            <w:tcW w:w="694" w:type="dxa"/>
          </w:tcPr>
          <w:p w14:paraId="08226772" w14:textId="77777777" w:rsidR="00E5257C" w:rsidRPr="00E5257C" w:rsidRDefault="00E5257C" w:rsidP="00E5257C">
            <w:pPr>
              <w:rPr>
                <w:sz w:val="20"/>
                <w:szCs w:val="20"/>
                <w:lang w:val="en-GB"/>
              </w:rPr>
            </w:pPr>
            <w:r w:rsidRPr="00E5257C">
              <w:rPr>
                <w:sz w:val="20"/>
                <w:szCs w:val="20"/>
                <w:lang w:val="en-GB"/>
              </w:rPr>
              <w:t>MEG</w:t>
            </w:r>
          </w:p>
        </w:tc>
        <w:tc>
          <w:tcPr>
            <w:tcW w:w="1760" w:type="dxa"/>
          </w:tcPr>
          <w:p w14:paraId="2AE73D08" w14:textId="77777777" w:rsidR="00E5257C" w:rsidRPr="00E5257C" w:rsidRDefault="00E5257C" w:rsidP="00E5257C">
            <w:pPr>
              <w:rPr>
                <w:sz w:val="20"/>
                <w:szCs w:val="20"/>
                <w:lang w:val="en-GB"/>
              </w:rPr>
            </w:pPr>
            <w:r w:rsidRPr="00E5257C">
              <w:rPr>
                <w:sz w:val="20"/>
                <w:szCs w:val="20"/>
                <w:lang w:val="en-GB"/>
              </w:rPr>
              <w:t>EEG</w:t>
            </w:r>
          </w:p>
        </w:tc>
        <w:tc>
          <w:tcPr>
            <w:tcW w:w="1701" w:type="dxa"/>
          </w:tcPr>
          <w:p w14:paraId="041D33BA" w14:textId="77777777" w:rsidR="00E5257C" w:rsidRPr="00E5257C" w:rsidRDefault="00E5257C" w:rsidP="00E5257C">
            <w:pPr>
              <w:rPr>
                <w:sz w:val="20"/>
                <w:szCs w:val="20"/>
                <w:lang w:val="en-GB"/>
              </w:rPr>
            </w:pPr>
            <w:r w:rsidRPr="00E5257C">
              <w:rPr>
                <w:sz w:val="20"/>
                <w:szCs w:val="20"/>
                <w:lang w:val="en-GB"/>
              </w:rPr>
              <w:t>MEG</w:t>
            </w:r>
          </w:p>
        </w:tc>
        <w:tc>
          <w:tcPr>
            <w:tcW w:w="1417" w:type="dxa"/>
          </w:tcPr>
          <w:p w14:paraId="6F56158C" w14:textId="77777777" w:rsidR="00E5257C" w:rsidRPr="00E5257C" w:rsidRDefault="00E5257C" w:rsidP="00E5257C">
            <w:pPr>
              <w:rPr>
                <w:sz w:val="20"/>
                <w:szCs w:val="20"/>
                <w:lang w:val="en-GB"/>
              </w:rPr>
            </w:pPr>
            <w:r w:rsidRPr="00E5257C">
              <w:rPr>
                <w:sz w:val="20"/>
                <w:szCs w:val="20"/>
                <w:lang w:val="en-GB"/>
              </w:rPr>
              <w:t>EEG</w:t>
            </w:r>
          </w:p>
        </w:tc>
        <w:tc>
          <w:tcPr>
            <w:tcW w:w="1701" w:type="dxa"/>
          </w:tcPr>
          <w:p w14:paraId="548597CA" w14:textId="77777777" w:rsidR="00E5257C" w:rsidRPr="00E5257C" w:rsidRDefault="00E5257C" w:rsidP="00E5257C">
            <w:pPr>
              <w:rPr>
                <w:sz w:val="20"/>
                <w:szCs w:val="20"/>
                <w:lang w:val="en-GB"/>
              </w:rPr>
            </w:pPr>
            <w:r w:rsidRPr="00E5257C">
              <w:rPr>
                <w:sz w:val="20"/>
                <w:szCs w:val="20"/>
                <w:lang w:val="en-GB"/>
              </w:rPr>
              <w:t>MEG</w:t>
            </w:r>
          </w:p>
        </w:tc>
        <w:tc>
          <w:tcPr>
            <w:tcW w:w="2126" w:type="dxa"/>
          </w:tcPr>
          <w:p w14:paraId="241D0B02" w14:textId="77777777" w:rsidR="00E5257C" w:rsidRPr="00E5257C" w:rsidRDefault="00E5257C" w:rsidP="00E5257C">
            <w:pPr>
              <w:rPr>
                <w:sz w:val="20"/>
                <w:szCs w:val="20"/>
                <w:lang w:val="en-GB"/>
              </w:rPr>
            </w:pPr>
            <w:r w:rsidRPr="00E5257C">
              <w:rPr>
                <w:sz w:val="20"/>
                <w:szCs w:val="20"/>
                <w:lang w:val="en-GB"/>
              </w:rPr>
              <w:t>EEG</w:t>
            </w:r>
          </w:p>
        </w:tc>
      </w:tr>
      <w:tr w:rsidR="00E5257C" w:rsidRPr="00E5257C" w14:paraId="0FC94CE1" w14:textId="77777777" w:rsidTr="00D46666">
        <w:tc>
          <w:tcPr>
            <w:tcW w:w="905" w:type="dxa"/>
          </w:tcPr>
          <w:p w14:paraId="6074C022" w14:textId="77777777" w:rsidR="00E5257C" w:rsidRPr="00E5257C" w:rsidRDefault="00E5257C" w:rsidP="00E5257C">
            <w:pPr>
              <w:rPr>
                <w:sz w:val="20"/>
                <w:szCs w:val="20"/>
                <w:lang w:val="en-GB"/>
              </w:rPr>
            </w:pPr>
          </w:p>
          <w:p w14:paraId="79FBD421" w14:textId="77777777" w:rsidR="00E5257C" w:rsidRPr="00E5257C" w:rsidRDefault="00E5257C" w:rsidP="00E5257C">
            <w:pPr>
              <w:rPr>
                <w:sz w:val="20"/>
                <w:szCs w:val="20"/>
                <w:lang w:val="en-GB"/>
              </w:rPr>
            </w:pPr>
          </w:p>
          <w:p w14:paraId="4D05F8E3" w14:textId="77777777" w:rsidR="00E5257C" w:rsidRPr="00E5257C" w:rsidRDefault="00E5257C" w:rsidP="00E5257C">
            <w:pPr>
              <w:rPr>
                <w:sz w:val="20"/>
                <w:szCs w:val="20"/>
                <w:lang w:val="en-GB"/>
              </w:rPr>
            </w:pPr>
          </w:p>
          <w:p w14:paraId="792A02E3" w14:textId="77777777" w:rsidR="00E5257C" w:rsidRPr="00E5257C" w:rsidRDefault="00E5257C" w:rsidP="00E5257C">
            <w:pPr>
              <w:rPr>
                <w:sz w:val="20"/>
                <w:szCs w:val="20"/>
                <w:lang w:val="en-GB"/>
              </w:rPr>
            </w:pPr>
            <w:r w:rsidRPr="00E5257C">
              <w:rPr>
                <w:sz w:val="20"/>
                <w:szCs w:val="20"/>
                <w:lang w:val="en-GB"/>
              </w:rPr>
              <w:t>Delta</w:t>
            </w:r>
          </w:p>
        </w:tc>
        <w:tc>
          <w:tcPr>
            <w:tcW w:w="2454" w:type="dxa"/>
            <w:gridSpan w:val="2"/>
          </w:tcPr>
          <w:p w14:paraId="5BBDCA48" w14:textId="77777777" w:rsidR="00E5257C" w:rsidRPr="00E5257C" w:rsidRDefault="00E5257C" w:rsidP="00E5257C">
            <w:pPr>
              <w:rPr>
                <w:sz w:val="20"/>
                <w:szCs w:val="20"/>
                <w:lang w:val="en-GB"/>
              </w:rPr>
            </w:pPr>
          </w:p>
        </w:tc>
        <w:tc>
          <w:tcPr>
            <w:tcW w:w="1701" w:type="dxa"/>
          </w:tcPr>
          <w:p w14:paraId="1B0603E6"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tc>
        <w:tc>
          <w:tcPr>
            <w:tcW w:w="1417" w:type="dxa"/>
          </w:tcPr>
          <w:p w14:paraId="50D05CEE" w14:textId="77777777" w:rsidR="00E5257C" w:rsidRPr="00E5257C" w:rsidRDefault="00E5257C" w:rsidP="00E5257C">
            <w:pPr>
              <w:rPr>
                <w:color w:val="000000" w:themeColor="text1"/>
                <w:sz w:val="20"/>
                <w:szCs w:val="20"/>
                <w:lang w:val="en-GB"/>
              </w:rPr>
            </w:pPr>
            <w:r w:rsidRPr="00E5257C">
              <w:rPr>
                <w:color w:val="000000" w:themeColor="text1"/>
                <w:sz w:val="20"/>
                <w:szCs w:val="20"/>
                <w:lang w:val="en-GB"/>
              </w:rPr>
              <w:t xml:space="preserve">widespread </w:t>
            </w:r>
            <w:r w:rsidRPr="00E5257C">
              <w:rPr>
                <w:color w:val="002060"/>
                <w:sz w:val="20"/>
                <w:szCs w:val="20"/>
                <w:lang w:val="en-GB"/>
              </w:rPr>
              <w:t xml:space="preserve">decreased </w:t>
            </w:r>
            <w:r w:rsidRPr="00E5257C">
              <w:rPr>
                <w:color w:val="000000" w:themeColor="text1"/>
                <w:sz w:val="20"/>
                <w:szCs w:val="20"/>
                <w:lang w:val="en-GB"/>
              </w:rPr>
              <w:t>power</w:t>
            </w:r>
          </w:p>
        </w:tc>
        <w:tc>
          <w:tcPr>
            <w:tcW w:w="1701" w:type="dxa"/>
          </w:tcPr>
          <w:p w14:paraId="6489F026"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1ACECBE8"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0A713E8E" w14:textId="77777777" w:rsidR="00E5257C" w:rsidRPr="00E5257C" w:rsidRDefault="00E5257C" w:rsidP="00E5257C">
            <w:pPr>
              <w:rPr>
                <w:sz w:val="20"/>
                <w:szCs w:val="20"/>
                <w:lang w:val="en-GB"/>
              </w:rPr>
            </w:pPr>
            <w:r w:rsidRPr="00E5257C">
              <w:rPr>
                <w:color w:val="000000" w:themeColor="text1"/>
                <w:sz w:val="20"/>
                <w:szCs w:val="20"/>
                <w:lang w:val="en-GB"/>
              </w:rPr>
              <w:t>posterior power</w:t>
            </w:r>
          </w:p>
        </w:tc>
        <w:tc>
          <w:tcPr>
            <w:tcW w:w="2126" w:type="dxa"/>
          </w:tcPr>
          <w:p w14:paraId="357974B3" w14:textId="77777777" w:rsidR="00E5257C" w:rsidRPr="00E5257C" w:rsidRDefault="00E5257C" w:rsidP="00E5257C">
            <w:pPr>
              <w:rPr>
                <w:color w:val="002060"/>
                <w:sz w:val="20"/>
                <w:szCs w:val="20"/>
                <w:lang w:val="en-GB"/>
              </w:rPr>
            </w:pPr>
            <w:r w:rsidRPr="00E5257C">
              <w:rPr>
                <w:color w:val="002060"/>
                <w:sz w:val="20"/>
                <w:szCs w:val="20"/>
                <w:lang w:val="en-GB"/>
              </w:rPr>
              <w:t>decreased</w:t>
            </w:r>
          </w:p>
          <w:p w14:paraId="0F7EC9D4" w14:textId="77777777" w:rsidR="00E5257C" w:rsidRPr="00E5257C" w:rsidRDefault="00E5257C" w:rsidP="00E5257C">
            <w:pPr>
              <w:rPr>
                <w:color w:val="000000" w:themeColor="text1"/>
                <w:sz w:val="20"/>
                <w:szCs w:val="20"/>
                <w:lang w:val="en-GB"/>
              </w:rPr>
            </w:pPr>
            <w:r w:rsidRPr="00E5257C">
              <w:rPr>
                <w:color w:val="000000" w:themeColor="text1"/>
                <w:sz w:val="20"/>
                <w:szCs w:val="20"/>
                <w:lang w:val="en-GB"/>
              </w:rPr>
              <w:t>anterior, posterior power</w:t>
            </w:r>
          </w:p>
          <w:p w14:paraId="0E11727B"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4E618F75" w14:textId="77777777" w:rsidR="00E5257C" w:rsidRPr="00E5257C" w:rsidRDefault="00E5257C" w:rsidP="00E5257C">
            <w:pPr>
              <w:rPr>
                <w:sz w:val="20"/>
                <w:szCs w:val="20"/>
                <w:lang w:val="en-GB"/>
              </w:rPr>
            </w:pPr>
            <w:r w:rsidRPr="00E5257C">
              <w:rPr>
                <w:color w:val="000000" w:themeColor="text1"/>
                <w:sz w:val="20"/>
                <w:szCs w:val="20"/>
                <w:lang w:val="en-GB"/>
              </w:rPr>
              <w:t xml:space="preserve">left frontal/central power </w:t>
            </w:r>
          </w:p>
        </w:tc>
      </w:tr>
      <w:tr w:rsidR="00E5257C" w:rsidRPr="00E5257C" w14:paraId="6E2E8B96" w14:textId="77777777" w:rsidTr="00D46666">
        <w:tc>
          <w:tcPr>
            <w:tcW w:w="905" w:type="dxa"/>
          </w:tcPr>
          <w:p w14:paraId="38971141" w14:textId="77777777" w:rsidR="00E5257C" w:rsidRPr="00E5257C" w:rsidRDefault="00E5257C" w:rsidP="00E5257C">
            <w:pPr>
              <w:rPr>
                <w:sz w:val="20"/>
                <w:szCs w:val="20"/>
                <w:lang w:val="en-GB"/>
              </w:rPr>
            </w:pPr>
          </w:p>
          <w:p w14:paraId="167DC953" w14:textId="77777777" w:rsidR="00E5257C" w:rsidRPr="00E5257C" w:rsidRDefault="00E5257C" w:rsidP="00E5257C">
            <w:pPr>
              <w:rPr>
                <w:sz w:val="20"/>
                <w:szCs w:val="20"/>
                <w:lang w:val="en-GB"/>
              </w:rPr>
            </w:pPr>
          </w:p>
          <w:p w14:paraId="72A13F67" w14:textId="77777777" w:rsidR="00E5257C" w:rsidRPr="00E5257C" w:rsidRDefault="00E5257C" w:rsidP="00E5257C">
            <w:pPr>
              <w:rPr>
                <w:sz w:val="20"/>
                <w:szCs w:val="20"/>
                <w:lang w:val="en-GB"/>
              </w:rPr>
            </w:pPr>
            <w:r w:rsidRPr="00E5257C">
              <w:rPr>
                <w:sz w:val="20"/>
                <w:szCs w:val="20"/>
                <w:lang w:val="en-GB"/>
              </w:rPr>
              <w:t>Theta</w:t>
            </w:r>
          </w:p>
        </w:tc>
        <w:tc>
          <w:tcPr>
            <w:tcW w:w="2454" w:type="dxa"/>
            <w:gridSpan w:val="2"/>
          </w:tcPr>
          <w:p w14:paraId="2F0A52D9" w14:textId="77777777" w:rsidR="00E5257C" w:rsidRPr="00E5257C" w:rsidRDefault="00E5257C" w:rsidP="00E5257C">
            <w:pPr>
              <w:rPr>
                <w:sz w:val="20"/>
                <w:szCs w:val="20"/>
                <w:lang w:val="en-GB"/>
              </w:rPr>
            </w:pPr>
          </w:p>
        </w:tc>
        <w:tc>
          <w:tcPr>
            <w:tcW w:w="1701" w:type="dxa"/>
          </w:tcPr>
          <w:p w14:paraId="3A190F32"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6E68CC20"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456BD518" w14:textId="77777777" w:rsidR="00E5257C" w:rsidRPr="00E5257C" w:rsidRDefault="00E5257C" w:rsidP="00E5257C">
            <w:pPr>
              <w:rPr>
                <w:sz w:val="20"/>
                <w:szCs w:val="20"/>
                <w:lang w:val="en-GB"/>
              </w:rPr>
            </w:pPr>
            <w:r w:rsidRPr="00E5257C">
              <w:rPr>
                <w:color w:val="000000" w:themeColor="text1"/>
                <w:sz w:val="20"/>
                <w:szCs w:val="20"/>
                <w:lang w:val="en-GB"/>
              </w:rPr>
              <w:t>occipital power</w:t>
            </w:r>
          </w:p>
        </w:tc>
        <w:tc>
          <w:tcPr>
            <w:tcW w:w="1417" w:type="dxa"/>
          </w:tcPr>
          <w:p w14:paraId="54DAE218" w14:textId="77777777" w:rsidR="00E5257C" w:rsidRPr="00E5257C" w:rsidRDefault="00E5257C" w:rsidP="00E5257C">
            <w:pPr>
              <w:rPr>
                <w:color w:val="002060"/>
                <w:sz w:val="20"/>
                <w:szCs w:val="20"/>
                <w:lang w:val="en-GB"/>
              </w:rPr>
            </w:pPr>
            <w:r w:rsidRPr="00E5257C">
              <w:rPr>
                <w:color w:val="000000" w:themeColor="text1"/>
                <w:sz w:val="20"/>
                <w:szCs w:val="20"/>
                <w:lang w:val="en-GB"/>
              </w:rPr>
              <w:t xml:space="preserve">widespread </w:t>
            </w:r>
            <w:r w:rsidRPr="00E5257C">
              <w:rPr>
                <w:color w:val="002060"/>
                <w:sz w:val="20"/>
                <w:szCs w:val="20"/>
                <w:lang w:val="en-GB"/>
              </w:rPr>
              <w:t xml:space="preserve">decreased </w:t>
            </w:r>
          </w:p>
          <w:p w14:paraId="6C208D88" w14:textId="77777777" w:rsidR="00E5257C" w:rsidRPr="00E5257C" w:rsidRDefault="00E5257C" w:rsidP="00E5257C">
            <w:pPr>
              <w:rPr>
                <w:sz w:val="20"/>
                <w:szCs w:val="20"/>
                <w:lang w:val="en-GB"/>
              </w:rPr>
            </w:pPr>
            <w:r w:rsidRPr="00E5257C">
              <w:rPr>
                <w:sz w:val="20"/>
                <w:szCs w:val="20"/>
                <w:lang w:val="en-GB"/>
              </w:rPr>
              <w:t>power</w:t>
            </w:r>
          </w:p>
          <w:p w14:paraId="37E279F1" w14:textId="77777777" w:rsidR="00E5257C" w:rsidRPr="00E5257C" w:rsidRDefault="00E5257C" w:rsidP="00E5257C">
            <w:pPr>
              <w:rPr>
                <w:sz w:val="20"/>
                <w:szCs w:val="20"/>
                <w:lang w:val="en-GB"/>
              </w:rPr>
            </w:pPr>
          </w:p>
        </w:tc>
        <w:tc>
          <w:tcPr>
            <w:tcW w:w="1701" w:type="dxa"/>
          </w:tcPr>
          <w:p w14:paraId="066CDCCF"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195FA4E7"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0545F223" w14:textId="77777777" w:rsidR="00E5257C" w:rsidRPr="00E5257C" w:rsidRDefault="00E5257C" w:rsidP="00E5257C">
            <w:pPr>
              <w:rPr>
                <w:sz w:val="20"/>
                <w:szCs w:val="20"/>
                <w:lang w:val="en-GB"/>
              </w:rPr>
            </w:pPr>
            <w:r w:rsidRPr="00E5257C">
              <w:rPr>
                <w:color w:val="000000" w:themeColor="text1"/>
                <w:sz w:val="20"/>
                <w:szCs w:val="20"/>
                <w:lang w:val="en-GB"/>
              </w:rPr>
              <w:t>occipital power</w:t>
            </w:r>
          </w:p>
        </w:tc>
        <w:tc>
          <w:tcPr>
            <w:tcW w:w="2126" w:type="dxa"/>
          </w:tcPr>
          <w:p w14:paraId="6766CF60" w14:textId="77777777" w:rsidR="00E5257C" w:rsidRPr="00E5257C" w:rsidRDefault="00E5257C" w:rsidP="00E5257C">
            <w:pPr>
              <w:rPr>
                <w:sz w:val="20"/>
                <w:szCs w:val="20"/>
                <w:lang w:val="en-GB"/>
              </w:rPr>
            </w:pPr>
          </w:p>
        </w:tc>
      </w:tr>
      <w:tr w:rsidR="00E5257C" w:rsidRPr="00E5257C" w14:paraId="36BDC700" w14:textId="77777777" w:rsidTr="00D46666">
        <w:tc>
          <w:tcPr>
            <w:tcW w:w="905" w:type="dxa"/>
          </w:tcPr>
          <w:p w14:paraId="0AADE10C" w14:textId="77777777" w:rsidR="00E5257C" w:rsidRPr="00E5257C" w:rsidRDefault="00E5257C" w:rsidP="00E5257C">
            <w:pPr>
              <w:rPr>
                <w:sz w:val="20"/>
                <w:szCs w:val="20"/>
                <w:lang w:val="en-GB"/>
              </w:rPr>
            </w:pPr>
          </w:p>
          <w:p w14:paraId="4B9F3E09" w14:textId="77777777" w:rsidR="00E5257C" w:rsidRPr="00E5257C" w:rsidRDefault="00E5257C" w:rsidP="00E5257C">
            <w:pPr>
              <w:rPr>
                <w:sz w:val="20"/>
                <w:szCs w:val="20"/>
                <w:lang w:val="en-GB"/>
              </w:rPr>
            </w:pPr>
          </w:p>
          <w:p w14:paraId="371BAD58" w14:textId="77777777" w:rsidR="00E5257C" w:rsidRPr="00E5257C" w:rsidRDefault="00E5257C" w:rsidP="00E5257C">
            <w:pPr>
              <w:rPr>
                <w:sz w:val="20"/>
                <w:szCs w:val="20"/>
                <w:lang w:val="en-GB"/>
              </w:rPr>
            </w:pPr>
          </w:p>
          <w:p w14:paraId="3BD5ED26" w14:textId="77777777" w:rsidR="00E5257C" w:rsidRPr="00E5257C" w:rsidRDefault="00E5257C" w:rsidP="00E5257C">
            <w:pPr>
              <w:rPr>
                <w:sz w:val="20"/>
                <w:szCs w:val="20"/>
                <w:lang w:val="en-GB"/>
              </w:rPr>
            </w:pPr>
            <w:r w:rsidRPr="00E5257C">
              <w:rPr>
                <w:sz w:val="20"/>
                <w:szCs w:val="20"/>
                <w:lang w:val="en-GB"/>
              </w:rPr>
              <w:t>Alpha</w:t>
            </w:r>
          </w:p>
        </w:tc>
        <w:tc>
          <w:tcPr>
            <w:tcW w:w="2454" w:type="dxa"/>
            <w:gridSpan w:val="2"/>
          </w:tcPr>
          <w:p w14:paraId="18F79F07" w14:textId="77777777" w:rsidR="00E5257C" w:rsidRPr="00E5257C" w:rsidRDefault="00E5257C" w:rsidP="00E5257C">
            <w:pPr>
              <w:rPr>
                <w:sz w:val="20"/>
                <w:szCs w:val="20"/>
                <w:lang w:val="en-GB"/>
              </w:rPr>
            </w:pPr>
          </w:p>
        </w:tc>
        <w:tc>
          <w:tcPr>
            <w:tcW w:w="1701" w:type="dxa"/>
          </w:tcPr>
          <w:p w14:paraId="6E9C894F"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064C9DA1"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4447DBC4" w14:textId="77777777" w:rsidR="00E5257C" w:rsidRPr="00E5257C" w:rsidRDefault="00E5257C" w:rsidP="00E5257C">
            <w:pPr>
              <w:rPr>
                <w:sz w:val="20"/>
                <w:szCs w:val="20"/>
                <w:lang w:val="en-GB"/>
              </w:rPr>
            </w:pPr>
            <w:r w:rsidRPr="00E5257C">
              <w:rPr>
                <w:color w:val="000000" w:themeColor="text1"/>
                <w:sz w:val="20"/>
                <w:szCs w:val="20"/>
                <w:lang w:val="en-GB"/>
              </w:rPr>
              <w:t>right parietal/occipital power</w:t>
            </w:r>
          </w:p>
        </w:tc>
        <w:tc>
          <w:tcPr>
            <w:tcW w:w="1417" w:type="dxa"/>
          </w:tcPr>
          <w:p w14:paraId="13C6C379" w14:textId="77777777" w:rsidR="00E5257C" w:rsidRPr="00E5257C" w:rsidRDefault="00E5257C" w:rsidP="00E5257C">
            <w:pPr>
              <w:rPr>
                <w:color w:val="002060"/>
                <w:sz w:val="20"/>
                <w:szCs w:val="20"/>
                <w:lang w:val="en-GB"/>
              </w:rPr>
            </w:pPr>
            <w:r w:rsidRPr="00E5257C">
              <w:rPr>
                <w:color w:val="000000" w:themeColor="text1"/>
                <w:sz w:val="20"/>
                <w:szCs w:val="20"/>
                <w:lang w:val="en-GB"/>
              </w:rPr>
              <w:t xml:space="preserve">widespread </w:t>
            </w:r>
            <w:r w:rsidRPr="00E5257C">
              <w:rPr>
                <w:color w:val="002060"/>
                <w:sz w:val="20"/>
                <w:szCs w:val="20"/>
                <w:lang w:val="en-GB"/>
              </w:rPr>
              <w:t xml:space="preserve">decreased </w:t>
            </w:r>
          </w:p>
          <w:p w14:paraId="4B45C78E" w14:textId="77777777" w:rsidR="00E5257C" w:rsidRPr="00E5257C" w:rsidRDefault="00E5257C" w:rsidP="00E5257C">
            <w:pPr>
              <w:rPr>
                <w:sz w:val="20"/>
                <w:szCs w:val="20"/>
                <w:lang w:val="en-GB"/>
              </w:rPr>
            </w:pPr>
            <w:r w:rsidRPr="00E5257C">
              <w:rPr>
                <w:sz w:val="20"/>
                <w:szCs w:val="20"/>
                <w:lang w:val="en-GB"/>
              </w:rPr>
              <w:t>power</w:t>
            </w:r>
          </w:p>
        </w:tc>
        <w:tc>
          <w:tcPr>
            <w:tcW w:w="1701" w:type="dxa"/>
          </w:tcPr>
          <w:p w14:paraId="4F05812E"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21399F73" w14:textId="77777777" w:rsidR="00E5257C" w:rsidRPr="00E5257C" w:rsidRDefault="00E5257C" w:rsidP="00E5257C">
            <w:pPr>
              <w:rPr>
                <w:color w:val="FF0000"/>
                <w:sz w:val="20"/>
                <w:szCs w:val="20"/>
                <w:lang w:val="en-GB"/>
              </w:rPr>
            </w:pPr>
            <w:r w:rsidRPr="00E5257C">
              <w:rPr>
                <w:color w:val="FF0000"/>
                <w:sz w:val="20"/>
                <w:szCs w:val="20"/>
                <w:lang w:val="en-GB"/>
              </w:rPr>
              <w:t>increased</w:t>
            </w:r>
          </w:p>
          <w:p w14:paraId="3AA6BB2C" w14:textId="77777777" w:rsidR="00E5257C" w:rsidRPr="00E5257C" w:rsidRDefault="00E5257C" w:rsidP="00E5257C">
            <w:pPr>
              <w:rPr>
                <w:sz w:val="20"/>
                <w:szCs w:val="20"/>
                <w:lang w:val="en-GB"/>
              </w:rPr>
            </w:pPr>
            <w:r w:rsidRPr="00E5257C">
              <w:rPr>
                <w:color w:val="000000" w:themeColor="text1"/>
                <w:sz w:val="20"/>
                <w:szCs w:val="20"/>
                <w:lang w:val="en-GB"/>
              </w:rPr>
              <w:t>right parietal/occipital power</w:t>
            </w:r>
          </w:p>
        </w:tc>
        <w:tc>
          <w:tcPr>
            <w:tcW w:w="2126" w:type="dxa"/>
          </w:tcPr>
          <w:p w14:paraId="296749E6"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parietal, frontal power</w:t>
            </w:r>
          </w:p>
          <w:p w14:paraId="7A8AB7E5" w14:textId="77777777" w:rsidR="00E5257C" w:rsidRPr="00E5257C" w:rsidRDefault="00E5257C" w:rsidP="00E5257C">
            <w:pPr>
              <w:rPr>
                <w:sz w:val="20"/>
                <w:szCs w:val="20"/>
                <w:lang w:val="en-GB"/>
              </w:rPr>
            </w:pPr>
          </w:p>
        </w:tc>
      </w:tr>
      <w:tr w:rsidR="00E5257C" w:rsidRPr="00E5257C" w14:paraId="28B0609E" w14:textId="77777777" w:rsidTr="00D46666">
        <w:tc>
          <w:tcPr>
            <w:tcW w:w="905" w:type="dxa"/>
          </w:tcPr>
          <w:p w14:paraId="298819C0" w14:textId="77777777" w:rsidR="00E5257C" w:rsidRPr="00E5257C" w:rsidRDefault="00E5257C" w:rsidP="00E5257C">
            <w:pPr>
              <w:rPr>
                <w:sz w:val="20"/>
                <w:szCs w:val="20"/>
                <w:lang w:val="en-GB"/>
              </w:rPr>
            </w:pPr>
            <w:r w:rsidRPr="00E5257C">
              <w:rPr>
                <w:sz w:val="20"/>
                <w:szCs w:val="20"/>
                <w:lang w:val="en-GB"/>
              </w:rPr>
              <w:t>Beta</w:t>
            </w:r>
          </w:p>
        </w:tc>
        <w:tc>
          <w:tcPr>
            <w:tcW w:w="2454" w:type="dxa"/>
            <w:gridSpan w:val="2"/>
          </w:tcPr>
          <w:p w14:paraId="6550B0EA" w14:textId="77777777" w:rsidR="00E5257C" w:rsidRPr="00E5257C" w:rsidRDefault="00E5257C" w:rsidP="00E5257C">
            <w:pPr>
              <w:rPr>
                <w:sz w:val="20"/>
                <w:szCs w:val="20"/>
                <w:lang w:val="en-GB"/>
              </w:rPr>
            </w:pPr>
          </w:p>
        </w:tc>
        <w:tc>
          <w:tcPr>
            <w:tcW w:w="3118" w:type="dxa"/>
            <w:gridSpan w:val="2"/>
          </w:tcPr>
          <w:p w14:paraId="639FFCDD"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tc>
        <w:tc>
          <w:tcPr>
            <w:tcW w:w="3827" w:type="dxa"/>
            <w:gridSpan w:val="2"/>
          </w:tcPr>
          <w:p w14:paraId="0BB48DCB"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tc>
      </w:tr>
      <w:tr w:rsidR="00E5257C" w:rsidRPr="00E5257C" w14:paraId="2FFCA878" w14:textId="77777777" w:rsidTr="00D46666">
        <w:tc>
          <w:tcPr>
            <w:tcW w:w="905" w:type="dxa"/>
          </w:tcPr>
          <w:p w14:paraId="117745E6" w14:textId="77777777" w:rsidR="00E5257C" w:rsidRPr="00E5257C" w:rsidRDefault="00E5257C" w:rsidP="00E5257C">
            <w:pPr>
              <w:rPr>
                <w:sz w:val="20"/>
                <w:szCs w:val="20"/>
                <w:lang w:val="en-GB"/>
              </w:rPr>
            </w:pPr>
          </w:p>
          <w:p w14:paraId="27C13A62" w14:textId="77777777" w:rsidR="00E5257C" w:rsidRPr="00E5257C" w:rsidRDefault="00E5257C" w:rsidP="00E5257C">
            <w:pPr>
              <w:rPr>
                <w:sz w:val="20"/>
                <w:szCs w:val="20"/>
                <w:lang w:val="en-GB"/>
              </w:rPr>
            </w:pPr>
            <w:r w:rsidRPr="00E5257C">
              <w:rPr>
                <w:sz w:val="20"/>
                <w:szCs w:val="20"/>
                <w:lang w:val="en-GB"/>
              </w:rPr>
              <w:t>Low Gamma</w:t>
            </w:r>
          </w:p>
        </w:tc>
        <w:tc>
          <w:tcPr>
            <w:tcW w:w="2454" w:type="dxa"/>
            <w:gridSpan w:val="2"/>
          </w:tcPr>
          <w:p w14:paraId="3AE9936D" w14:textId="77777777" w:rsidR="00E5257C" w:rsidRPr="00E5257C" w:rsidRDefault="00E5257C" w:rsidP="00E5257C">
            <w:pPr>
              <w:rPr>
                <w:sz w:val="20"/>
                <w:szCs w:val="20"/>
                <w:lang w:val="en-GB"/>
              </w:rPr>
            </w:pPr>
          </w:p>
        </w:tc>
        <w:tc>
          <w:tcPr>
            <w:tcW w:w="1701" w:type="dxa"/>
          </w:tcPr>
          <w:p w14:paraId="2DC97D90" w14:textId="77777777" w:rsidR="00E5257C" w:rsidRPr="00E5257C" w:rsidRDefault="00E5257C" w:rsidP="00E5257C">
            <w:pPr>
              <w:rPr>
                <w:sz w:val="20"/>
                <w:szCs w:val="20"/>
                <w:lang w:val="en-GB"/>
              </w:rPr>
            </w:pPr>
          </w:p>
        </w:tc>
        <w:tc>
          <w:tcPr>
            <w:tcW w:w="1417" w:type="dxa"/>
          </w:tcPr>
          <w:p w14:paraId="25E2C34C"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posterior/parietal power</w:t>
            </w:r>
          </w:p>
        </w:tc>
        <w:tc>
          <w:tcPr>
            <w:tcW w:w="3827" w:type="dxa"/>
            <w:gridSpan w:val="2"/>
          </w:tcPr>
          <w:p w14:paraId="076B071D" w14:textId="77777777" w:rsidR="00E5257C" w:rsidRPr="00E5257C" w:rsidRDefault="00E5257C" w:rsidP="00E5257C">
            <w:pPr>
              <w:rPr>
                <w:sz w:val="20"/>
                <w:szCs w:val="20"/>
                <w:lang w:val="en-GB"/>
              </w:rPr>
            </w:pPr>
          </w:p>
        </w:tc>
      </w:tr>
      <w:tr w:rsidR="00E5257C" w:rsidRPr="00E5257C" w14:paraId="208CC288" w14:textId="77777777" w:rsidTr="00D46666">
        <w:tc>
          <w:tcPr>
            <w:tcW w:w="905" w:type="dxa"/>
          </w:tcPr>
          <w:p w14:paraId="0AD7E1A2" w14:textId="77777777" w:rsidR="00E5257C" w:rsidRPr="00E5257C" w:rsidRDefault="00E5257C" w:rsidP="00E5257C">
            <w:pPr>
              <w:rPr>
                <w:sz w:val="20"/>
                <w:szCs w:val="20"/>
                <w:lang w:val="en-GB"/>
              </w:rPr>
            </w:pPr>
          </w:p>
          <w:p w14:paraId="16F7B5C2" w14:textId="77777777" w:rsidR="00E5257C" w:rsidRPr="00E5257C" w:rsidRDefault="00E5257C" w:rsidP="00E5257C">
            <w:pPr>
              <w:rPr>
                <w:sz w:val="20"/>
                <w:szCs w:val="20"/>
                <w:lang w:val="en-GB"/>
              </w:rPr>
            </w:pPr>
            <w:r w:rsidRPr="00E5257C">
              <w:rPr>
                <w:sz w:val="20"/>
                <w:szCs w:val="20"/>
                <w:lang w:val="en-GB"/>
              </w:rPr>
              <w:t>High Gamma</w:t>
            </w:r>
          </w:p>
        </w:tc>
        <w:tc>
          <w:tcPr>
            <w:tcW w:w="694" w:type="dxa"/>
          </w:tcPr>
          <w:p w14:paraId="380485E7" w14:textId="77777777" w:rsidR="00E5257C" w:rsidRPr="00E5257C" w:rsidRDefault="00E5257C" w:rsidP="00E5257C">
            <w:pPr>
              <w:rPr>
                <w:sz w:val="20"/>
                <w:szCs w:val="20"/>
                <w:lang w:val="en-GB"/>
              </w:rPr>
            </w:pPr>
          </w:p>
        </w:tc>
        <w:tc>
          <w:tcPr>
            <w:tcW w:w="1760" w:type="dxa"/>
          </w:tcPr>
          <w:p w14:paraId="2091D220"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anterior/frontal power</w:t>
            </w:r>
          </w:p>
        </w:tc>
        <w:tc>
          <w:tcPr>
            <w:tcW w:w="1701" w:type="dxa"/>
          </w:tcPr>
          <w:p w14:paraId="1536DBFC" w14:textId="77777777" w:rsidR="00E5257C" w:rsidRPr="00E5257C" w:rsidRDefault="00E5257C" w:rsidP="00E5257C">
            <w:pPr>
              <w:rPr>
                <w:sz w:val="20"/>
                <w:szCs w:val="20"/>
                <w:lang w:val="en-GB"/>
              </w:rPr>
            </w:pPr>
          </w:p>
        </w:tc>
        <w:tc>
          <w:tcPr>
            <w:tcW w:w="1417" w:type="dxa"/>
          </w:tcPr>
          <w:p w14:paraId="74A21B86" w14:textId="77777777" w:rsidR="00E5257C" w:rsidRPr="00E5257C" w:rsidRDefault="00E5257C" w:rsidP="00E5257C">
            <w:pPr>
              <w:rPr>
                <w:color w:val="002060"/>
                <w:sz w:val="20"/>
                <w:szCs w:val="20"/>
                <w:lang w:val="en-GB"/>
              </w:rPr>
            </w:pPr>
            <w:r w:rsidRPr="00E5257C">
              <w:rPr>
                <w:color w:val="000000" w:themeColor="text1"/>
                <w:sz w:val="20"/>
                <w:szCs w:val="20"/>
                <w:lang w:val="en-GB"/>
              </w:rPr>
              <w:t xml:space="preserve">widespread </w:t>
            </w:r>
            <w:r w:rsidRPr="00E5257C">
              <w:rPr>
                <w:color w:val="002060"/>
                <w:sz w:val="20"/>
                <w:szCs w:val="20"/>
                <w:lang w:val="en-GB"/>
              </w:rPr>
              <w:t xml:space="preserve">decreased </w:t>
            </w:r>
          </w:p>
          <w:p w14:paraId="0A06E0BD" w14:textId="77777777" w:rsidR="00E5257C" w:rsidRPr="00E5257C" w:rsidRDefault="00E5257C" w:rsidP="00E5257C">
            <w:pPr>
              <w:rPr>
                <w:sz w:val="20"/>
                <w:szCs w:val="20"/>
                <w:lang w:val="en-GB"/>
              </w:rPr>
            </w:pPr>
            <w:r w:rsidRPr="00E5257C">
              <w:rPr>
                <w:sz w:val="20"/>
                <w:szCs w:val="20"/>
                <w:lang w:val="en-GB"/>
              </w:rPr>
              <w:t>anterior/posterior power</w:t>
            </w:r>
          </w:p>
        </w:tc>
        <w:tc>
          <w:tcPr>
            <w:tcW w:w="1701" w:type="dxa"/>
          </w:tcPr>
          <w:p w14:paraId="44E86C48" w14:textId="77777777" w:rsidR="00E5257C" w:rsidRPr="00E5257C" w:rsidRDefault="00E5257C" w:rsidP="00E5257C">
            <w:pPr>
              <w:rPr>
                <w:sz w:val="20"/>
                <w:szCs w:val="20"/>
                <w:lang w:val="en-GB"/>
              </w:rPr>
            </w:pPr>
          </w:p>
          <w:p w14:paraId="238ED3C9" w14:textId="77777777" w:rsidR="00E5257C" w:rsidRPr="00E5257C" w:rsidRDefault="00E5257C" w:rsidP="00E5257C">
            <w:pPr>
              <w:rPr>
                <w:sz w:val="20"/>
                <w:szCs w:val="20"/>
                <w:lang w:val="en-GB"/>
              </w:rPr>
            </w:pPr>
          </w:p>
        </w:tc>
        <w:tc>
          <w:tcPr>
            <w:tcW w:w="2126" w:type="dxa"/>
          </w:tcPr>
          <w:p w14:paraId="395F8064" w14:textId="77777777" w:rsidR="00E5257C" w:rsidRPr="00E5257C" w:rsidRDefault="00E5257C" w:rsidP="00E5257C">
            <w:pPr>
              <w:rPr>
                <w:sz w:val="20"/>
                <w:szCs w:val="20"/>
                <w:lang w:val="en-GB"/>
              </w:rPr>
            </w:pPr>
            <w:r w:rsidRPr="00E5257C">
              <w:rPr>
                <w:color w:val="002060"/>
                <w:sz w:val="20"/>
                <w:szCs w:val="20"/>
                <w:lang w:val="en-GB"/>
              </w:rPr>
              <w:t xml:space="preserve">decreased </w:t>
            </w:r>
            <w:r w:rsidRPr="00E5257C">
              <w:rPr>
                <w:sz w:val="20"/>
                <w:szCs w:val="20"/>
                <w:lang w:val="en-GB"/>
              </w:rPr>
              <w:t>posterior power</w:t>
            </w:r>
          </w:p>
          <w:p w14:paraId="1FCD42EA" w14:textId="77777777" w:rsidR="00E5257C" w:rsidRPr="00E5257C" w:rsidRDefault="00E5257C" w:rsidP="00E5257C">
            <w:pPr>
              <w:rPr>
                <w:sz w:val="20"/>
                <w:szCs w:val="20"/>
                <w:lang w:val="en-GB"/>
              </w:rPr>
            </w:pPr>
          </w:p>
        </w:tc>
      </w:tr>
    </w:tbl>
    <w:p w14:paraId="530FA5BC" w14:textId="3B7D24EB" w:rsidR="00E5257C" w:rsidRPr="00E5257C" w:rsidRDefault="00E5257C" w:rsidP="00E5257C">
      <w:pPr>
        <w:spacing w:line="480" w:lineRule="auto"/>
        <w:jc w:val="both"/>
        <w:rPr>
          <w:rFonts w:cs="Times New Roman"/>
          <w:lang w:val="en-GB"/>
        </w:rPr>
      </w:pPr>
      <w:r>
        <w:rPr>
          <w:rFonts w:cs="Times New Roman"/>
          <w:i/>
          <w:lang w:val="en-GB"/>
        </w:rPr>
        <w:t>Supp. Table 3A</w:t>
      </w:r>
      <w:r w:rsidRPr="00E5257C">
        <w:rPr>
          <w:rFonts w:cs="Times New Roman"/>
          <w:i/>
          <w:lang w:val="en-GB"/>
        </w:rPr>
        <w:t>. Summary of significant alterations in power across equivalent increasing Xe</w:t>
      </w:r>
      <w:r>
        <w:rPr>
          <w:rFonts w:cs="Times New Roman"/>
          <w:i/>
          <w:lang w:val="en-GB"/>
        </w:rPr>
        <w:t>non and Nitrous Oxide</w:t>
      </w:r>
      <w:r w:rsidRPr="00E5257C">
        <w:rPr>
          <w:rFonts w:cs="Times New Roman"/>
          <w:i/>
          <w:lang w:val="en-GB"/>
        </w:rPr>
        <w:t xml:space="preserve"> administered doses.</w:t>
      </w:r>
      <w:r w:rsidRPr="00E5257C">
        <w:rPr>
          <w:rFonts w:cs="Times New Roman"/>
          <w:lang w:val="en-GB"/>
        </w:rPr>
        <w:t xml:space="preserve"> Maximum statistic and Bonferroni corrected t-statistic significant (p=0.004) increases (in red ink) and decreases (in blue ink) for 0.25, 0.50, 0.75 MAC-awake </w:t>
      </w:r>
      <w:r>
        <w:rPr>
          <w:rFonts w:cs="Times New Roman"/>
          <w:lang w:val="en-GB"/>
        </w:rPr>
        <w:t>Nitrous Oxide (</w:t>
      </w:r>
      <w:r w:rsidRPr="00E5257C">
        <w:rPr>
          <w:rFonts w:cs="Times New Roman"/>
          <w:lang w:val="en-GB"/>
        </w:rPr>
        <w:t>N</w:t>
      </w:r>
      <w:r w:rsidRPr="00E5257C">
        <w:rPr>
          <w:rFonts w:cs="Times New Roman"/>
          <w:vertAlign w:val="subscript"/>
          <w:lang w:val="en-GB"/>
        </w:rPr>
        <w:t>2</w:t>
      </w:r>
      <w:r w:rsidRPr="00E5257C">
        <w:rPr>
          <w:rFonts w:cs="Times New Roman"/>
          <w:lang w:val="en-GB"/>
        </w:rPr>
        <w:t>O</w:t>
      </w:r>
      <w:r>
        <w:rPr>
          <w:rFonts w:cs="Times New Roman"/>
          <w:lang w:val="en-GB"/>
        </w:rPr>
        <w:t>)</w:t>
      </w:r>
      <w:r w:rsidRPr="00E5257C">
        <w:rPr>
          <w:rFonts w:cs="Times New Roman"/>
          <w:lang w:val="en-GB"/>
        </w:rPr>
        <w:t xml:space="preserve"> relative to </w:t>
      </w:r>
      <w:r>
        <w:rPr>
          <w:rFonts w:cs="Times New Roman"/>
          <w:lang w:val="en-GB"/>
        </w:rPr>
        <w:t>Xenon (</w:t>
      </w:r>
      <w:r w:rsidRPr="00E5257C">
        <w:rPr>
          <w:rFonts w:cs="Times New Roman"/>
          <w:lang w:val="en-GB"/>
        </w:rPr>
        <w:t>Xe</w:t>
      </w:r>
      <w:r>
        <w:rPr>
          <w:rFonts w:cs="Times New Roman"/>
          <w:lang w:val="en-GB"/>
        </w:rPr>
        <w:t>)</w:t>
      </w:r>
      <w:r w:rsidRPr="00E5257C">
        <w:rPr>
          <w:rFonts w:cs="Times New Roman"/>
          <w:lang w:val="en-GB"/>
        </w:rPr>
        <w:t xml:space="preserve"> for the 306 </w:t>
      </w:r>
      <w:r w:rsidR="00362799">
        <w:rPr>
          <w:rFonts w:cs="Times New Roman"/>
          <w:lang w:val="en-GB"/>
        </w:rPr>
        <w:t>magnetoencephalography</w:t>
      </w:r>
      <w:r w:rsidRPr="00E5257C">
        <w:rPr>
          <w:rFonts w:cs="Times New Roman"/>
          <w:lang w:val="en-GB"/>
        </w:rPr>
        <w:t xml:space="preserve"> channels (MEG) and 64 </w:t>
      </w:r>
      <w:r w:rsidR="00362799">
        <w:rPr>
          <w:rFonts w:cs="Times New Roman"/>
          <w:lang w:val="en-GB"/>
        </w:rPr>
        <w:t>electroencephalography</w:t>
      </w:r>
      <w:r w:rsidRPr="00E5257C">
        <w:rPr>
          <w:rFonts w:cs="Times New Roman"/>
          <w:lang w:val="en-GB"/>
        </w:rPr>
        <w:t xml:space="preserve"> channels (EEG). </w:t>
      </w:r>
      <w:r w:rsidRPr="00E5257C">
        <w:rPr>
          <w:lang w:val="en-GB"/>
        </w:rPr>
        <w:t>[</w:t>
      </w:r>
      <w:proofErr w:type="gramStart"/>
      <w:r w:rsidRPr="00E5257C">
        <w:rPr>
          <w:lang w:val="en-GB"/>
        </w:rPr>
        <w:t>delta</w:t>
      </w:r>
      <w:proofErr w:type="gramEnd"/>
      <w:r w:rsidRPr="00E5257C">
        <w:rPr>
          <w:lang w:val="en-GB"/>
        </w:rPr>
        <w:t xml:space="preserve"> (1-4 Hz), theta (4-8 Hz), alpha (8-13 Hz), beta (13-30 Hz), low gamma (30-49 Hz), high gamma (51-99 Hz)].</w:t>
      </w:r>
      <w:r w:rsidRPr="00E5257C">
        <w:rPr>
          <w:rFonts w:cs="Times New Roman"/>
          <w:lang w:val="en-GB"/>
        </w:rPr>
        <w:tab/>
      </w:r>
    </w:p>
    <w:p w14:paraId="5D1E789F" w14:textId="77777777" w:rsidR="00E5257C" w:rsidRPr="00E5257C" w:rsidRDefault="00E5257C" w:rsidP="000C5780">
      <w:pPr>
        <w:spacing w:line="480" w:lineRule="auto"/>
        <w:jc w:val="both"/>
        <w:rPr>
          <w:rFonts w:eastAsia="Times New Roman" w:cs="Times New Roman"/>
          <w:shd w:val="clear" w:color="auto" w:fill="FFFFFF"/>
          <w:lang w:val="en-GB" w:eastAsia="en-GB"/>
        </w:rPr>
      </w:pPr>
    </w:p>
    <w:p w14:paraId="69DCC308" w14:textId="7ABF24B4" w:rsidR="007C2FB2" w:rsidRPr="00E5257C" w:rsidRDefault="009D627D" w:rsidP="000C5780">
      <w:pPr>
        <w:spacing w:line="480" w:lineRule="auto"/>
        <w:jc w:val="both"/>
        <w:rPr>
          <w:rFonts w:eastAsia="Times New Roman" w:cs="Times New Roman"/>
          <w:b/>
          <w:shd w:val="clear" w:color="auto" w:fill="FFFFFF"/>
          <w:lang w:eastAsia="en-GB"/>
        </w:rPr>
      </w:pPr>
      <w:r w:rsidRPr="00E5257C">
        <w:rPr>
          <w:i/>
          <w:lang w:val="en-GB"/>
        </w:rPr>
        <w:t xml:space="preserve">Group Source Level Power Analysis. </w:t>
      </w:r>
      <w:r w:rsidR="007C2FB2" w:rsidRPr="00E5257C">
        <w:rPr>
          <w:rFonts w:eastAsia="Times New Roman" w:cs="Times New Roman"/>
          <w:shd w:val="clear" w:color="auto" w:fill="FFFFFF"/>
          <w:lang w:eastAsia="en-GB"/>
        </w:rPr>
        <w:t xml:space="preserve">Significant maximum statistics (p=0.025) corrected t-statistic maps of the power changes of </w:t>
      </w:r>
      <w:r w:rsidR="007C2FB2" w:rsidRPr="00E5257C">
        <w:t>N</w:t>
      </w:r>
      <w:r w:rsidR="007C2FB2" w:rsidRPr="00E5257C">
        <w:rPr>
          <w:vertAlign w:val="subscript"/>
        </w:rPr>
        <w:t>2</w:t>
      </w:r>
      <w:r w:rsidR="007C2FB2" w:rsidRPr="00E5257C">
        <w:t>O relative to Xe</w:t>
      </w:r>
      <w:r w:rsidR="007C2FB2" w:rsidRPr="00E5257C">
        <w:rPr>
          <w:rFonts w:eastAsia="Times New Roman" w:cs="Times New Roman"/>
          <w:shd w:val="clear" w:color="auto" w:fill="FFFFFF"/>
          <w:lang w:eastAsia="en-GB"/>
        </w:rPr>
        <w:t xml:space="preserve"> across subjects </w:t>
      </w:r>
      <w:r w:rsidR="0061189A" w:rsidRPr="00E5257C">
        <w:rPr>
          <w:rFonts w:eastAsia="Times New Roman" w:cs="Times New Roman"/>
          <w:shd w:val="clear" w:color="auto" w:fill="FFFFFF"/>
          <w:lang w:eastAsia="en-GB"/>
        </w:rPr>
        <w:t xml:space="preserve">that </w:t>
      </w:r>
      <w:r w:rsidR="007C2FB2" w:rsidRPr="00E5257C">
        <w:rPr>
          <w:rFonts w:eastAsia="Times New Roman" w:cs="Times New Roman"/>
          <w:shd w:val="clear" w:color="auto" w:fill="FFFFFF"/>
          <w:lang w:eastAsia="en-GB"/>
        </w:rPr>
        <w:t xml:space="preserve">demonstrate trends in the data at increasing equivalent gas concentrations of 0.25, 0.50, 0.75 MAC-awake in magnetoencephalography and electroencephalography datasets are shown in </w:t>
      </w:r>
      <w:r w:rsidR="0061189A" w:rsidRPr="00E5257C">
        <w:rPr>
          <w:rFonts w:eastAsia="Times New Roman" w:cs="Times New Roman"/>
          <w:shd w:val="clear" w:color="auto" w:fill="FFFFFF"/>
          <w:lang w:eastAsia="en-GB"/>
        </w:rPr>
        <w:t>Supp. Figure 3</w:t>
      </w:r>
      <w:r w:rsidR="00E5257C" w:rsidRPr="00E5257C">
        <w:rPr>
          <w:rFonts w:eastAsia="Times New Roman" w:cs="Times New Roman"/>
          <w:shd w:val="clear" w:color="auto" w:fill="FFFFFF"/>
          <w:lang w:eastAsia="en-GB"/>
        </w:rPr>
        <w:t>B</w:t>
      </w:r>
      <w:r w:rsidR="007C2FB2" w:rsidRPr="00E5257C">
        <w:rPr>
          <w:rFonts w:eastAsia="Times New Roman" w:cs="Times New Roman"/>
          <w:shd w:val="clear" w:color="auto" w:fill="FFFFFF"/>
          <w:lang w:eastAsia="en-GB"/>
        </w:rPr>
        <w:t>.</w:t>
      </w:r>
    </w:p>
    <w:p w14:paraId="79C041EC" w14:textId="77777777" w:rsidR="00D71299" w:rsidRPr="00E5257C" w:rsidRDefault="00D71299" w:rsidP="00D71299">
      <w:pPr>
        <w:jc w:val="both"/>
        <w:rPr>
          <w:i/>
        </w:rPr>
      </w:pPr>
      <w:r w:rsidRPr="00E5257C">
        <w:rPr>
          <w:i/>
          <w:noProof/>
          <w:lang w:val="en-GB" w:eastAsia="en-GB"/>
        </w:rPr>
        <w:lastRenderedPageBreak/>
        <w:drawing>
          <wp:inline distT="0" distB="0" distL="0" distR="0" wp14:anchorId="5E565DD0" wp14:editId="5139CA63">
            <wp:extent cx="5001752" cy="53467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6_tstat_across_gas_meg_eeg1.png"/>
                    <pic:cNvPicPr/>
                  </pic:nvPicPr>
                  <pic:blipFill>
                    <a:blip r:embed="rId6">
                      <a:extLst>
                        <a:ext uri="{28A0092B-C50C-407E-A947-70E740481C1C}">
                          <a14:useLocalDpi xmlns:a14="http://schemas.microsoft.com/office/drawing/2010/main" val="0"/>
                        </a:ext>
                      </a:extLst>
                    </a:blip>
                    <a:stretch>
                      <a:fillRect/>
                    </a:stretch>
                  </pic:blipFill>
                  <pic:spPr>
                    <a:xfrm>
                      <a:off x="0" y="0"/>
                      <a:ext cx="5005991" cy="5351232"/>
                    </a:xfrm>
                    <a:prstGeom prst="rect">
                      <a:avLst/>
                    </a:prstGeom>
                  </pic:spPr>
                </pic:pic>
              </a:graphicData>
            </a:graphic>
          </wp:inline>
        </w:drawing>
      </w:r>
    </w:p>
    <w:p w14:paraId="3116273C" w14:textId="11F01623" w:rsidR="007C2FB2" w:rsidRPr="00E5257C" w:rsidRDefault="00E05BB8" w:rsidP="000C5780">
      <w:pPr>
        <w:spacing w:line="480" w:lineRule="auto"/>
        <w:jc w:val="both"/>
        <w:rPr>
          <w:shd w:val="clear" w:color="auto" w:fill="FFFCF0"/>
        </w:rPr>
      </w:pPr>
      <w:r w:rsidRPr="00E5257C">
        <w:rPr>
          <w:i/>
        </w:rPr>
        <w:t>Supp</w:t>
      </w:r>
      <w:r w:rsidR="00671D21" w:rsidRPr="00E5257C">
        <w:rPr>
          <w:i/>
        </w:rPr>
        <w:t xml:space="preserve">. </w:t>
      </w:r>
      <w:r w:rsidRPr="00E5257C">
        <w:rPr>
          <w:i/>
        </w:rPr>
        <w:t>Figure</w:t>
      </w:r>
      <w:r w:rsidR="00B111B0" w:rsidRPr="00E5257C">
        <w:rPr>
          <w:i/>
        </w:rPr>
        <w:t xml:space="preserve"> 3</w:t>
      </w:r>
      <w:r w:rsidR="00E5257C" w:rsidRPr="00E5257C">
        <w:rPr>
          <w:i/>
        </w:rPr>
        <w:t>B</w:t>
      </w:r>
      <w:r w:rsidR="00D71299" w:rsidRPr="00E5257C">
        <w:rPr>
          <w:i/>
        </w:rPr>
        <w:t>.</w:t>
      </w:r>
      <w:r w:rsidR="00D71299" w:rsidRPr="00E5257C">
        <w:rPr>
          <w:bCs/>
          <w:i/>
        </w:rPr>
        <w:t xml:space="preserve"> Group level source power t-statistic maps contrasting equivalent doses of Xe</w:t>
      </w:r>
      <w:r w:rsidR="00802668" w:rsidRPr="00E5257C">
        <w:rPr>
          <w:bCs/>
          <w:i/>
        </w:rPr>
        <w:t>non</w:t>
      </w:r>
      <w:r w:rsidR="00D71299" w:rsidRPr="00E5257C">
        <w:rPr>
          <w:bCs/>
          <w:i/>
        </w:rPr>
        <w:t xml:space="preserve"> and </w:t>
      </w:r>
      <w:r w:rsidR="00802668" w:rsidRPr="00E5257C">
        <w:rPr>
          <w:i/>
        </w:rPr>
        <w:t>Nitrous Oxide</w:t>
      </w:r>
      <w:r w:rsidR="00D71299" w:rsidRPr="00E5257C">
        <w:rPr>
          <w:i/>
        </w:rPr>
        <w:t xml:space="preserve">. </w:t>
      </w:r>
      <w:r w:rsidR="00D71299" w:rsidRPr="00E5257C">
        <w:t>The t-values for magnetoencephalographic (MEG - A) and electroencephalographic (EEG - B) point to subtle yet significant (p=0.05) changes in low frequency delta, theta and alpha when comparing the 0.25 (Level 1), 0.50 (Level 2) and 0.75 (Level 3) equi MAC-awake concentrations of Xe</w:t>
      </w:r>
      <w:r w:rsidR="00802668" w:rsidRPr="00E5257C">
        <w:t>non (Xe)</w:t>
      </w:r>
      <w:r w:rsidR="00D71299" w:rsidRPr="00E5257C">
        <w:t xml:space="preserve"> and </w:t>
      </w:r>
      <w:r w:rsidR="00802668" w:rsidRPr="00E5257C">
        <w:t>Nitrous Oxide (</w:t>
      </w:r>
      <w:r w:rsidR="00D71299" w:rsidRPr="00E5257C">
        <w:t>N</w:t>
      </w:r>
      <w:r w:rsidR="00D71299" w:rsidRPr="00E5257C">
        <w:rPr>
          <w:vertAlign w:val="subscript"/>
        </w:rPr>
        <w:t>2</w:t>
      </w:r>
      <w:r w:rsidR="00D71299" w:rsidRPr="00E5257C">
        <w:t>O</w:t>
      </w:r>
      <w:r w:rsidR="00802668" w:rsidRPr="00E5257C">
        <w:t>)</w:t>
      </w:r>
      <w:r w:rsidR="00D71299" w:rsidRPr="00E5257C">
        <w:t xml:space="preserve"> administered (N</w:t>
      </w:r>
      <w:r w:rsidR="00D71299" w:rsidRPr="00E5257C">
        <w:rPr>
          <w:vertAlign w:val="subscript"/>
        </w:rPr>
        <w:t>2</w:t>
      </w:r>
      <w:r w:rsidR="00D71299" w:rsidRPr="00E5257C">
        <w:t xml:space="preserve">O relative to Xe comparison). No significant differences appear across the two gases in high frequency beta and gamma activity. The difference in </w:t>
      </w:r>
      <w:r w:rsidR="00D71299" w:rsidRPr="00E5257C">
        <w:lastRenderedPageBreak/>
        <w:t>scale b</w:t>
      </w:r>
      <w:r w:rsidR="0061189A" w:rsidRPr="00E5257C">
        <w:t>etween A and B should be noted. [</w:t>
      </w:r>
      <w:proofErr w:type="gramStart"/>
      <w:r w:rsidR="0061189A" w:rsidRPr="00E5257C">
        <w:t>delta</w:t>
      </w:r>
      <w:proofErr w:type="gramEnd"/>
      <w:r w:rsidR="0061189A" w:rsidRPr="00E5257C">
        <w:t xml:space="preserve"> (1-4 Hz), theta (4-8 Hz), alpha (8-13 Hz), beta (13-30 Hz), Lgamma: low gamma (30-49 Hz), Hgamma: high gamma (51-99 Hz)].</w:t>
      </w:r>
    </w:p>
    <w:p w14:paraId="0BDCFCB5" w14:textId="1E33E4ED" w:rsidR="00FB337C" w:rsidRPr="00E5257C" w:rsidRDefault="007C2FB2" w:rsidP="000C5780">
      <w:pPr>
        <w:spacing w:line="480" w:lineRule="auto"/>
      </w:pPr>
      <w:r w:rsidRPr="00E5257C">
        <w:t xml:space="preserve">Highly significant (p=0.004) power changes across the two gases in increasing gas levels contrasted to the post-antiemetic baseline reveal region specific changes in each frequency band investigate. </w:t>
      </w:r>
      <w:r w:rsidR="0061189A" w:rsidRPr="00E5257C">
        <w:t>Supp. Table 3</w:t>
      </w:r>
      <w:r w:rsidRPr="00E5257C">
        <w:t xml:space="preserve"> give</w:t>
      </w:r>
      <w:r w:rsidR="000C5780" w:rsidRPr="00E5257C">
        <w:t>s</w:t>
      </w:r>
      <w:r w:rsidRPr="00E5257C">
        <w:t xml:space="preserve"> a full account of all significantly altered regions for N</w:t>
      </w:r>
      <w:r w:rsidRPr="00E5257C">
        <w:rPr>
          <w:vertAlign w:val="subscript"/>
        </w:rPr>
        <w:t>2</w:t>
      </w:r>
      <w:r w:rsidRPr="00E5257C">
        <w:t>O relative to Xe.</w:t>
      </w:r>
    </w:p>
    <w:p w14:paraId="6F6F2DB7" w14:textId="0F47952A" w:rsidR="007C2FB2" w:rsidRPr="00E5257C" w:rsidRDefault="000C5780" w:rsidP="000C5780">
      <w:pPr>
        <w:spacing w:line="480" w:lineRule="auto"/>
        <w:jc w:val="both"/>
        <w:rPr>
          <w:sz w:val="20"/>
          <w:szCs w:val="20"/>
        </w:rPr>
      </w:pPr>
      <w:r w:rsidRPr="00E5257C">
        <w:rPr>
          <w:bCs/>
          <w:i/>
        </w:rPr>
        <w:t>Supp. Table 3</w:t>
      </w:r>
      <w:r w:rsidR="00E5257C" w:rsidRPr="00E5257C">
        <w:rPr>
          <w:bCs/>
          <w:i/>
        </w:rPr>
        <w:t>B</w:t>
      </w:r>
      <w:r w:rsidRPr="00E5257C">
        <w:rPr>
          <w:bCs/>
          <w:i/>
        </w:rPr>
        <w:t>. Magnetoencephalographic and Electroencephalographic sources most significantly altered in equivalent gas concentrations of Xe</w:t>
      </w:r>
      <w:r w:rsidR="00802668" w:rsidRPr="00E5257C">
        <w:rPr>
          <w:bCs/>
          <w:i/>
        </w:rPr>
        <w:t>non</w:t>
      </w:r>
      <w:r w:rsidRPr="00E5257C">
        <w:rPr>
          <w:bCs/>
          <w:i/>
        </w:rPr>
        <w:t xml:space="preserve"> and </w:t>
      </w:r>
      <w:r w:rsidR="00802668" w:rsidRPr="00E5257C">
        <w:rPr>
          <w:i/>
        </w:rPr>
        <w:t>Nitrous Oxide</w:t>
      </w:r>
      <w:r w:rsidRPr="00E5257C">
        <w:rPr>
          <w:rFonts w:eastAsia="Times New Roman" w:cs="Times New Roman"/>
          <w:shd w:val="clear" w:color="auto" w:fill="FFFFFF"/>
          <w:lang w:eastAsia="en-GB"/>
        </w:rPr>
        <w:t xml:space="preserve">. </w:t>
      </w:r>
      <w:r w:rsidRPr="00E5257C">
        <w:t xml:space="preserve">Significantly (p=0.004) changed regions of interest by contrasting equivalent inhaled concentrations of the two gases in magnetoencephalography and electroencephalography data. Voxel coordinates are in </w:t>
      </w:r>
      <w:r w:rsidR="00802668" w:rsidRPr="00E5257C">
        <w:t>Automated Anatomical Labeling (AAL) Atlas</w:t>
      </w:r>
      <w:r w:rsidRPr="00E5257C">
        <w:t xml:space="preserve"> </w:t>
      </w:r>
      <w:proofErr w:type="spellStart"/>
      <w:r w:rsidRPr="00E5257C">
        <w:t>atlas</w:t>
      </w:r>
      <w:proofErr w:type="spellEnd"/>
      <w:r w:rsidRPr="00E5257C">
        <w:t xml:space="preserve"> coordinate system along with associated labels</w:t>
      </w:r>
      <w:r w:rsidRPr="00E5257C">
        <w:fldChar w:fldCharType="begin" w:fldLock="1"/>
      </w:r>
      <w:r w:rsidR="00AB0376">
        <w:instrText>ADDIN CSL_CITATION {"citationItems":[{"id":"ITEM-1","itemData":{"DOI":"10.1006/nimg.2001.0978","ISBN":"1053-8119 (Print)\\n1053-8119 (Linking)","ISSN":"10538119","PMID":"11771995","abstract":"An anatomical parcellation of the spatially normalized single-subject high-resolution T1 volume provided by the Montreal Neurological Institute (MNI) (D. L. Collins et al., 1998, Trans. Med. Imag. 17, 463-468) was performed. The MNI single-subject main sulci were first delineated and further used as landmarks for the 3D definition of 45 anatomical volumes of interest (AVOI) in each hemisphere. This procedure was performed using a dedicated software which allowed a 3D following of the sulci course on the edited brain. Regions of interest were then drawn manually with the same software every 2 mm on the axial slices of the high-resolution MNI single subject. The 90 AVOI were reconstructed and assigned a label. Using this parcellation method, three procedures to perform the automated anatomical labeling of functional studies are proposed: (1) labeling of an extremum defined by a set of coordinates, (2) percentage of voxels belonging to each of the AVOI intersected by a sphere centered by a set of coordinates, and (3) percentage of voxels belonging to each of the AVOI intersected by an activated cluster. An interface with the Statistical Parametric Mapping package (SPM, J. Ashburner and K. J. Friston, 1999, Hum. Brain Mapp. 7, 254-266) is provided as a freeware to researchers of the neuroimaging community. We believe that this tool is an improvement for the macroscopical labeling of activated area compared to labeling assessed using the Talairach atlas brain in which deformations are well known. However, this tool does not alleviate the need for more sophisticated labeling strategies based on anatomical or cytoarchitectonic probabilistic maps. © 2002 Elsevier Science.","author":[{"dropping-particle":"","family":"Tzourio-Mazoyer","given":"N.","non-dropping-particle":"","parse-names":false,"suffix":""},{"dropping-particle":"","family":"Landeau","given":"B.","non-dropping-particle":"","parse-names":false,"suffix":""},{"dropping-particle":"","family":"Papathanassiou","given":"D.","non-dropping-particle":"","parse-names":false,"suffix":""},{"dropping-particle":"","family":"Crivello","given":"F.","non-dropping-particle":"","parse-names":false,"suffix":""},{"dropping-particle":"","family":"Etard","given":"O.","non-dropping-particle":"","parse-names":false,"suffix":""},{"dropping-particle":"","family":"Delcroix","given":"N.","non-dropping-particle":"","parse-names":false,"suffix":""},{"dropping-particle":"","family":"Mazoyer","given":"B.","non-dropping-particle":"","parse-names":false,"suffix":""},{"dropping-particle":"","family":"Joliot","given":"M.","non-dropping-particle":"","parse-names":false,"suffix":""}],"container-title":"NeuroImage","id":"ITEM-1","issue":"1","issued":{"date-parts":[["2002"]]},"page":"273-289","title":"Automated anatomical labeling of activations in SPM using a macroscopic anatomical parcellation of the MNI MRI single-subject brain","type":"article-journal","volume":"15"},"uris":["http://www.mendeley.com/documents/?uuid=309c255b-b500-42bc-9180-414cd9e2906f"]}],"mendeley":{"formattedCitation":"&lt;sup&gt;6&lt;/sup&gt;","plainTextFormattedCitation":"6","previouslyFormattedCitation":"&lt;sup&gt;43&lt;/sup&gt;"},"properties":{"noteIndex":0},"schema":"https://github.com/citation-style-language/schema/raw/master/csl-citation.json"}</w:instrText>
      </w:r>
      <w:r w:rsidRPr="00E5257C">
        <w:fldChar w:fldCharType="separate"/>
      </w:r>
      <w:r w:rsidR="00AB0376" w:rsidRPr="00AB0376">
        <w:rPr>
          <w:noProof/>
          <w:vertAlign w:val="superscript"/>
        </w:rPr>
        <w:t>6</w:t>
      </w:r>
      <w:r w:rsidRPr="00E5257C">
        <w:fldChar w:fldCharType="end"/>
      </w:r>
      <w:r w:rsidR="0061189A" w:rsidRPr="00E5257C">
        <w:t>. [</w:t>
      </w:r>
      <w:proofErr w:type="gramStart"/>
      <w:r w:rsidR="0061189A" w:rsidRPr="00E5257C">
        <w:t>delta</w:t>
      </w:r>
      <w:proofErr w:type="gramEnd"/>
      <w:r w:rsidR="0061189A" w:rsidRPr="00E5257C">
        <w:t xml:space="preserve"> (1-4 Hz), theta (4-8 Hz), alpha (8-13 Hz), beta (13-30 Hz), Lgamma: low gamma (30-49 Hz), Hgamma: high gamma (51-99 Hz)].</w:t>
      </w:r>
      <w:r w:rsidRPr="00E5257C">
        <w:rPr>
          <w:rFonts w:eastAsia="Times New Roman" w:cs="Times New Roman"/>
          <w:sz w:val="20"/>
          <w:szCs w:val="20"/>
          <w:shd w:val="clear" w:color="auto" w:fill="FFFFFF"/>
          <w:lang w:eastAsia="en-GB"/>
        </w:rPr>
        <w:t xml:space="preserve"> </w:t>
      </w:r>
    </w:p>
    <w:tbl>
      <w:tblPr>
        <w:tblpPr w:leftFromText="180" w:rightFromText="180" w:horzAnchor="page" w:tblpX="1" w:tblpY="-1440"/>
        <w:tblW w:w="10875" w:type="dxa"/>
        <w:tblLook w:val="04A0" w:firstRow="1" w:lastRow="0" w:firstColumn="1" w:lastColumn="0" w:noHBand="0" w:noVBand="1"/>
      </w:tblPr>
      <w:tblGrid>
        <w:gridCol w:w="1507"/>
        <w:gridCol w:w="1168"/>
        <w:gridCol w:w="615"/>
        <w:gridCol w:w="571"/>
        <w:gridCol w:w="3547"/>
        <w:gridCol w:w="1580"/>
        <w:gridCol w:w="960"/>
        <w:gridCol w:w="960"/>
      </w:tblGrid>
      <w:tr w:rsidR="00FB337C" w:rsidRPr="00E5257C" w14:paraId="237F65B6" w14:textId="77777777" w:rsidTr="00592BA1">
        <w:trPr>
          <w:trHeight w:val="300"/>
        </w:trPr>
        <w:tc>
          <w:tcPr>
            <w:tcW w:w="1507" w:type="dxa"/>
            <w:tcBorders>
              <w:top w:val="nil"/>
              <w:left w:val="nil"/>
              <w:bottom w:val="nil"/>
              <w:right w:val="nil"/>
            </w:tcBorders>
            <w:shd w:val="clear" w:color="auto" w:fill="auto"/>
            <w:noWrap/>
            <w:vAlign w:val="bottom"/>
            <w:hideMark/>
          </w:tcPr>
          <w:p w14:paraId="2BEF9384"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lastRenderedPageBreak/>
              <w:t>Measurement</w:t>
            </w:r>
          </w:p>
        </w:tc>
        <w:tc>
          <w:tcPr>
            <w:tcW w:w="1168" w:type="dxa"/>
            <w:tcBorders>
              <w:top w:val="nil"/>
              <w:left w:val="nil"/>
              <w:bottom w:val="nil"/>
              <w:right w:val="nil"/>
            </w:tcBorders>
            <w:shd w:val="clear" w:color="auto" w:fill="auto"/>
            <w:noWrap/>
            <w:vAlign w:val="bottom"/>
            <w:hideMark/>
          </w:tcPr>
          <w:p w14:paraId="20FAFD08"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Frequency Band</w:t>
            </w:r>
          </w:p>
        </w:tc>
        <w:tc>
          <w:tcPr>
            <w:tcW w:w="1153" w:type="dxa"/>
            <w:gridSpan w:val="2"/>
            <w:tcBorders>
              <w:top w:val="nil"/>
              <w:left w:val="nil"/>
              <w:bottom w:val="nil"/>
              <w:right w:val="nil"/>
            </w:tcBorders>
            <w:shd w:val="clear" w:color="auto" w:fill="auto"/>
            <w:noWrap/>
            <w:vAlign w:val="bottom"/>
            <w:hideMark/>
          </w:tcPr>
          <w:p w14:paraId="57C9D9B9"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MAC-awake Level</w:t>
            </w:r>
          </w:p>
        </w:tc>
        <w:tc>
          <w:tcPr>
            <w:tcW w:w="3547" w:type="dxa"/>
            <w:tcBorders>
              <w:top w:val="nil"/>
              <w:left w:val="nil"/>
              <w:bottom w:val="nil"/>
              <w:right w:val="nil"/>
            </w:tcBorders>
            <w:shd w:val="clear" w:color="auto" w:fill="auto"/>
            <w:noWrap/>
            <w:vAlign w:val="bottom"/>
            <w:hideMark/>
          </w:tcPr>
          <w:p w14:paraId="75B2626C"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Region of Interest</w:t>
            </w:r>
          </w:p>
        </w:tc>
        <w:tc>
          <w:tcPr>
            <w:tcW w:w="1580" w:type="dxa"/>
            <w:tcBorders>
              <w:top w:val="nil"/>
              <w:left w:val="nil"/>
              <w:bottom w:val="nil"/>
              <w:right w:val="nil"/>
            </w:tcBorders>
            <w:shd w:val="clear" w:color="auto" w:fill="auto"/>
            <w:noWrap/>
            <w:vAlign w:val="bottom"/>
            <w:hideMark/>
          </w:tcPr>
          <w:p w14:paraId="5776CFBB"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Voxel Coordinate</w:t>
            </w:r>
          </w:p>
        </w:tc>
        <w:tc>
          <w:tcPr>
            <w:tcW w:w="960" w:type="dxa"/>
            <w:tcBorders>
              <w:top w:val="nil"/>
              <w:left w:val="nil"/>
              <w:bottom w:val="nil"/>
              <w:right w:val="nil"/>
            </w:tcBorders>
            <w:shd w:val="clear" w:color="auto" w:fill="auto"/>
            <w:noWrap/>
            <w:vAlign w:val="bottom"/>
            <w:hideMark/>
          </w:tcPr>
          <w:p w14:paraId="040C1493"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t-value</w:t>
            </w:r>
          </w:p>
        </w:tc>
        <w:tc>
          <w:tcPr>
            <w:tcW w:w="960" w:type="dxa"/>
            <w:tcBorders>
              <w:top w:val="nil"/>
              <w:left w:val="nil"/>
              <w:bottom w:val="nil"/>
              <w:right w:val="nil"/>
            </w:tcBorders>
            <w:shd w:val="clear" w:color="auto" w:fill="auto"/>
            <w:noWrap/>
            <w:vAlign w:val="bottom"/>
            <w:hideMark/>
          </w:tcPr>
          <w:p w14:paraId="5E7E047F"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p-value</w:t>
            </w:r>
          </w:p>
        </w:tc>
      </w:tr>
      <w:tr w:rsidR="00FB337C" w:rsidRPr="00E5257C" w14:paraId="57C94858" w14:textId="77777777" w:rsidTr="00592BA1">
        <w:trPr>
          <w:trHeight w:val="300"/>
        </w:trPr>
        <w:tc>
          <w:tcPr>
            <w:tcW w:w="1507" w:type="dxa"/>
            <w:tcBorders>
              <w:top w:val="nil"/>
              <w:left w:val="nil"/>
              <w:bottom w:val="nil"/>
              <w:right w:val="nil"/>
            </w:tcBorders>
            <w:shd w:val="clear" w:color="auto" w:fill="auto"/>
            <w:noWrap/>
            <w:vAlign w:val="bottom"/>
            <w:hideMark/>
          </w:tcPr>
          <w:p w14:paraId="696DCE55"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MEG</w:t>
            </w:r>
          </w:p>
        </w:tc>
        <w:tc>
          <w:tcPr>
            <w:tcW w:w="1783" w:type="dxa"/>
            <w:gridSpan w:val="2"/>
            <w:tcBorders>
              <w:top w:val="nil"/>
              <w:left w:val="nil"/>
              <w:bottom w:val="nil"/>
              <w:right w:val="nil"/>
            </w:tcBorders>
            <w:shd w:val="clear" w:color="auto" w:fill="auto"/>
            <w:noWrap/>
            <w:vAlign w:val="bottom"/>
            <w:hideMark/>
          </w:tcPr>
          <w:p w14:paraId="34917D34"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alpha</w:t>
            </w:r>
          </w:p>
        </w:tc>
        <w:tc>
          <w:tcPr>
            <w:tcW w:w="538" w:type="dxa"/>
            <w:tcBorders>
              <w:top w:val="nil"/>
              <w:left w:val="nil"/>
              <w:bottom w:val="nil"/>
              <w:right w:val="nil"/>
            </w:tcBorders>
            <w:shd w:val="clear" w:color="auto" w:fill="auto"/>
            <w:noWrap/>
            <w:vAlign w:val="bottom"/>
            <w:hideMark/>
          </w:tcPr>
          <w:p w14:paraId="4C7D041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7311C14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Frontal_Mid_R</w:t>
            </w:r>
          </w:p>
        </w:tc>
        <w:tc>
          <w:tcPr>
            <w:tcW w:w="1580" w:type="dxa"/>
            <w:tcBorders>
              <w:top w:val="nil"/>
              <w:left w:val="nil"/>
              <w:bottom w:val="nil"/>
              <w:right w:val="nil"/>
            </w:tcBorders>
            <w:shd w:val="clear" w:color="auto" w:fill="auto"/>
            <w:noWrap/>
            <w:vAlign w:val="bottom"/>
            <w:hideMark/>
          </w:tcPr>
          <w:p w14:paraId="0B3107C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24  30  30</w:t>
            </w:r>
          </w:p>
        </w:tc>
        <w:tc>
          <w:tcPr>
            <w:tcW w:w="960" w:type="dxa"/>
            <w:tcBorders>
              <w:top w:val="nil"/>
              <w:left w:val="nil"/>
              <w:bottom w:val="nil"/>
              <w:right w:val="nil"/>
            </w:tcBorders>
            <w:shd w:val="clear" w:color="auto" w:fill="auto"/>
            <w:noWrap/>
            <w:vAlign w:val="bottom"/>
            <w:hideMark/>
          </w:tcPr>
          <w:p w14:paraId="73052E1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-6.97</w:t>
            </w:r>
          </w:p>
        </w:tc>
        <w:tc>
          <w:tcPr>
            <w:tcW w:w="960" w:type="dxa"/>
            <w:tcBorders>
              <w:top w:val="nil"/>
              <w:left w:val="nil"/>
              <w:bottom w:val="nil"/>
              <w:right w:val="nil"/>
            </w:tcBorders>
            <w:shd w:val="clear" w:color="auto" w:fill="auto"/>
            <w:noWrap/>
            <w:vAlign w:val="bottom"/>
            <w:hideMark/>
          </w:tcPr>
          <w:p w14:paraId="28C63AC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0.0017</w:t>
            </w:r>
          </w:p>
        </w:tc>
      </w:tr>
      <w:tr w:rsidR="00FB337C" w:rsidRPr="00E5257C" w14:paraId="79B6ED9E" w14:textId="77777777" w:rsidTr="00592BA1">
        <w:trPr>
          <w:trHeight w:val="300"/>
        </w:trPr>
        <w:tc>
          <w:tcPr>
            <w:tcW w:w="1507" w:type="dxa"/>
            <w:tcBorders>
              <w:top w:val="nil"/>
              <w:left w:val="nil"/>
              <w:bottom w:val="nil"/>
              <w:right w:val="nil"/>
            </w:tcBorders>
            <w:shd w:val="clear" w:color="auto" w:fill="auto"/>
            <w:noWrap/>
            <w:vAlign w:val="bottom"/>
            <w:hideMark/>
          </w:tcPr>
          <w:p w14:paraId="5FE93B5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195B37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712038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491DB66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Frontal_Inf_Oper_L</w:t>
            </w:r>
          </w:p>
        </w:tc>
        <w:tc>
          <w:tcPr>
            <w:tcW w:w="1580" w:type="dxa"/>
            <w:tcBorders>
              <w:top w:val="nil"/>
              <w:left w:val="nil"/>
              <w:bottom w:val="nil"/>
              <w:right w:val="nil"/>
            </w:tcBorders>
            <w:shd w:val="clear" w:color="auto" w:fill="auto"/>
            <w:noWrap/>
            <w:vAlign w:val="bottom"/>
            <w:hideMark/>
          </w:tcPr>
          <w:p w14:paraId="13EB198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-48   6  18</w:t>
            </w:r>
          </w:p>
        </w:tc>
        <w:tc>
          <w:tcPr>
            <w:tcW w:w="960" w:type="dxa"/>
            <w:tcBorders>
              <w:top w:val="nil"/>
              <w:left w:val="nil"/>
              <w:bottom w:val="nil"/>
              <w:right w:val="nil"/>
            </w:tcBorders>
            <w:shd w:val="clear" w:color="auto" w:fill="auto"/>
            <w:noWrap/>
            <w:vAlign w:val="bottom"/>
            <w:hideMark/>
          </w:tcPr>
          <w:p w14:paraId="3D4046C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-6.86</w:t>
            </w:r>
          </w:p>
        </w:tc>
        <w:tc>
          <w:tcPr>
            <w:tcW w:w="960" w:type="dxa"/>
            <w:tcBorders>
              <w:top w:val="nil"/>
              <w:left w:val="nil"/>
              <w:bottom w:val="nil"/>
              <w:right w:val="nil"/>
            </w:tcBorders>
            <w:shd w:val="clear" w:color="auto" w:fill="auto"/>
            <w:noWrap/>
            <w:vAlign w:val="bottom"/>
            <w:hideMark/>
          </w:tcPr>
          <w:p w14:paraId="65E7691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0.0020</w:t>
            </w:r>
          </w:p>
        </w:tc>
      </w:tr>
      <w:tr w:rsidR="00FB337C" w:rsidRPr="00E5257C" w14:paraId="4BA4A319" w14:textId="77777777" w:rsidTr="00592BA1">
        <w:trPr>
          <w:trHeight w:val="300"/>
        </w:trPr>
        <w:tc>
          <w:tcPr>
            <w:tcW w:w="1507" w:type="dxa"/>
            <w:tcBorders>
              <w:top w:val="nil"/>
              <w:left w:val="nil"/>
              <w:bottom w:val="nil"/>
              <w:right w:val="nil"/>
            </w:tcBorders>
            <w:shd w:val="clear" w:color="auto" w:fill="auto"/>
            <w:noWrap/>
            <w:vAlign w:val="bottom"/>
            <w:hideMark/>
          </w:tcPr>
          <w:p w14:paraId="79C6BFE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8BDFF47"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BF71D5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222D3E3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Frontal_Inf_Tri_L</w:t>
            </w:r>
          </w:p>
        </w:tc>
        <w:tc>
          <w:tcPr>
            <w:tcW w:w="1580" w:type="dxa"/>
            <w:tcBorders>
              <w:top w:val="nil"/>
              <w:left w:val="nil"/>
              <w:bottom w:val="nil"/>
              <w:right w:val="nil"/>
            </w:tcBorders>
            <w:shd w:val="clear" w:color="auto" w:fill="auto"/>
            <w:noWrap/>
            <w:vAlign w:val="bottom"/>
            <w:hideMark/>
          </w:tcPr>
          <w:p w14:paraId="3CB892E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-36  42   0</w:t>
            </w:r>
          </w:p>
        </w:tc>
        <w:tc>
          <w:tcPr>
            <w:tcW w:w="960" w:type="dxa"/>
            <w:tcBorders>
              <w:top w:val="nil"/>
              <w:left w:val="nil"/>
              <w:bottom w:val="nil"/>
              <w:right w:val="nil"/>
            </w:tcBorders>
            <w:shd w:val="clear" w:color="auto" w:fill="auto"/>
            <w:noWrap/>
            <w:vAlign w:val="bottom"/>
            <w:hideMark/>
          </w:tcPr>
          <w:p w14:paraId="0FE7A5D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-6.64</w:t>
            </w:r>
          </w:p>
        </w:tc>
        <w:tc>
          <w:tcPr>
            <w:tcW w:w="960" w:type="dxa"/>
            <w:tcBorders>
              <w:top w:val="nil"/>
              <w:left w:val="nil"/>
              <w:bottom w:val="nil"/>
              <w:right w:val="nil"/>
            </w:tcBorders>
            <w:shd w:val="clear" w:color="auto" w:fill="auto"/>
            <w:noWrap/>
            <w:vAlign w:val="bottom"/>
            <w:hideMark/>
          </w:tcPr>
          <w:p w14:paraId="44D21CB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0.0032</w:t>
            </w:r>
          </w:p>
        </w:tc>
      </w:tr>
      <w:tr w:rsidR="00FB337C" w:rsidRPr="00E5257C" w14:paraId="684B0FBF" w14:textId="77777777" w:rsidTr="00592BA1">
        <w:trPr>
          <w:trHeight w:val="300"/>
        </w:trPr>
        <w:tc>
          <w:tcPr>
            <w:tcW w:w="1507" w:type="dxa"/>
            <w:tcBorders>
              <w:top w:val="nil"/>
              <w:left w:val="nil"/>
              <w:bottom w:val="nil"/>
              <w:right w:val="nil"/>
            </w:tcBorders>
            <w:shd w:val="clear" w:color="auto" w:fill="auto"/>
            <w:noWrap/>
            <w:vAlign w:val="bottom"/>
            <w:hideMark/>
          </w:tcPr>
          <w:p w14:paraId="0611D1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496201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E597B3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09D84EF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Frontal_Mid_L</w:t>
            </w:r>
          </w:p>
        </w:tc>
        <w:tc>
          <w:tcPr>
            <w:tcW w:w="1580" w:type="dxa"/>
            <w:tcBorders>
              <w:top w:val="nil"/>
              <w:left w:val="nil"/>
              <w:bottom w:val="nil"/>
              <w:right w:val="nil"/>
            </w:tcBorders>
            <w:shd w:val="clear" w:color="auto" w:fill="auto"/>
            <w:noWrap/>
            <w:vAlign w:val="bottom"/>
            <w:hideMark/>
          </w:tcPr>
          <w:p w14:paraId="4A5906E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-24  30  30</w:t>
            </w:r>
          </w:p>
        </w:tc>
        <w:tc>
          <w:tcPr>
            <w:tcW w:w="960" w:type="dxa"/>
            <w:tcBorders>
              <w:top w:val="nil"/>
              <w:left w:val="nil"/>
              <w:bottom w:val="nil"/>
              <w:right w:val="nil"/>
            </w:tcBorders>
            <w:shd w:val="clear" w:color="auto" w:fill="auto"/>
            <w:noWrap/>
            <w:vAlign w:val="bottom"/>
            <w:hideMark/>
          </w:tcPr>
          <w:p w14:paraId="5469E0B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-6.42</w:t>
            </w:r>
          </w:p>
        </w:tc>
        <w:tc>
          <w:tcPr>
            <w:tcW w:w="960" w:type="dxa"/>
            <w:tcBorders>
              <w:top w:val="nil"/>
              <w:left w:val="nil"/>
              <w:bottom w:val="nil"/>
              <w:right w:val="nil"/>
            </w:tcBorders>
            <w:shd w:val="clear" w:color="auto" w:fill="auto"/>
            <w:noWrap/>
            <w:vAlign w:val="bottom"/>
            <w:hideMark/>
          </w:tcPr>
          <w:p w14:paraId="7CDDE9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0.0038</w:t>
            </w:r>
          </w:p>
        </w:tc>
      </w:tr>
      <w:tr w:rsidR="00FB337C" w:rsidRPr="00E5257C" w14:paraId="6273B42D" w14:textId="77777777" w:rsidTr="00592BA1">
        <w:trPr>
          <w:trHeight w:val="300"/>
        </w:trPr>
        <w:tc>
          <w:tcPr>
            <w:tcW w:w="1507" w:type="dxa"/>
            <w:tcBorders>
              <w:top w:val="nil"/>
              <w:left w:val="nil"/>
              <w:bottom w:val="nil"/>
              <w:right w:val="nil"/>
            </w:tcBorders>
            <w:shd w:val="clear" w:color="auto" w:fill="auto"/>
            <w:noWrap/>
            <w:vAlign w:val="bottom"/>
            <w:hideMark/>
          </w:tcPr>
          <w:p w14:paraId="22A81331"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EEG</w:t>
            </w:r>
          </w:p>
        </w:tc>
        <w:tc>
          <w:tcPr>
            <w:tcW w:w="1783" w:type="dxa"/>
            <w:gridSpan w:val="2"/>
            <w:tcBorders>
              <w:top w:val="nil"/>
              <w:left w:val="nil"/>
              <w:bottom w:val="nil"/>
              <w:right w:val="nil"/>
            </w:tcBorders>
            <w:shd w:val="clear" w:color="auto" w:fill="auto"/>
            <w:noWrap/>
            <w:vAlign w:val="bottom"/>
            <w:hideMark/>
          </w:tcPr>
          <w:p w14:paraId="24F4FB7F"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alpha</w:t>
            </w:r>
          </w:p>
        </w:tc>
        <w:tc>
          <w:tcPr>
            <w:tcW w:w="538" w:type="dxa"/>
            <w:tcBorders>
              <w:top w:val="nil"/>
              <w:left w:val="nil"/>
              <w:bottom w:val="nil"/>
              <w:right w:val="nil"/>
            </w:tcBorders>
            <w:shd w:val="clear" w:color="auto" w:fill="auto"/>
            <w:noWrap/>
            <w:vAlign w:val="bottom"/>
            <w:hideMark/>
          </w:tcPr>
          <w:p w14:paraId="6560EF8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2D3122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Frontal_Mid_R</w:t>
            </w:r>
          </w:p>
        </w:tc>
        <w:tc>
          <w:tcPr>
            <w:tcW w:w="1580" w:type="dxa"/>
            <w:tcBorders>
              <w:top w:val="nil"/>
              <w:left w:val="nil"/>
              <w:bottom w:val="nil"/>
              <w:right w:val="nil"/>
            </w:tcBorders>
            <w:shd w:val="clear" w:color="auto" w:fill="auto"/>
            <w:noWrap/>
            <w:vAlign w:val="bottom"/>
            <w:hideMark/>
          </w:tcPr>
          <w:p w14:paraId="066CF7E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-6  54</w:t>
            </w:r>
          </w:p>
        </w:tc>
        <w:tc>
          <w:tcPr>
            <w:tcW w:w="960" w:type="dxa"/>
            <w:tcBorders>
              <w:top w:val="nil"/>
              <w:left w:val="nil"/>
              <w:bottom w:val="nil"/>
              <w:right w:val="nil"/>
            </w:tcBorders>
            <w:shd w:val="clear" w:color="auto" w:fill="auto"/>
            <w:noWrap/>
            <w:vAlign w:val="bottom"/>
            <w:hideMark/>
          </w:tcPr>
          <w:p w14:paraId="1D70260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-6.22</w:t>
            </w:r>
          </w:p>
        </w:tc>
        <w:tc>
          <w:tcPr>
            <w:tcW w:w="960" w:type="dxa"/>
            <w:tcBorders>
              <w:top w:val="nil"/>
              <w:left w:val="nil"/>
              <w:bottom w:val="nil"/>
              <w:right w:val="nil"/>
            </w:tcBorders>
            <w:shd w:val="clear" w:color="auto" w:fill="auto"/>
            <w:noWrap/>
            <w:vAlign w:val="bottom"/>
            <w:hideMark/>
          </w:tcPr>
          <w:p w14:paraId="72708A3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0.0013</w:t>
            </w:r>
          </w:p>
        </w:tc>
      </w:tr>
      <w:tr w:rsidR="00FB337C" w:rsidRPr="00E5257C" w14:paraId="7029973D" w14:textId="77777777" w:rsidTr="00592BA1">
        <w:trPr>
          <w:trHeight w:val="300"/>
        </w:trPr>
        <w:tc>
          <w:tcPr>
            <w:tcW w:w="1507" w:type="dxa"/>
            <w:tcBorders>
              <w:top w:val="nil"/>
              <w:left w:val="nil"/>
              <w:bottom w:val="nil"/>
              <w:right w:val="nil"/>
            </w:tcBorders>
            <w:shd w:val="clear" w:color="auto" w:fill="auto"/>
            <w:noWrap/>
            <w:vAlign w:val="bottom"/>
            <w:hideMark/>
          </w:tcPr>
          <w:p w14:paraId="0BD40BC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0D4743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17B07D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7E7D2B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Frontal_Sup_Medial_L</w:t>
            </w:r>
          </w:p>
        </w:tc>
        <w:tc>
          <w:tcPr>
            <w:tcW w:w="1580" w:type="dxa"/>
            <w:tcBorders>
              <w:top w:val="nil"/>
              <w:left w:val="nil"/>
              <w:bottom w:val="nil"/>
              <w:right w:val="nil"/>
            </w:tcBorders>
            <w:shd w:val="clear" w:color="auto" w:fill="auto"/>
            <w:noWrap/>
            <w:vAlign w:val="bottom"/>
            <w:hideMark/>
          </w:tcPr>
          <w:p w14:paraId="138B7EA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-6  42  54</w:t>
            </w:r>
          </w:p>
        </w:tc>
        <w:tc>
          <w:tcPr>
            <w:tcW w:w="960" w:type="dxa"/>
            <w:tcBorders>
              <w:top w:val="nil"/>
              <w:left w:val="nil"/>
              <w:bottom w:val="nil"/>
              <w:right w:val="nil"/>
            </w:tcBorders>
            <w:shd w:val="clear" w:color="auto" w:fill="auto"/>
            <w:noWrap/>
            <w:vAlign w:val="bottom"/>
            <w:hideMark/>
          </w:tcPr>
          <w:p w14:paraId="69860A0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-6.15</w:t>
            </w:r>
          </w:p>
        </w:tc>
        <w:tc>
          <w:tcPr>
            <w:tcW w:w="960" w:type="dxa"/>
            <w:tcBorders>
              <w:top w:val="nil"/>
              <w:left w:val="nil"/>
              <w:bottom w:val="nil"/>
              <w:right w:val="nil"/>
            </w:tcBorders>
            <w:shd w:val="clear" w:color="auto" w:fill="auto"/>
            <w:noWrap/>
            <w:vAlign w:val="bottom"/>
            <w:hideMark/>
          </w:tcPr>
          <w:p w14:paraId="563CA8E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0.0016</w:t>
            </w:r>
          </w:p>
        </w:tc>
      </w:tr>
      <w:tr w:rsidR="00FB337C" w:rsidRPr="00E5257C" w14:paraId="054D0756" w14:textId="77777777" w:rsidTr="00592BA1">
        <w:trPr>
          <w:trHeight w:val="300"/>
        </w:trPr>
        <w:tc>
          <w:tcPr>
            <w:tcW w:w="1507" w:type="dxa"/>
            <w:tcBorders>
              <w:top w:val="nil"/>
              <w:left w:val="nil"/>
              <w:bottom w:val="nil"/>
              <w:right w:val="nil"/>
            </w:tcBorders>
            <w:shd w:val="clear" w:color="auto" w:fill="auto"/>
            <w:noWrap/>
            <w:vAlign w:val="bottom"/>
            <w:hideMark/>
          </w:tcPr>
          <w:p w14:paraId="069BE4C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5A3F25F"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D95DEB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98DA87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Frontal_Mid_L</w:t>
            </w:r>
          </w:p>
        </w:tc>
        <w:tc>
          <w:tcPr>
            <w:tcW w:w="1580" w:type="dxa"/>
            <w:tcBorders>
              <w:top w:val="nil"/>
              <w:left w:val="nil"/>
              <w:bottom w:val="nil"/>
              <w:right w:val="nil"/>
            </w:tcBorders>
            <w:shd w:val="clear" w:color="auto" w:fill="auto"/>
            <w:noWrap/>
            <w:vAlign w:val="bottom"/>
            <w:hideMark/>
          </w:tcPr>
          <w:p w14:paraId="6A838CA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-24  30  54</w:t>
            </w:r>
          </w:p>
        </w:tc>
        <w:tc>
          <w:tcPr>
            <w:tcW w:w="960" w:type="dxa"/>
            <w:tcBorders>
              <w:top w:val="nil"/>
              <w:left w:val="nil"/>
              <w:bottom w:val="nil"/>
              <w:right w:val="nil"/>
            </w:tcBorders>
            <w:shd w:val="clear" w:color="auto" w:fill="auto"/>
            <w:noWrap/>
            <w:vAlign w:val="bottom"/>
            <w:hideMark/>
          </w:tcPr>
          <w:p w14:paraId="53B6E25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-6.14</w:t>
            </w:r>
          </w:p>
        </w:tc>
        <w:tc>
          <w:tcPr>
            <w:tcW w:w="960" w:type="dxa"/>
            <w:tcBorders>
              <w:top w:val="nil"/>
              <w:left w:val="nil"/>
              <w:bottom w:val="nil"/>
              <w:right w:val="nil"/>
            </w:tcBorders>
            <w:shd w:val="clear" w:color="auto" w:fill="auto"/>
            <w:noWrap/>
            <w:vAlign w:val="bottom"/>
            <w:hideMark/>
          </w:tcPr>
          <w:p w14:paraId="2A15117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0.0016</w:t>
            </w:r>
          </w:p>
        </w:tc>
      </w:tr>
      <w:tr w:rsidR="00FB337C" w:rsidRPr="00E5257C" w14:paraId="4AF5016D" w14:textId="77777777" w:rsidTr="00592BA1">
        <w:trPr>
          <w:trHeight w:val="300"/>
        </w:trPr>
        <w:tc>
          <w:tcPr>
            <w:tcW w:w="1507" w:type="dxa"/>
            <w:tcBorders>
              <w:top w:val="nil"/>
              <w:left w:val="nil"/>
              <w:bottom w:val="nil"/>
              <w:right w:val="nil"/>
            </w:tcBorders>
            <w:shd w:val="clear" w:color="auto" w:fill="auto"/>
            <w:noWrap/>
            <w:vAlign w:val="bottom"/>
            <w:hideMark/>
          </w:tcPr>
          <w:p w14:paraId="771F2BA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1DBB05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407E1E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D712F0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Supp_Motor_Area_L</w:t>
            </w:r>
          </w:p>
        </w:tc>
        <w:tc>
          <w:tcPr>
            <w:tcW w:w="1580" w:type="dxa"/>
            <w:tcBorders>
              <w:top w:val="nil"/>
              <w:left w:val="nil"/>
              <w:bottom w:val="nil"/>
              <w:right w:val="nil"/>
            </w:tcBorders>
            <w:shd w:val="clear" w:color="auto" w:fill="auto"/>
            <w:noWrap/>
            <w:vAlign w:val="bottom"/>
            <w:hideMark/>
          </w:tcPr>
          <w:p w14:paraId="1A2642E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-6   6  72</w:t>
            </w:r>
          </w:p>
        </w:tc>
        <w:tc>
          <w:tcPr>
            <w:tcW w:w="960" w:type="dxa"/>
            <w:tcBorders>
              <w:top w:val="nil"/>
              <w:left w:val="nil"/>
              <w:bottom w:val="nil"/>
              <w:right w:val="nil"/>
            </w:tcBorders>
            <w:shd w:val="clear" w:color="auto" w:fill="auto"/>
            <w:noWrap/>
            <w:vAlign w:val="bottom"/>
            <w:hideMark/>
          </w:tcPr>
          <w:p w14:paraId="48E0D7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-6.11</w:t>
            </w:r>
          </w:p>
        </w:tc>
        <w:tc>
          <w:tcPr>
            <w:tcW w:w="960" w:type="dxa"/>
            <w:tcBorders>
              <w:top w:val="nil"/>
              <w:left w:val="nil"/>
              <w:bottom w:val="nil"/>
              <w:right w:val="nil"/>
            </w:tcBorders>
            <w:shd w:val="clear" w:color="auto" w:fill="auto"/>
            <w:noWrap/>
            <w:vAlign w:val="bottom"/>
            <w:hideMark/>
          </w:tcPr>
          <w:p w14:paraId="74B47B8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0.0018</w:t>
            </w:r>
          </w:p>
        </w:tc>
      </w:tr>
      <w:tr w:rsidR="00FB337C" w:rsidRPr="00E5257C" w14:paraId="53258DAD" w14:textId="77777777" w:rsidTr="00592BA1">
        <w:trPr>
          <w:trHeight w:val="300"/>
        </w:trPr>
        <w:tc>
          <w:tcPr>
            <w:tcW w:w="1507" w:type="dxa"/>
            <w:tcBorders>
              <w:top w:val="nil"/>
              <w:left w:val="nil"/>
              <w:bottom w:val="nil"/>
              <w:right w:val="nil"/>
            </w:tcBorders>
            <w:shd w:val="clear" w:color="auto" w:fill="auto"/>
            <w:noWrap/>
            <w:vAlign w:val="bottom"/>
            <w:hideMark/>
          </w:tcPr>
          <w:p w14:paraId="3444A2C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8250FD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0DCC43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060D63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Precentral_R</w:t>
            </w:r>
          </w:p>
        </w:tc>
        <w:tc>
          <w:tcPr>
            <w:tcW w:w="1580" w:type="dxa"/>
            <w:tcBorders>
              <w:top w:val="nil"/>
              <w:left w:val="nil"/>
              <w:bottom w:val="nil"/>
              <w:right w:val="nil"/>
            </w:tcBorders>
            <w:shd w:val="clear" w:color="auto" w:fill="auto"/>
            <w:noWrap/>
            <w:vAlign w:val="bottom"/>
            <w:hideMark/>
          </w:tcPr>
          <w:p w14:paraId="5E06BA1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42 -12  60</w:t>
            </w:r>
          </w:p>
        </w:tc>
        <w:tc>
          <w:tcPr>
            <w:tcW w:w="960" w:type="dxa"/>
            <w:tcBorders>
              <w:top w:val="nil"/>
              <w:left w:val="nil"/>
              <w:bottom w:val="nil"/>
              <w:right w:val="nil"/>
            </w:tcBorders>
            <w:shd w:val="clear" w:color="auto" w:fill="auto"/>
            <w:noWrap/>
            <w:vAlign w:val="bottom"/>
            <w:hideMark/>
          </w:tcPr>
          <w:p w14:paraId="431E1AD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-6.07</w:t>
            </w:r>
          </w:p>
        </w:tc>
        <w:tc>
          <w:tcPr>
            <w:tcW w:w="960" w:type="dxa"/>
            <w:tcBorders>
              <w:top w:val="nil"/>
              <w:left w:val="nil"/>
              <w:bottom w:val="nil"/>
              <w:right w:val="nil"/>
            </w:tcBorders>
            <w:shd w:val="clear" w:color="auto" w:fill="auto"/>
            <w:noWrap/>
            <w:vAlign w:val="bottom"/>
            <w:hideMark/>
          </w:tcPr>
          <w:p w14:paraId="74F76D3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0.0022</w:t>
            </w:r>
          </w:p>
        </w:tc>
      </w:tr>
      <w:tr w:rsidR="00FB337C" w:rsidRPr="00E5257C" w14:paraId="67843A66" w14:textId="77777777" w:rsidTr="00592BA1">
        <w:trPr>
          <w:trHeight w:val="300"/>
        </w:trPr>
        <w:tc>
          <w:tcPr>
            <w:tcW w:w="1507" w:type="dxa"/>
            <w:tcBorders>
              <w:top w:val="nil"/>
              <w:left w:val="nil"/>
              <w:bottom w:val="nil"/>
              <w:right w:val="nil"/>
            </w:tcBorders>
            <w:shd w:val="clear" w:color="auto" w:fill="auto"/>
            <w:noWrap/>
            <w:vAlign w:val="bottom"/>
            <w:hideMark/>
          </w:tcPr>
          <w:p w14:paraId="62B916C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1AB2CC6"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EE1A46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16C389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Precentral_L</w:t>
            </w:r>
          </w:p>
        </w:tc>
        <w:tc>
          <w:tcPr>
            <w:tcW w:w="1580" w:type="dxa"/>
            <w:tcBorders>
              <w:top w:val="nil"/>
              <w:left w:val="nil"/>
              <w:bottom w:val="nil"/>
              <w:right w:val="nil"/>
            </w:tcBorders>
            <w:shd w:val="clear" w:color="auto" w:fill="auto"/>
            <w:noWrap/>
            <w:vAlign w:val="bottom"/>
            <w:hideMark/>
          </w:tcPr>
          <w:p w14:paraId="6FC2DAE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-24 -12  72</w:t>
            </w:r>
          </w:p>
        </w:tc>
        <w:tc>
          <w:tcPr>
            <w:tcW w:w="960" w:type="dxa"/>
            <w:tcBorders>
              <w:top w:val="nil"/>
              <w:left w:val="nil"/>
              <w:bottom w:val="nil"/>
              <w:right w:val="nil"/>
            </w:tcBorders>
            <w:shd w:val="clear" w:color="auto" w:fill="auto"/>
            <w:noWrap/>
            <w:vAlign w:val="bottom"/>
            <w:hideMark/>
          </w:tcPr>
          <w:p w14:paraId="2154D40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-6.06</w:t>
            </w:r>
          </w:p>
        </w:tc>
        <w:tc>
          <w:tcPr>
            <w:tcW w:w="960" w:type="dxa"/>
            <w:tcBorders>
              <w:top w:val="nil"/>
              <w:left w:val="nil"/>
              <w:bottom w:val="nil"/>
              <w:right w:val="nil"/>
            </w:tcBorders>
            <w:shd w:val="clear" w:color="auto" w:fill="auto"/>
            <w:noWrap/>
            <w:vAlign w:val="bottom"/>
            <w:hideMark/>
          </w:tcPr>
          <w:p w14:paraId="4E56804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0.0024</w:t>
            </w:r>
          </w:p>
        </w:tc>
      </w:tr>
      <w:tr w:rsidR="00FB337C" w:rsidRPr="00E5257C" w14:paraId="4DF2763D" w14:textId="77777777" w:rsidTr="00592BA1">
        <w:trPr>
          <w:trHeight w:val="300"/>
        </w:trPr>
        <w:tc>
          <w:tcPr>
            <w:tcW w:w="1507" w:type="dxa"/>
            <w:tcBorders>
              <w:top w:val="nil"/>
              <w:left w:val="nil"/>
              <w:bottom w:val="nil"/>
              <w:right w:val="nil"/>
            </w:tcBorders>
            <w:shd w:val="clear" w:color="auto" w:fill="auto"/>
            <w:noWrap/>
            <w:vAlign w:val="bottom"/>
            <w:hideMark/>
          </w:tcPr>
          <w:p w14:paraId="56C138A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DA6C06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12FD43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2ECD63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Frontal_Sup_L</w:t>
            </w:r>
          </w:p>
        </w:tc>
        <w:tc>
          <w:tcPr>
            <w:tcW w:w="1580" w:type="dxa"/>
            <w:tcBorders>
              <w:top w:val="nil"/>
              <w:left w:val="nil"/>
              <w:bottom w:val="nil"/>
              <w:right w:val="nil"/>
            </w:tcBorders>
            <w:shd w:val="clear" w:color="auto" w:fill="auto"/>
            <w:noWrap/>
            <w:vAlign w:val="bottom"/>
            <w:hideMark/>
          </w:tcPr>
          <w:p w14:paraId="02E2B11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-18  42  48</w:t>
            </w:r>
          </w:p>
        </w:tc>
        <w:tc>
          <w:tcPr>
            <w:tcW w:w="960" w:type="dxa"/>
            <w:tcBorders>
              <w:top w:val="nil"/>
              <w:left w:val="nil"/>
              <w:bottom w:val="nil"/>
              <w:right w:val="nil"/>
            </w:tcBorders>
            <w:shd w:val="clear" w:color="auto" w:fill="auto"/>
            <w:noWrap/>
            <w:vAlign w:val="bottom"/>
            <w:hideMark/>
          </w:tcPr>
          <w:p w14:paraId="4DB12A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-5.98</w:t>
            </w:r>
          </w:p>
        </w:tc>
        <w:tc>
          <w:tcPr>
            <w:tcW w:w="960" w:type="dxa"/>
            <w:tcBorders>
              <w:top w:val="nil"/>
              <w:left w:val="nil"/>
              <w:bottom w:val="nil"/>
              <w:right w:val="nil"/>
            </w:tcBorders>
            <w:shd w:val="clear" w:color="auto" w:fill="auto"/>
            <w:noWrap/>
            <w:vAlign w:val="bottom"/>
            <w:hideMark/>
          </w:tcPr>
          <w:p w14:paraId="20B4AA3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0.0026</w:t>
            </w:r>
          </w:p>
        </w:tc>
      </w:tr>
      <w:tr w:rsidR="00FB337C" w:rsidRPr="00E5257C" w14:paraId="0FECCF8D" w14:textId="77777777" w:rsidTr="00592BA1">
        <w:trPr>
          <w:trHeight w:val="300"/>
        </w:trPr>
        <w:tc>
          <w:tcPr>
            <w:tcW w:w="1507" w:type="dxa"/>
            <w:tcBorders>
              <w:top w:val="nil"/>
              <w:left w:val="nil"/>
              <w:bottom w:val="nil"/>
              <w:right w:val="nil"/>
            </w:tcBorders>
            <w:shd w:val="clear" w:color="auto" w:fill="auto"/>
            <w:noWrap/>
            <w:vAlign w:val="bottom"/>
            <w:hideMark/>
          </w:tcPr>
          <w:p w14:paraId="69AEEAD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673E41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7012F3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37D8FD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Cingulum_Mid_L</w:t>
            </w:r>
          </w:p>
        </w:tc>
        <w:tc>
          <w:tcPr>
            <w:tcW w:w="1580" w:type="dxa"/>
            <w:tcBorders>
              <w:top w:val="nil"/>
              <w:left w:val="nil"/>
              <w:bottom w:val="nil"/>
              <w:right w:val="nil"/>
            </w:tcBorders>
            <w:shd w:val="clear" w:color="auto" w:fill="auto"/>
            <w:noWrap/>
            <w:vAlign w:val="bottom"/>
            <w:hideMark/>
          </w:tcPr>
          <w:p w14:paraId="63035DA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-6  12  42</w:t>
            </w:r>
          </w:p>
        </w:tc>
        <w:tc>
          <w:tcPr>
            <w:tcW w:w="960" w:type="dxa"/>
            <w:tcBorders>
              <w:top w:val="nil"/>
              <w:left w:val="nil"/>
              <w:bottom w:val="nil"/>
              <w:right w:val="nil"/>
            </w:tcBorders>
            <w:shd w:val="clear" w:color="auto" w:fill="auto"/>
            <w:noWrap/>
            <w:vAlign w:val="bottom"/>
            <w:hideMark/>
          </w:tcPr>
          <w:p w14:paraId="132BCA6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-5.84</w:t>
            </w:r>
          </w:p>
        </w:tc>
        <w:tc>
          <w:tcPr>
            <w:tcW w:w="960" w:type="dxa"/>
            <w:tcBorders>
              <w:top w:val="nil"/>
              <w:left w:val="nil"/>
              <w:bottom w:val="nil"/>
              <w:right w:val="nil"/>
            </w:tcBorders>
            <w:shd w:val="clear" w:color="auto" w:fill="auto"/>
            <w:noWrap/>
            <w:vAlign w:val="bottom"/>
            <w:hideMark/>
          </w:tcPr>
          <w:p w14:paraId="11FF730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0.0026</w:t>
            </w:r>
          </w:p>
        </w:tc>
      </w:tr>
      <w:tr w:rsidR="00FB337C" w:rsidRPr="00E5257C" w14:paraId="32062325" w14:textId="77777777" w:rsidTr="00592BA1">
        <w:trPr>
          <w:trHeight w:val="300"/>
        </w:trPr>
        <w:tc>
          <w:tcPr>
            <w:tcW w:w="1507" w:type="dxa"/>
            <w:tcBorders>
              <w:top w:val="nil"/>
              <w:left w:val="nil"/>
              <w:bottom w:val="nil"/>
              <w:right w:val="nil"/>
            </w:tcBorders>
            <w:shd w:val="clear" w:color="auto" w:fill="auto"/>
            <w:noWrap/>
            <w:vAlign w:val="bottom"/>
            <w:hideMark/>
          </w:tcPr>
          <w:p w14:paraId="0AE31F4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634A6F6"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CF60AF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60FE9F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Frontal_Inf_Oper_L</w:t>
            </w:r>
          </w:p>
        </w:tc>
        <w:tc>
          <w:tcPr>
            <w:tcW w:w="1580" w:type="dxa"/>
            <w:tcBorders>
              <w:top w:val="nil"/>
              <w:left w:val="nil"/>
              <w:bottom w:val="nil"/>
              <w:right w:val="nil"/>
            </w:tcBorders>
            <w:shd w:val="clear" w:color="auto" w:fill="auto"/>
            <w:noWrap/>
            <w:vAlign w:val="bottom"/>
            <w:hideMark/>
          </w:tcPr>
          <w:p w14:paraId="1B8F9E2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-48  12  18</w:t>
            </w:r>
          </w:p>
        </w:tc>
        <w:tc>
          <w:tcPr>
            <w:tcW w:w="960" w:type="dxa"/>
            <w:tcBorders>
              <w:top w:val="nil"/>
              <w:left w:val="nil"/>
              <w:bottom w:val="nil"/>
              <w:right w:val="nil"/>
            </w:tcBorders>
            <w:shd w:val="clear" w:color="auto" w:fill="auto"/>
            <w:noWrap/>
            <w:vAlign w:val="bottom"/>
            <w:hideMark/>
          </w:tcPr>
          <w:p w14:paraId="6FB2BD1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-5.80</w:t>
            </w:r>
          </w:p>
        </w:tc>
        <w:tc>
          <w:tcPr>
            <w:tcW w:w="960" w:type="dxa"/>
            <w:tcBorders>
              <w:top w:val="nil"/>
              <w:left w:val="nil"/>
              <w:bottom w:val="nil"/>
              <w:right w:val="nil"/>
            </w:tcBorders>
            <w:shd w:val="clear" w:color="auto" w:fill="auto"/>
            <w:noWrap/>
            <w:vAlign w:val="bottom"/>
            <w:hideMark/>
          </w:tcPr>
          <w:p w14:paraId="370E13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0.0026</w:t>
            </w:r>
          </w:p>
        </w:tc>
      </w:tr>
      <w:tr w:rsidR="00FB337C" w:rsidRPr="00E5257C" w14:paraId="36223328" w14:textId="77777777" w:rsidTr="00592BA1">
        <w:trPr>
          <w:trHeight w:val="300"/>
        </w:trPr>
        <w:tc>
          <w:tcPr>
            <w:tcW w:w="1507" w:type="dxa"/>
            <w:tcBorders>
              <w:top w:val="nil"/>
              <w:left w:val="nil"/>
              <w:bottom w:val="nil"/>
              <w:right w:val="nil"/>
            </w:tcBorders>
            <w:shd w:val="clear" w:color="auto" w:fill="auto"/>
            <w:noWrap/>
            <w:vAlign w:val="bottom"/>
            <w:hideMark/>
          </w:tcPr>
          <w:p w14:paraId="307F1D8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79DA5A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5E7F18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E2A5C7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Cingulum_Ant_L</w:t>
            </w:r>
          </w:p>
        </w:tc>
        <w:tc>
          <w:tcPr>
            <w:tcW w:w="1580" w:type="dxa"/>
            <w:tcBorders>
              <w:top w:val="nil"/>
              <w:left w:val="nil"/>
              <w:bottom w:val="nil"/>
              <w:right w:val="nil"/>
            </w:tcBorders>
            <w:shd w:val="clear" w:color="auto" w:fill="auto"/>
            <w:noWrap/>
            <w:vAlign w:val="bottom"/>
            <w:hideMark/>
          </w:tcPr>
          <w:p w14:paraId="3A29AAC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-6  18  30</w:t>
            </w:r>
          </w:p>
        </w:tc>
        <w:tc>
          <w:tcPr>
            <w:tcW w:w="960" w:type="dxa"/>
            <w:tcBorders>
              <w:top w:val="nil"/>
              <w:left w:val="nil"/>
              <w:bottom w:val="nil"/>
              <w:right w:val="nil"/>
            </w:tcBorders>
            <w:shd w:val="clear" w:color="auto" w:fill="auto"/>
            <w:noWrap/>
            <w:vAlign w:val="bottom"/>
            <w:hideMark/>
          </w:tcPr>
          <w:p w14:paraId="6B88751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-5.72</w:t>
            </w:r>
          </w:p>
        </w:tc>
        <w:tc>
          <w:tcPr>
            <w:tcW w:w="960" w:type="dxa"/>
            <w:tcBorders>
              <w:top w:val="nil"/>
              <w:left w:val="nil"/>
              <w:bottom w:val="nil"/>
              <w:right w:val="nil"/>
            </w:tcBorders>
            <w:shd w:val="clear" w:color="auto" w:fill="auto"/>
            <w:noWrap/>
            <w:vAlign w:val="bottom"/>
            <w:hideMark/>
          </w:tcPr>
          <w:p w14:paraId="6D000DE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0.0028</w:t>
            </w:r>
          </w:p>
        </w:tc>
      </w:tr>
      <w:tr w:rsidR="00FB337C" w:rsidRPr="00E5257C" w14:paraId="1ACD84E3" w14:textId="77777777" w:rsidTr="00592BA1">
        <w:trPr>
          <w:trHeight w:val="300"/>
        </w:trPr>
        <w:tc>
          <w:tcPr>
            <w:tcW w:w="1507" w:type="dxa"/>
            <w:tcBorders>
              <w:top w:val="nil"/>
              <w:left w:val="nil"/>
              <w:bottom w:val="nil"/>
              <w:right w:val="nil"/>
            </w:tcBorders>
            <w:shd w:val="clear" w:color="auto" w:fill="auto"/>
            <w:noWrap/>
            <w:vAlign w:val="bottom"/>
            <w:hideMark/>
          </w:tcPr>
          <w:p w14:paraId="5911501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83A2B9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AA62FC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483671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Cingulum_Mid_R</w:t>
            </w:r>
          </w:p>
        </w:tc>
        <w:tc>
          <w:tcPr>
            <w:tcW w:w="1580" w:type="dxa"/>
            <w:tcBorders>
              <w:top w:val="nil"/>
              <w:left w:val="nil"/>
              <w:bottom w:val="nil"/>
              <w:right w:val="nil"/>
            </w:tcBorders>
            <w:shd w:val="clear" w:color="auto" w:fill="auto"/>
            <w:noWrap/>
            <w:vAlign w:val="bottom"/>
            <w:hideMark/>
          </w:tcPr>
          <w:p w14:paraId="1016C4F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6  18  42</w:t>
            </w:r>
          </w:p>
        </w:tc>
        <w:tc>
          <w:tcPr>
            <w:tcW w:w="960" w:type="dxa"/>
            <w:tcBorders>
              <w:top w:val="nil"/>
              <w:left w:val="nil"/>
              <w:bottom w:val="nil"/>
              <w:right w:val="nil"/>
            </w:tcBorders>
            <w:shd w:val="clear" w:color="auto" w:fill="auto"/>
            <w:noWrap/>
            <w:vAlign w:val="bottom"/>
            <w:hideMark/>
          </w:tcPr>
          <w:p w14:paraId="548FB30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-5.71</w:t>
            </w:r>
          </w:p>
        </w:tc>
        <w:tc>
          <w:tcPr>
            <w:tcW w:w="960" w:type="dxa"/>
            <w:tcBorders>
              <w:top w:val="nil"/>
              <w:left w:val="nil"/>
              <w:bottom w:val="nil"/>
              <w:right w:val="nil"/>
            </w:tcBorders>
            <w:shd w:val="clear" w:color="auto" w:fill="auto"/>
            <w:noWrap/>
            <w:vAlign w:val="bottom"/>
            <w:hideMark/>
          </w:tcPr>
          <w:p w14:paraId="27D4690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0.0028</w:t>
            </w:r>
          </w:p>
        </w:tc>
      </w:tr>
      <w:tr w:rsidR="00FB337C" w:rsidRPr="00E5257C" w14:paraId="22F315B3" w14:textId="77777777" w:rsidTr="00592BA1">
        <w:trPr>
          <w:trHeight w:val="300"/>
        </w:trPr>
        <w:tc>
          <w:tcPr>
            <w:tcW w:w="1507" w:type="dxa"/>
            <w:tcBorders>
              <w:top w:val="nil"/>
              <w:left w:val="nil"/>
              <w:bottom w:val="nil"/>
              <w:right w:val="nil"/>
            </w:tcBorders>
            <w:shd w:val="clear" w:color="auto" w:fill="auto"/>
            <w:noWrap/>
            <w:vAlign w:val="bottom"/>
            <w:hideMark/>
          </w:tcPr>
          <w:p w14:paraId="596FC86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0685D1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EC7A88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C99EC5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Frontal_Sup_Medial_R</w:t>
            </w:r>
          </w:p>
        </w:tc>
        <w:tc>
          <w:tcPr>
            <w:tcW w:w="1580" w:type="dxa"/>
            <w:tcBorders>
              <w:top w:val="nil"/>
              <w:left w:val="nil"/>
              <w:bottom w:val="nil"/>
              <w:right w:val="nil"/>
            </w:tcBorders>
            <w:shd w:val="clear" w:color="auto" w:fill="auto"/>
            <w:noWrap/>
            <w:vAlign w:val="bottom"/>
            <w:hideMark/>
          </w:tcPr>
          <w:p w14:paraId="780D55A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6  24  42</w:t>
            </w:r>
          </w:p>
        </w:tc>
        <w:tc>
          <w:tcPr>
            <w:tcW w:w="960" w:type="dxa"/>
            <w:tcBorders>
              <w:top w:val="nil"/>
              <w:left w:val="nil"/>
              <w:bottom w:val="nil"/>
              <w:right w:val="nil"/>
            </w:tcBorders>
            <w:shd w:val="clear" w:color="auto" w:fill="auto"/>
            <w:noWrap/>
            <w:vAlign w:val="bottom"/>
            <w:hideMark/>
          </w:tcPr>
          <w:p w14:paraId="329C6F9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-5.69</w:t>
            </w:r>
          </w:p>
        </w:tc>
        <w:tc>
          <w:tcPr>
            <w:tcW w:w="960" w:type="dxa"/>
            <w:tcBorders>
              <w:top w:val="nil"/>
              <w:left w:val="nil"/>
              <w:bottom w:val="nil"/>
              <w:right w:val="nil"/>
            </w:tcBorders>
            <w:shd w:val="clear" w:color="auto" w:fill="auto"/>
            <w:noWrap/>
            <w:vAlign w:val="bottom"/>
            <w:hideMark/>
          </w:tcPr>
          <w:p w14:paraId="3670DDA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0.0028</w:t>
            </w:r>
          </w:p>
        </w:tc>
      </w:tr>
      <w:tr w:rsidR="00FB337C" w:rsidRPr="00E5257C" w14:paraId="490C5160" w14:textId="77777777" w:rsidTr="00592BA1">
        <w:trPr>
          <w:trHeight w:val="300"/>
        </w:trPr>
        <w:tc>
          <w:tcPr>
            <w:tcW w:w="1507" w:type="dxa"/>
            <w:tcBorders>
              <w:top w:val="nil"/>
              <w:left w:val="nil"/>
              <w:bottom w:val="nil"/>
              <w:right w:val="nil"/>
            </w:tcBorders>
            <w:shd w:val="clear" w:color="auto" w:fill="auto"/>
            <w:noWrap/>
            <w:vAlign w:val="bottom"/>
            <w:hideMark/>
          </w:tcPr>
          <w:p w14:paraId="62942DF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9B38669"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73860C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8E4BA8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Supp_Motor_Area_R</w:t>
            </w:r>
          </w:p>
        </w:tc>
        <w:tc>
          <w:tcPr>
            <w:tcW w:w="1580" w:type="dxa"/>
            <w:tcBorders>
              <w:top w:val="nil"/>
              <w:left w:val="nil"/>
              <w:bottom w:val="nil"/>
              <w:right w:val="nil"/>
            </w:tcBorders>
            <w:shd w:val="clear" w:color="auto" w:fill="auto"/>
            <w:noWrap/>
            <w:vAlign w:val="bottom"/>
            <w:hideMark/>
          </w:tcPr>
          <w:p w14:paraId="39D5CFC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6  18  48</w:t>
            </w:r>
          </w:p>
        </w:tc>
        <w:tc>
          <w:tcPr>
            <w:tcW w:w="960" w:type="dxa"/>
            <w:tcBorders>
              <w:top w:val="nil"/>
              <w:left w:val="nil"/>
              <w:bottom w:val="nil"/>
              <w:right w:val="nil"/>
            </w:tcBorders>
            <w:shd w:val="clear" w:color="auto" w:fill="auto"/>
            <w:noWrap/>
            <w:vAlign w:val="bottom"/>
            <w:hideMark/>
          </w:tcPr>
          <w:p w14:paraId="5A8FBD6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-5.64</w:t>
            </w:r>
          </w:p>
        </w:tc>
        <w:tc>
          <w:tcPr>
            <w:tcW w:w="960" w:type="dxa"/>
            <w:tcBorders>
              <w:top w:val="nil"/>
              <w:left w:val="nil"/>
              <w:bottom w:val="nil"/>
              <w:right w:val="nil"/>
            </w:tcBorders>
            <w:shd w:val="clear" w:color="auto" w:fill="auto"/>
            <w:noWrap/>
            <w:vAlign w:val="bottom"/>
            <w:hideMark/>
          </w:tcPr>
          <w:p w14:paraId="5761412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0.0028</w:t>
            </w:r>
          </w:p>
        </w:tc>
      </w:tr>
      <w:tr w:rsidR="00FB337C" w:rsidRPr="00E5257C" w14:paraId="2B6A9B09" w14:textId="77777777" w:rsidTr="00592BA1">
        <w:trPr>
          <w:trHeight w:val="300"/>
        </w:trPr>
        <w:tc>
          <w:tcPr>
            <w:tcW w:w="1507" w:type="dxa"/>
            <w:tcBorders>
              <w:top w:val="nil"/>
              <w:left w:val="nil"/>
              <w:bottom w:val="nil"/>
              <w:right w:val="nil"/>
            </w:tcBorders>
            <w:shd w:val="clear" w:color="auto" w:fill="auto"/>
            <w:noWrap/>
            <w:vAlign w:val="bottom"/>
            <w:hideMark/>
          </w:tcPr>
          <w:p w14:paraId="789AA72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00BE78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3BED8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0B7BDD4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Frontal_Sup_R</w:t>
            </w:r>
          </w:p>
        </w:tc>
        <w:tc>
          <w:tcPr>
            <w:tcW w:w="1580" w:type="dxa"/>
            <w:tcBorders>
              <w:top w:val="nil"/>
              <w:left w:val="nil"/>
              <w:bottom w:val="nil"/>
              <w:right w:val="nil"/>
            </w:tcBorders>
            <w:shd w:val="clear" w:color="auto" w:fill="auto"/>
            <w:noWrap/>
            <w:vAlign w:val="bottom"/>
            <w:hideMark/>
          </w:tcPr>
          <w:p w14:paraId="29E4E38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18  30  60</w:t>
            </w:r>
          </w:p>
        </w:tc>
        <w:tc>
          <w:tcPr>
            <w:tcW w:w="960" w:type="dxa"/>
            <w:tcBorders>
              <w:top w:val="nil"/>
              <w:left w:val="nil"/>
              <w:bottom w:val="nil"/>
              <w:right w:val="nil"/>
            </w:tcBorders>
            <w:shd w:val="clear" w:color="auto" w:fill="auto"/>
            <w:noWrap/>
            <w:vAlign w:val="bottom"/>
            <w:hideMark/>
          </w:tcPr>
          <w:p w14:paraId="4CFA949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-5.63</w:t>
            </w:r>
          </w:p>
        </w:tc>
        <w:tc>
          <w:tcPr>
            <w:tcW w:w="960" w:type="dxa"/>
            <w:tcBorders>
              <w:top w:val="nil"/>
              <w:left w:val="nil"/>
              <w:bottom w:val="nil"/>
              <w:right w:val="nil"/>
            </w:tcBorders>
            <w:shd w:val="clear" w:color="auto" w:fill="auto"/>
            <w:noWrap/>
            <w:vAlign w:val="bottom"/>
            <w:hideMark/>
          </w:tcPr>
          <w:p w14:paraId="4423C5D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0.0030</w:t>
            </w:r>
          </w:p>
        </w:tc>
      </w:tr>
      <w:tr w:rsidR="00FB337C" w:rsidRPr="00E5257C" w14:paraId="71396299" w14:textId="77777777" w:rsidTr="00592BA1">
        <w:trPr>
          <w:trHeight w:val="300"/>
        </w:trPr>
        <w:tc>
          <w:tcPr>
            <w:tcW w:w="1507" w:type="dxa"/>
            <w:tcBorders>
              <w:top w:val="nil"/>
              <w:left w:val="nil"/>
              <w:bottom w:val="nil"/>
              <w:right w:val="nil"/>
            </w:tcBorders>
            <w:shd w:val="clear" w:color="auto" w:fill="auto"/>
            <w:noWrap/>
            <w:vAlign w:val="bottom"/>
            <w:hideMark/>
          </w:tcPr>
          <w:p w14:paraId="33CA636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653B2D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401C9B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3A3331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Frontal_Inf_Tri_L</w:t>
            </w:r>
          </w:p>
        </w:tc>
        <w:tc>
          <w:tcPr>
            <w:tcW w:w="1580" w:type="dxa"/>
            <w:tcBorders>
              <w:top w:val="nil"/>
              <w:left w:val="nil"/>
              <w:bottom w:val="nil"/>
              <w:right w:val="nil"/>
            </w:tcBorders>
            <w:shd w:val="clear" w:color="auto" w:fill="auto"/>
            <w:noWrap/>
            <w:vAlign w:val="bottom"/>
            <w:hideMark/>
          </w:tcPr>
          <w:p w14:paraId="36EBBE2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-48  18  24</w:t>
            </w:r>
          </w:p>
        </w:tc>
        <w:tc>
          <w:tcPr>
            <w:tcW w:w="960" w:type="dxa"/>
            <w:tcBorders>
              <w:top w:val="nil"/>
              <w:left w:val="nil"/>
              <w:bottom w:val="nil"/>
              <w:right w:val="nil"/>
            </w:tcBorders>
            <w:shd w:val="clear" w:color="auto" w:fill="auto"/>
            <w:noWrap/>
            <w:vAlign w:val="bottom"/>
            <w:hideMark/>
          </w:tcPr>
          <w:p w14:paraId="0CEA3B2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-5.62</w:t>
            </w:r>
          </w:p>
        </w:tc>
        <w:tc>
          <w:tcPr>
            <w:tcW w:w="960" w:type="dxa"/>
            <w:tcBorders>
              <w:top w:val="nil"/>
              <w:left w:val="nil"/>
              <w:bottom w:val="nil"/>
              <w:right w:val="nil"/>
            </w:tcBorders>
            <w:shd w:val="clear" w:color="auto" w:fill="auto"/>
            <w:noWrap/>
            <w:vAlign w:val="bottom"/>
            <w:hideMark/>
          </w:tcPr>
          <w:p w14:paraId="10ED0DD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0.0030</w:t>
            </w:r>
          </w:p>
        </w:tc>
      </w:tr>
      <w:tr w:rsidR="00FB337C" w:rsidRPr="00E5257C" w14:paraId="7EC2EDBB" w14:textId="77777777" w:rsidTr="00592BA1">
        <w:trPr>
          <w:trHeight w:val="300"/>
        </w:trPr>
        <w:tc>
          <w:tcPr>
            <w:tcW w:w="1507" w:type="dxa"/>
            <w:tcBorders>
              <w:top w:val="nil"/>
              <w:left w:val="nil"/>
              <w:bottom w:val="nil"/>
              <w:right w:val="nil"/>
            </w:tcBorders>
            <w:shd w:val="clear" w:color="auto" w:fill="auto"/>
            <w:noWrap/>
            <w:vAlign w:val="bottom"/>
            <w:hideMark/>
          </w:tcPr>
          <w:p w14:paraId="418871D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A83C1B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BAC1C7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4CCF2E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Insula_L</w:t>
            </w:r>
          </w:p>
        </w:tc>
        <w:tc>
          <w:tcPr>
            <w:tcW w:w="1580" w:type="dxa"/>
            <w:tcBorders>
              <w:top w:val="nil"/>
              <w:left w:val="nil"/>
              <w:bottom w:val="nil"/>
              <w:right w:val="nil"/>
            </w:tcBorders>
            <w:shd w:val="clear" w:color="auto" w:fill="auto"/>
            <w:noWrap/>
            <w:vAlign w:val="bottom"/>
            <w:hideMark/>
          </w:tcPr>
          <w:p w14:paraId="358F2A1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-36  12  12</w:t>
            </w:r>
          </w:p>
        </w:tc>
        <w:tc>
          <w:tcPr>
            <w:tcW w:w="960" w:type="dxa"/>
            <w:tcBorders>
              <w:top w:val="nil"/>
              <w:left w:val="nil"/>
              <w:bottom w:val="nil"/>
              <w:right w:val="nil"/>
            </w:tcBorders>
            <w:shd w:val="clear" w:color="auto" w:fill="auto"/>
            <w:noWrap/>
            <w:vAlign w:val="bottom"/>
            <w:hideMark/>
          </w:tcPr>
          <w:p w14:paraId="504E613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-5.56</w:t>
            </w:r>
          </w:p>
        </w:tc>
        <w:tc>
          <w:tcPr>
            <w:tcW w:w="960" w:type="dxa"/>
            <w:tcBorders>
              <w:top w:val="nil"/>
              <w:left w:val="nil"/>
              <w:bottom w:val="nil"/>
              <w:right w:val="nil"/>
            </w:tcBorders>
            <w:shd w:val="clear" w:color="auto" w:fill="auto"/>
            <w:noWrap/>
            <w:vAlign w:val="bottom"/>
            <w:hideMark/>
          </w:tcPr>
          <w:p w14:paraId="69F5336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0.0030</w:t>
            </w:r>
          </w:p>
        </w:tc>
      </w:tr>
      <w:tr w:rsidR="00FB337C" w:rsidRPr="00E5257C" w14:paraId="292C77A9" w14:textId="77777777" w:rsidTr="00592BA1">
        <w:trPr>
          <w:trHeight w:val="300"/>
        </w:trPr>
        <w:tc>
          <w:tcPr>
            <w:tcW w:w="1507" w:type="dxa"/>
            <w:tcBorders>
              <w:top w:val="nil"/>
              <w:left w:val="nil"/>
              <w:bottom w:val="nil"/>
              <w:right w:val="nil"/>
            </w:tcBorders>
            <w:shd w:val="clear" w:color="auto" w:fill="auto"/>
            <w:noWrap/>
            <w:vAlign w:val="bottom"/>
            <w:hideMark/>
          </w:tcPr>
          <w:p w14:paraId="172718E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1F3BE1F"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ED1816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65F2E75"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Cingulum_Ant_R</w:t>
            </w:r>
            <w:proofErr w:type="spellEnd"/>
          </w:p>
        </w:tc>
        <w:tc>
          <w:tcPr>
            <w:tcW w:w="1580" w:type="dxa"/>
            <w:tcBorders>
              <w:top w:val="nil"/>
              <w:left w:val="nil"/>
              <w:bottom w:val="nil"/>
              <w:right w:val="nil"/>
            </w:tcBorders>
            <w:shd w:val="clear" w:color="auto" w:fill="auto"/>
            <w:noWrap/>
            <w:vAlign w:val="bottom"/>
            <w:hideMark/>
          </w:tcPr>
          <w:p w14:paraId="5C85FBA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6  18  24</w:t>
            </w:r>
          </w:p>
        </w:tc>
        <w:tc>
          <w:tcPr>
            <w:tcW w:w="960" w:type="dxa"/>
            <w:tcBorders>
              <w:top w:val="nil"/>
              <w:left w:val="nil"/>
              <w:bottom w:val="nil"/>
              <w:right w:val="nil"/>
            </w:tcBorders>
            <w:shd w:val="clear" w:color="auto" w:fill="auto"/>
            <w:noWrap/>
            <w:vAlign w:val="bottom"/>
            <w:hideMark/>
          </w:tcPr>
          <w:p w14:paraId="1B13CB2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-5.27</w:t>
            </w:r>
          </w:p>
        </w:tc>
        <w:tc>
          <w:tcPr>
            <w:tcW w:w="960" w:type="dxa"/>
            <w:tcBorders>
              <w:top w:val="nil"/>
              <w:left w:val="nil"/>
              <w:bottom w:val="nil"/>
              <w:right w:val="nil"/>
            </w:tcBorders>
            <w:shd w:val="clear" w:color="auto" w:fill="auto"/>
            <w:noWrap/>
            <w:vAlign w:val="bottom"/>
            <w:hideMark/>
          </w:tcPr>
          <w:p w14:paraId="616635D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0.0056</w:t>
            </w:r>
          </w:p>
        </w:tc>
      </w:tr>
      <w:tr w:rsidR="00FB337C" w:rsidRPr="00E5257C" w14:paraId="7EDBD76C" w14:textId="77777777" w:rsidTr="00592BA1">
        <w:trPr>
          <w:trHeight w:val="300"/>
        </w:trPr>
        <w:tc>
          <w:tcPr>
            <w:tcW w:w="1507" w:type="dxa"/>
            <w:tcBorders>
              <w:top w:val="nil"/>
              <w:left w:val="nil"/>
              <w:bottom w:val="nil"/>
              <w:right w:val="nil"/>
            </w:tcBorders>
            <w:shd w:val="clear" w:color="auto" w:fill="auto"/>
            <w:noWrap/>
            <w:vAlign w:val="bottom"/>
            <w:hideMark/>
          </w:tcPr>
          <w:p w14:paraId="29F7603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233054F"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A5F6DA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9FF9F1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Caudate_L</w:t>
            </w:r>
          </w:p>
        </w:tc>
        <w:tc>
          <w:tcPr>
            <w:tcW w:w="1580" w:type="dxa"/>
            <w:tcBorders>
              <w:top w:val="nil"/>
              <w:left w:val="nil"/>
              <w:bottom w:val="nil"/>
              <w:right w:val="nil"/>
            </w:tcBorders>
            <w:shd w:val="clear" w:color="auto" w:fill="auto"/>
            <w:noWrap/>
            <w:vAlign w:val="bottom"/>
            <w:hideMark/>
          </w:tcPr>
          <w:p w14:paraId="6E86873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-18   6  24</w:t>
            </w:r>
          </w:p>
        </w:tc>
        <w:tc>
          <w:tcPr>
            <w:tcW w:w="960" w:type="dxa"/>
            <w:tcBorders>
              <w:top w:val="nil"/>
              <w:left w:val="nil"/>
              <w:bottom w:val="nil"/>
              <w:right w:val="nil"/>
            </w:tcBorders>
            <w:shd w:val="clear" w:color="auto" w:fill="auto"/>
            <w:noWrap/>
            <w:vAlign w:val="bottom"/>
            <w:hideMark/>
          </w:tcPr>
          <w:p w14:paraId="39FD8D9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-5.21</w:t>
            </w:r>
          </w:p>
        </w:tc>
        <w:tc>
          <w:tcPr>
            <w:tcW w:w="960" w:type="dxa"/>
            <w:tcBorders>
              <w:top w:val="nil"/>
              <w:left w:val="nil"/>
              <w:bottom w:val="nil"/>
              <w:right w:val="nil"/>
            </w:tcBorders>
            <w:shd w:val="clear" w:color="auto" w:fill="auto"/>
            <w:noWrap/>
            <w:vAlign w:val="bottom"/>
            <w:hideMark/>
          </w:tcPr>
          <w:p w14:paraId="4F2CA5A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0.0058</w:t>
            </w:r>
          </w:p>
        </w:tc>
      </w:tr>
      <w:tr w:rsidR="00FB337C" w:rsidRPr="00E5257C" w14:paraId="4303C13C" w14:textId="77777777" w:rsidTr="00592BA1">
        <w:trPr>
          <w:trHeight w:val="300"/>
        </w:trPr>
        <w:tc>
          <w:tcPr>
            <w:tcW w:w="1507" w:type="dxa"/>
            <w:tcBorders>
              <w:top w:val="nil"/>
              <w:left w:val="nil"/>
              <w:bottom w:val="nil"/>
              <w:right w:val="nil"/>
            </w:tcBorders>
            <w:shd w:val="clear" w:color="auto" w:fill="auto"/>
            <w:noWrap/>
            <w:vAlign w:val="bottom"/>
            <w:hideMark/>
          </w:tcPr>
          <w:p w14:paraId="52E44FA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BD1B36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6DB830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E3E87D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Rolandic_Oper_L</w:t>
            </w:r>
          </w:p>
        </w:tc>
        <w:tc>
          <w:tcPr>
            <w:tcW w:w="1580" w:type="dxa"/>
            <w:tcBorders>
              <w:top w:val="nil"/>
              <w:left w:val="nil"/>
              <w:bottom w:val="nil"/>
              <w:right w:val="nil"/>
            </w:tcBorders>
            <w:shd w:val="clear" w:color="auto" w:fill="auto"/>
            <w:noWrap/>
            <w:vAlign w:val="bottom"/>
            <w:hideMark/>
          </w:tcPr>
          <w:p w14:paraId="7FEF582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-42   0  18</w:t>
            </w:r>
          </w:p>
        </w:tc>
        <w:tc>
          <w:tcPr>
            <w:tcW w:w="960" w:type="dxa"/>
            <w:tcBorders>
              <w:top w:val="nil"/>
              <w:left w:val="nil"/>
              <w:bottom w:val="nil"/>
              <w:right w:val="nil"/>
            </w:tcBorders>
            <w:shd w:val="clear" w:color="auto" w:fill="auto"/>
            <w:noWrap/>
            <w:vAlign w:val="bottom"/>
            <w:hideMark/>
          </w:tcPr>
          <w:p w14:paraId="1C16418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-5.18</w:t>
            </w:r>
          </w:p>
        </w:tc>
        <w:tc>
          <w:tcPr>
            <w:tcW w:w="960" w:type="dxa"/>
            <w:tcBorders>
              <w:top w:val="nil"/>
              <w:left w:val="nil"/>
              <w:bottom w:val="nil"/>
              <w:right w:val="nil"/>
            </w:tcBorders>
            <w:shd w:val="clear" w:color="auto" w:fill="auto"/>
            <w:noWrap/>
            <w:vAlign w:val="bottom"/>
            <w:hideMark/>
          </w:tcPr>
          <w:p w14:paraId="1CDC1AF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0.0058</w:t>
            </w:r>
          </w:p>
        </w:tc>
      </w:tr>
      <w:tr w:rsidR="00FB337C" w:rsidRPr="00E5257C" w14:paraId="076500D6" w14:textId="77777777" w:rsidTr="00592BA1">
        <w:trPr>
          <w:trHeight w:val="300"/>
        </w:trPr>
        <w:tc>
          <w:tcPr>
            <w:tcW w:w="1507" w:type="dxa"/>
            <w:tcBorders>
              <w:top w:val="nil"/>
              <w:left w:val="nil"/>
              <w:bottom w:val="nil"/>
              <w:right w:val="nil"/>
            </w:tcBorders>
            <w:shd w:val="clear" w:color="auto" w:fill="auto"/>
            <w:noWrap/>
            <w:vAlign w:val="bottom"/>
            <w:hideMark/>
          </w:tcPr>
          <w:p w14:paraId="0219018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45C4CA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3F51D0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D6854A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Frontal_Inf_Orb_L</w:t>
            </w:r>
          </w:p>
        </w:tc>
        <w:tc>
          <w:tcPr>
            <w:tcW w:w="1580" w:type="dxa"/>
            <w:tcBorders>
              <w:top w:val="nil"/>
              <w:left w:val="nil"/>
              <w:bottom w:val="nil"/>
              <w:right w:val="nil"/>
            </w:tcBorders>
            <w:shd w:val="clear" w:color="auto" w:fill="auto"/>
            <w:noWrap/>
            <w:vAlign w:val="bottom"/>
            <w:hideMark/>
          </w:tcPr>
          <w:p w14:paraId="0684C88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24  -6</w:t>
            </w:r>
          </w:p>
        </w:tc>
        <w:tc>
          <w:tcPr>
            <w:tcW w:w="960" w:type="dxa"/>
            <w:tcBorders>
              <w:top w:val="nil"/>
              <w:left w:val="nil"/>
              <w:bottom w:val="nil"/>
              <w:right w:val="nil"/>
            </w:tcBorders>
            <w:shd w:val="clear" w:color="auto" w:fill="auto"/>
            <w:noWrap/>
            <w:vAlign w:val="bottom"/>
            <w:hideMark/>
          </w:tcPr>
          <w:p w14:paraId="2F0E144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-5.14</w:t>
            </w:r>
          </w:p>
        </w:tc>
        <w:tc>
          <w:tcPr>
            <w:tcW w:w="960" w:type="dxa"/>
            <w:tcBorders>
              <w:top w:val="nil"/>
              <w:left w:val="nil"/>
              <w:bottom w:val="nil"/>
              <w:right w:val="nil"/>
            </w:tcBorders>
            <w:shd w:val="clear" w:color="auto" w:fill="auto"/>
            <w:noWrap/>
            <w:vAlign w:val="bottom"/>
            <w:hideMark/>
          </w:tcPr>
          <w:p w14:paraId="4A2BA4F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0.0058</w:t>
            </w:r>
          </w:p>
        </w:tc>
      </w:tr>
      <w:tr w:rsidR="00FB337C" w:rsidRPr="00E5257C" w14:paraId="73A28E90" w14:textId="77777777" w:rsidTr="00592BA1">
        <w:trPr>
          <w:trHeight w:val="300"/>
        </w:trPr>
        <w:tc>
          <w:tcPr>
            <w:tcW w:w="1507" w:type="dxa"/>
            <w:tcBorders>
              <w:top w:val="nil"/>
              <w:left w:val="nil"/>
              <w:bottom w:val="nil"/>
              <w:right w:val="nil"/>
            </w:tcBorders>
            <w:shd w:val="clear" w:color="auto" w:fill="auto"/>
            <w:noWrap/>
            <w:vAlign w:val="bottom"/>
            <w:hideMark/>
          </w:tcPr>
          <w:p w14:paraId="48DDC87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F5F617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92A872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F8F4E6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Paracentral_Lobule_L</w:t>
            </w:r>
          </w:p>
        </w:tc>
        <w:tc>
          <w:tcPr>
            <w:tcW w:w="1580" w:type="dxa"/>
            <w:tcBorders>
              <w:top w:val="nil"/>
              <w:left w:val="nil"/>
              <w:bottom w:val="nil"/>
              <w:right w:val="nil"/>
            </w:tcBorders>
            <w:shd w:val="clear" w:color="auto" w:fill="auto"/>
            <w:noWrap/>
            <w:vAlign w:val="bottom"/>
            <w:hideMark/>
          </w:tcPr>
          <w:p w14:paraId="77C0064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-18 -12  66</w:t>
            </w:r>
          </w:p>
        </w:tc>
        <w:tc>
          <w:tcPr>
            <w:tcW w:w="960" w:type="dxa"/>
            <w:tcBorders>
              <w:top w:val="nil"/>
              <w:left w:val="nil"/>
              <w:bottom w:val="nil"/>
              <w:right w:val="nil"/>
            </w:tcBorders>
            <w:shd w:val="clear" w:color="auto" w:fill="auto"/>
            <w:noWrap/>
            <w:vAlign w:val="bottom"/>
            <w:hideMark/>
          </w:tcPr>
          <w:p w14:paraId="1CBDE6D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-5.00</w:t>
            </w:r>
          </w:p>
        </w:tc>
        <w:tc>
          <w:tcPr>
            <w:tcW w:w="960" w:type="dxa"/>
            <w:tcBorders>
              <w:top w:val="nil"/>
              <w:left w:val="nil"/>
              <w:bottom w:val="nil"/>
              <w:right w:val="nil"/>
            </w:tcBorders>
            <w:shd w:val="clear" w:color="auto" w:fill="auto"/>
            <w:noWrap/>
            <w:vAlign w:val="bottom"/>
            <w:hideMark/>
          </w:tcPr>
          <w:p w14:paraId="3C4D116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0.0066</w:t>
            </w:r>
          </w:p>
        </w:tc>
      </w:tr>
      <w:tr w:rsidR="00FB337C" w:rsidRPr="00E5257C" w14:paraId="013AFDF8" w14:textId="77777777" w:rsidTr="00592BA1">
        <w:trPr>
          <w:trHeight w:val="300"/>
        </w:trPr>
        <w:tc>
          <w:tcPr>
            <w:tcW w:w="1507" w:type="dxa"/>
            <w:tcBorders>
              <w:top w:val="nil"/>
              <w:left w:val="nil"/>
              <w:bottom w:val="nil"/>
              <w:right w:val="nil"/>
            </w:tcBorders>
            <w:shd w:val="clear" w:color="auto" w:fill="auto"/>
            <w:noWrap/>
            <w:vAlign w:val="bottom"/>
            <w:hideMark/>
          </w:tcPr>
          <w:p w14:paraId="3E440FD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42089B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F51014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1AC11E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Putamen_L</w:t>
            </w:r>
          </w:p>
        </w:tc>
        <w:tc>
          <w:tcPr>
            <w:tcW w:w="1580" w:type="dxa"/>
            <w:tcBorders>
              <w:top w:val="nil"/>
              <w:left w:val="nil"/>
              <w:bottom w:val="nil"/>
              <w:right w:val="nil"/>
            </w:tcBorders>
            <w:shd w:val="clear" w:color="auto" w:fill="auto"/>
            <w:noWrap/>
            <w:vAlign w:val="bottom"/>
            <w:hideMark/>
          </w:tcPr>
          <w:p w14:paraId="2136F16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-24  12  12</w:t>
            </w:r>
          </w:p>
        </w:tc>
        <w:tc>
          <w:tcPr>
            <w:tcW w:w="960" w:type="dxa"/>
            <w:tcBorders>
              <w:top w:val="nil"/>
              <w:left w:val="nil"/>
              <w:bottom w:val="nil"/>
              <w:right w:val="nil"/>
            </w:tcBorders>
            <w:shd w:val="clear" w:color="auto" w:fill="auto"/>
            <w:noWrap/>
            <w:vAlign w:val="bottom"/>
            <w:hideMark/>
          </w:tcPr>
          <w:p w14:paraId="53D6EDC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-4.96</w:t>
            </w:r>
          </w:p>
        </w:tc>
        <w:tc>
          <w:tcPr>
            <w:tcW w:w="960" w:type="dxa"/>
            <w:tcBorders>
              <w:top w:val="nil"/>
              <w:left w:val="nil"/>
              <w:bottom w:val="nil"/>
              <w:right w:val="nil"/>
            </w:tcBorders>
            <w:shd w:val="clear" w:color="auto" w:fill="auto"/>
            <w:noWrap/>
            <w:vAlign w:val="bottom"/>
            <w:hideMark/>
          </w:tcPr>
          <w:p w14:paraId="776BE4F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0.0072</w:t>
            </w:r>
          </w:p>
        </w:tc>
      </w:tr>
      <w:tr w:rsidR="00FB337C" w:rsidRPr="00E5257C" w14:paraId="39944E88" w14:textId="77777777" w:rsidTr="00592BA1">
        <w:trPr>
          <w:trHeight w:val="300"/>
        </w:trPr>
        <w:tc>
          <w:tcPr>
            <w:tcW w:w="1507" w:type="dxa"/>
            <w:tcBorders>
              <w:top w:val="nil"/>
              <w:left w:val="nil"/>
              <w:bottom w:val="nil"/>
              <w:right w:val="nil"/>
            </w:tcBorders>
            <w:shd w:val="clear" w:color="auto" w:fill="auto"/>
            <w:noWrap/>
            <w:vAlign w:val="bottom"/>
            <w:hideMark/>
          </w:tcPr>
          <w:p w14:paraId="4F2DD5D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C72065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D69ACA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A11E20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Temporal_Pole_Mid_R</w:t>
            </w:r>
          </w:p>
        </w:tc>
        <w:tc>
          <w:tcPr>
            <w:tcW w:w="1580" w:type="dxa"/>
            <w:tcBorders>
              <w:top w:val="nil"/>
              <w:left w:val="nil"/>
              <w:bottom w:val="nil"/>
              <w:right w:val="nil"/>
            </w:tcBorders>
            <w:shd w:val="clear" w:color="auto" w:fill="auto"/>
            <w:noWrap/>
            <w:vAlign w:val="bottom"/>
            <w:hideMark/>
          </w:tcPr>
          <w:p w14:paraId="2B19127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18 -36</w:t>
            </w:r>
          </w:p>
        </w:tc>
        <w:tc>
          <w:tcPr>
            <w:tcW w:w="960" w:type="dxa"/>
            <w:tcBorders>
              <w:top w:val="nil"/>
              <w:left w:val="nil"/>
              <w:bottom w:val="nil"/>
              <w:right w:val="nil"/>
            </w:tcBorders>
            <w:shd w:val="clear" w:color="auto" w:fill="auto"/>
            <w:noWrap/>
            <w:vAlign w:val="bottom"/>
            <w:hideMark/>
          </w:tcPr>
          <w:p w14:paraId="7BE5421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-4.96</w:t>
            </w:r>
          </w:p>
        </w:tc>
        <w:tc>
          <w:tcPr>
            <w:tcW w:w="960" w:type="dxa"/>
            <w:tcBorders>
              <w:top w:val="nil"/>
              <w:left w:val="nil"/>
              <w:bottom w:val="nil"/>
              <w:right w:val="nil"/>
            </w:tcBorders>
            <w:shd w:val="clear" w:color="auto" w:fill="auto"/>
            <w:noWrap/>
            <w:vAlign w:val="bottom"/>
            <w:hideMark/>
          </w:tcPr>
          <w:p w14:paraId="2525E37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0.0072</w:t>
            </w:r>
          </w:p>
        </w:tc>
      </w:tr>
      <w:tr w:rsidR="00FB337C" w:rsidRPr="00E5257C" w14:paraId="728CA092" w14:textId="77777777" w:rsidTr="00592BA1">
        <w:trPr>
          <w:trHeight w:val="300"/>
        </w:trPr>
        <w:tc>
          <w:tcPr>
            <w:tcW w:w="1507" w:type="dxa"/>
            <w:tcBorders>
              <w:top w:val="nil"/>
              <w:left w:val="nil"/>
              <w:bottom w:val="nil"/>
              <w:right w:val="nil"/>
            </w:tcBorders>
            <w:shd w:val="clear" w:color="auto" w:fill="auto"/>
            <w:noWrap/>
            <w:vAlign w:val="bottom"/>
            <w:hideMark/>
          </w:tcPr>
          <w:p w14:paraId="09958C6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93717F7"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19F377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41EECA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Frontal_Inf_Oper_R</w:t>
            </w:r>
          </w:p>
        </w:tc>
        <w:tc>
          <w:tcPr>
            <w:tcW w:w="1580" w:type="dxa"/>
            <w:tcBorders>
              <w:top w:val="nil"/>
              <w:left w:val="nil"/>
              <w:bottom w:val="nil"/>
              <w:right w:val="nil"/>
            </w:tcBorders>
            <w:shd w:val="clear" w:color="auto" w:fill="auto"/>
            <w:noWrap/>
            <w:vAlign w:val="bottom"/>
            <w:hideMark/>
          </w:tcPr>
          <w:p w14:paraId="21698D2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30  12  30</w:t>
            </w:r>
          </w:p>
        </w:tc>
        <w:tc>
          <w:tcPr>
            <w:tcW w:w="960" w:type="dxa"/>
            <w:tcBorders>
              <w:top w:val="nil"/>
              <w:left w:val="nil"/>
              <w:bottom w:val="nil"/>
              <w:right w:val="nil"/>
            </w:tcBorders>
            <w:shd w:val="clear" w:color="auto" w:fill="auto"/>
            <w:noWrap/>
            <w:vAlign w:val="bottom"/>
            <w:hideMark/>
          </w:tcPr>
          <w:p w14:paraId="6958B3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-4.95</w:t>
            </w:r>
          </w:p>
        </w:tc>
        <w:tc>
          <w:tcPr>
            <w:tcW w:w="960" w:type="dxa"/>
            <w:tcBorders>
              <w:top w:val="nil"/>
              <w:left w:val="nil"/>
              <w:bottom w:val="nil"/>
              <w:right w:val="nil"/>
            </w:tcBorders>
            <w:shd w:val="clear" w:color="auto" w:fill="auto"/>
            <w:noWrap/>
            <w:vAlign w:val="bottom"/>
            <w:hideMark/>
          </w:tcPr>
          <w:p w14:paraId="0AE79D5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0.0072</w:t>
            </w:r>
          </w:p>
        </w:tc>
      </w:tr>
      <w:tr w:rsidR="00FB337C" w:rsidRPr="00E5257C" w14:paraId="4B2692B5" w14:textId="77777777" w:rsidTr="00592BA1">
        <w:trPr>
          <w:trHeight w:val="300"/>
        </w:trPr>
        <w:tc>
          <w:tcPr>
            <w:tcW w:w="1507" w:type="dxa"/>
            <w:tcBorders>
              <w:top w:val="nil"/>
              <w:left w:val="nil"/>
              <w:bottom w:val="nil"/>
              <w:right w:val="nil"/>
            </w:tcBorders>
            <w:shd w:val="clear" w:color="auto" w:fill="auto"/>
            <w:noWrap/>
            <w:vAlign w:val="bottom"/>
            <w:hideMark/>
          </w:tcPr>
          <w:p w14:paraId="17F8EC3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389BDB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63ED10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02E57C9E"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Temporal_Pole_Sup_R</w:t>
            </w:r>
            <w:proofErr w:type="spellEnd"/>
          </w:p>
        </w:tc>
        <w:tc>
          <w:tcPr>
            <w:tcW w:w="1580" w:type="dxa"/>
            <w:tcBorders>
              <w:top w:val="nil"/>
              <w:left w:val="nil"/>
              <w:bottom w:val="nil"/>
              <w:right w:val="nil"/>
            </w:tcBorders>
            <w:shd w:val="clear" w:color="auto" w:fill="auto"/>
            <w:noWrap/>
            <w:vAlign w:val="bottom"/>
            <w:hideMark/>
          </w:tcPr>
          <w:p w14:paraId="38EA7E0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18 -30</w:t>
            </w:r>
          </w:p>
        </w:tc>
        <w:tc>
          <w:tcPr>
            <w:tcW w:w="960" w:type="dxa"/>
            <w:tcBorders>
              <w:top w:val="nil"/>
              <w:left w:val="nil"/>
              <w:bottom w:val="nil"/>
              <w:right w:val="nil"/>
            </w:tcBorders>
            <w:shd w:val="clear" w:color="auto" w:fill="auto"/>
            <w:noWrap/>
            <w:vAlign w:val="bottom"/>
            <w:hideMark/>
          </w:tcPr>
          <w:p w14:paraId="16F1E17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-4.89</w:t>
            </w:r>
          </w:p>
        </w:tc>
        <w:tc>
          <w:tcPr>
            <w:tcW w:w="960" w:type="dxa"/>
            <w:tcBorders>
              <w:top w:val="nil"/>
              <w:left w:val="nil"/>
              <w:bottom w:val="nil"/>
              <w:right w:val="nil"/>
            </w:tcBorders>
            <w:shd w:val="clear" w:color="auto" w:fill="auto"/>
            <w:noWrap/>
            <w:vAlign w:val="bottom"/>
            <w:hideMark/>
          </w:tcPr>
          <w:p w14:paraId="586238B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0.0080</w:t>
            </w:r>
          </w:p>
        </w:tc>
      </w:tr>
      <w:tr w:rsidR="00FB337C" w:rsidRPr="00E5257C" w14:paraId="7F2C6367" w14:textId="77777777" w:rsidTr="00592BA1">
        <w:trPr>
          <w:trHeight w:val="300"/>
        </w:trPr>
        <w:tc>
          <w:tcPr>
            <w:tcW w:w="1507" w:type="dxa"/>
            <w:tcBorders>
              <w:top w:val="nil"/>
              <w:left w:val="nil"/>
              <w:bottom w:val="nil"/>
              <w:right w:val="nil"/>
            </w:tcBorders>
            <w:shd w:val="clear" w:color="auto" w:fill="auto"/>
            <w:noWrap/>
            <w:vAlign w:val="bottom"/>
            <w:hideMark/>
          </w:tcPr>
          <w:p w14:paraId="21D6F58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E95483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FFFD3C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46C277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Postcentral_L</w:t>
            </w:r>
          </w:p>
        </w:tc>
        <w:tc>
          <w:tcPr>
            <w:tcW w:w="1580" w:type="dxa"/>
            <w:tcBorders>
              <w:top w:val="nil"/>
              <w:left w:val="nil"/>
              <w:bottom w:val="nil"/>
              <w:right w:val="nil"/>
            </w:tcBorders>
            <w:shd w:val="clear" w:color="auto" w:fill="auto"/>
            <w:noWrap/>
            <w:vAlign w:val="bottom"/>
            <w:hideMark/>
          </w:tcPr>
          <w:p w14:paraId="64323C6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  -6  30</w:t>
            </w:r>
          </w:p>
        </w:tc>
        <w:tc>
          <w:tcPr>
            <w:tcW w:w="960" w:type="dxa"/>
            <w:tcBorders>
              <w:top w:val="nil"/>
              <w:left w:val="nil"/>
              <w:bottom w:val="nil"/>
              <w:right w:val="nil"/>
            </w:tcBorders>
            <w:shd w:val="clear" w:color="auto" w:fill="auto"/>
            <w:noWrap/>
            <w:vAlign w:val="bottom"/>
            <w:hideMark/>
          </w:tcPr>
          <w:p w14:paraId="7644C64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-4.88</w:t>
            </w:r>
          </w:p>
        </w:tc>
        <w:tc>
          <w:tcPr>
            <w:tcW w:w="960" w:type="dxa"/>
            <w:tcBorders>
              <w:top w:val="nil"/>
              <w:left w:val="nil"/>
              <w:bottom w:val="nil"/>
              <w:right w:val="nil"/>
            </w:tcBorders>
            <w:shd w:val="clear" w:color="auto" w:fill="auto"/>
            <w:noWrap/>
            <w:vAlign w:val="bottom"/>
            <w:hideMark/>
          </w:tcPr>
          <w:p w14:paraId="4778C50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0.0082</w:t>
            </w:r>
          </w:p>
        </w:tc>
      </w:tr>
      <w:tr w:rsidR="00FB337C" w:rsidRPr="00E5257C" w14:paraId="3B41205E" w14:textId="77777777" w:rsidTr="00592BA1">
        <w:trPr>
          <w:trHeight w:val="300"/>
        </w:trPr>
        <w:tc>
          <w:tcPr>
            <w:tcW w:w="1507" w:type="dxa"/>
            <w:tcBorders>
              <w:top w:val="nil"/>
              <w:left w:val="nil"/>
              <w:bottom w:val="nil"/>
              <w:right w:val="nil"/>
            </w:tcBorders>
            <w:shd w:val="clear" w:color="auto" w:fill="auto"/>
            <w:noWrap/>
            <w:vAlign w:val="bottom"/>
            <w:hideMark/>
          </w:tcPr>
          <w:p w14:paraId="64EE64E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8A19669"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A13FF3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C33400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Caudate_R</w:t>
            </w:r>
          </w:p>
        </w:tc>
        <w:tc>
          <w:tcPr>
            <w:tcW w:w="1580" w:type="dxa"/>
            <w:tcBorders>
              <w:top w:val="nil"/>
              <w:left w:val="nil"/>
              <w:bottom w:val="nil"/>
              <w:right w:val="nil"/>
            </w:tcBorders>
            <w:shd w:val="clear" w:color="auto" w:fill="auto"/>
            <w:noWrap/>
            <w:vAlign w:val="bottom"/>
            <w:hideMark/>
          </w:tcPr>
          <w:p w14:paraId="652CB60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18   6  24</w:t>
            </w:r>
          </w:p>
        </w:tc>
        <w:tc>
          <w:tcPr>
            <w:tcW w:w="960" w:type="dxa"/>
            <w:tcBorders>
              <w:top w:val="nil"/>
              <w:left w:val="nil"/>
              <w:bottom w:val="nil"/>
              <w:right w:val="nil"/>
            </w:tcBorders>
            <w:shd w:val="clear" w:color="auto" w:fill="auto"/>
            <w:noWrap/>
            <w:vAlign w:val="bottom"/>
            <w:hideMark/>
          </w:tcPr>
          <w:p w14:paraId="7F4FB75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-4.88</w:t>
            </w:r>
          </w:p>
        </w:tc>
        <w:tc>
          <w:tcPr>
            <w:tcW w:w="960" w:type="dxa"/>
            <w:tcBorders>
              <w:top w:val="nil"/>
              <w:left w:val="nil"/>
              <w:bottom w:val="nil"/>
              <w:right w:val="nil"/>
            </w:tcBorders>
            <w:shd w:val="clear" w:color="auto" w:fill="auto"/>
            <w:noWrap/>
            <w:vAlign w:val="bottom"/>
            <w:hideMark/>
          </w:tcPr>
          <w:p w14:paraId="3039FA3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0.0080</w:t>
            </w:r>
          </w:p>
        </w:tc>
      </w:tr>
      <w:tr w:rsidR="00FB337C" w:rsidRPr="00E5257C" w14:paraId="77567E50" w14:textId="77777777" w:rsidTr="00592BA1">
        <w:trPr>
          <w:trHeight w:val="300"/>
        </w:trPr>
        <w:tc>
          <w:tcPr>
            <w:tcW w:w="1507" w:type="dxa"/>
            <w:tcBorders>
              <w:top w:val="nil"/>
              <w:left w:val="nil"/>
              <w:bottom w:val="nil"/>
              <w:right w:val="nil"/>
            </w:tcBorders>
            <w:shd w:val="clear" w:color="auto" w:fill="auto"/>
            <w:noWrap/>
            <w:vAlign w:val="bottom"/>
            <w:hideMark/>
          </w:tcPr>
          <w:p w14:paraId="4C8390D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E574D28"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637F05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B0B25C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Postcentral_R</w:t>
            </w:r>
          </w:p>
        </w:tc>
        <w:tc>
          <w:tcPr>
            <w:tcW w:w="1580" w:type="dxa"/>
            <w:tcBorders>
              <w:top w:val="nil"/>
              <w:left w:val="nil"/>
              <w:bottom w:val="nil"/>
              <w:right w:val="nil"/>
            </w:tcBorders>
            <w:shd w:val="clear" w:color="auto" w:fill="auto"/>
            <w:noWrap/>
            <w:vAlign w:val="bottom"/>
            <w:hideMark/>
          </w:tcPr>
          <w:p w14:paraId="05B4E85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-6  30</w:t>
            </w:r>
          </w:p>
        </w:tc>
        <w:tc>
          <w:tcPr>
            <w:tcW w:w="960" w:type="dxa"/>
            <w:tcBorders>
              <w:top w:val="nil"/>
              <w:left w:val="nil"/>
              <w:bottom w:val="nil"/>
              <w:right w:val="nil"/>
            </w:tcBorders>
            <w:shd w:val="clear" w:color="auto" w:fill="auto"/>
            <w:noWrap/>
            <w:vAlign w:val="bottom"/>
            <w:hideMark/>
          </w:tcPr>
          <w:p w14:paraId="0840EE3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-4.83</w:t>
            </w:r>
          </w:p>
        </w:tc>
        <w:tc>
          <w:tcPr>
            <w:tcW w:w="960" w:type="dxa"/>
            <w:tcBorders>
              <w:top w:val="nil"/>
              <w:left w:val="nil"/>
              <w:bottom w:val="nil"/>
              <w:right w:val="nil"/>
            </w:tcBorders>
            <w:shd w:val="clear" w:color="auto" w:fill="auto"/>
            <w:noWrap/>
            <w:vAlign w:val="bottom"/>
            <w:hideMark/>
          </w:tcPr>
          <w:p w14:paraId="3DFEE9A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0.0084</w:t>
            </w:r>
          </w:p>
        </w:tc>
      </w:tr>
      <w:tr w:rsidR="00FB337C" w:rsidRPr="00E5257C" w14:paraId="779FD5F9" w14:textId="77777777" w:rsidTr="00592BA1">
        <w:trPr>
          <w:trHeight w:val="300"/>
        </w:trPr>
        <w:tc>
          <w:tcPr>
            <w:tcW w:w="1507" w:type="dxa"/>
            <w:tcBorders>
              <w:top w:val="nil"/>
              <w:left w:val="nil"/>
              <w:bottom w:val="nil"/>
              <w:right w:val="nil"/>
            </w:tcBorders>
            <w:shd w:val="clear" w:color="auto" w:fill="auto"/>
            <w:noWrap/>
            <w:vAlign w:val="bottom"/>
            <w:hideMark/>
          </w:tcPr>
          <w:p w14:paraId="4C38AA5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4EAA497"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8B9136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F2AAC3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Temporal_Pole_Sup_L</w:t>
            </w:r>
          </w:p>
        </w:tc>
        <w:tc>
          <w:tcPr>
            <w:tcW w:w="1580" w:type="dxa"/>
            <w:tcBorders>
              <w:top w:val="nil"/>
              <w:left w:val="nil"/>
              <w:bottom w:val="nil"/>
              <w:right w:val="nil"/>
            </w:tcBorders>
            <w:shd w:val="clear" w:color="auto" w:fill="auto"/>
            <w:noWrap/>
            <w:vAlign w:val="bottom"/>
            <w:hideMark/>
          </w:tcPr>
          <w:p w14:paraId="031C8FB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-30  18 -30</w:t>
            </w:r>
          </w:p>
        </w:tc>
        <w:tc>
          <w:tcPr>
            <w:tcW w:w="960" w:type="dxa"/>
            <w:tcBorders>
              <w:top w:val="nil"/>
              <w:left w:val="nil"/>
              <w:bottom w:val="nil"/>
              <w:right w:val="nil"/>
            </w:tcBorders>
            <w:shd w:val="clear" w:color="auto" w:fill="auto"/>
            <w:noWrap/>
            <w:vAlign w:val="bottom"/>
            <w:hideMark/>
          </w:tcPr>
          <w:p w14:paraId="79C351D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-4.83</w:t>
            </w:r>
          </w:p>
        </w:tc>
        <w:tc>
          <w:tcPr>
            <w:tcW w:w="960" w:type="dxa"/>
            <w:tcBorders>
              <w:top w:val="nil"/>
              <w:left w:val="nil"/>
              <w:bottom w:val="nil"/>
              <w:right w:val="nil"/>
            </w:tcBorders>
            <w:shd w:val="clear" w:color="auto" w:fill="auto"/>
            <w:noWrap/>
            <w:vAlign w:val="bottom"/>
            <w:hideMark/>
          </w:tcPr>
          <w:p w14:paraId="5527EC4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0.0084</w:t>
            </w:r>
          </w:p>
        </w:tc>
      </w:tr>
      <w:tr w:rsidR="00FB337C" w:rsidRPr="00E5257C" w14:paraId="6F22B410" w14:textId="77777777" w:rsidTr="00592BA1">
        <w:trPr>
          <w:trHeight w:val="300"/>
        </w:trPr>
        <w:tc>
          <w:tcPr>
            <w:tcW w:w="1507" w:type="dxa"/>
            <w:tcBorders>
              <w:top w:val="nil"/>
              <w:left w:val="nil"/>
              <w:bottom w:val="nil"/>
              <w:right w:val="nil"/>
            </w:tcBorders>
            <w:shd w:val="clear" w:color="auto" w:fill="auto"/>
            <w:noWrap/>
            <w:vAlign w:val="bottom"/>
            <w:hideMark/>
          </w:tcPr>
          <w:p w14:paraId="49E0B98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D3A447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F623E1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06F4A13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Insula_R</w:t>
            </w:r>
          </w:p>
        </w:tc>
        <w:tc>
          <w:tcPr>
            <w:tcW w:w="1580" w:type="dxa"/>
            <w:tcBorders>
              <w:top w:val="nil"/>
              <w:left w:val="nil"/>
              <w:bottom w:val="nil"/>
              <w:right w:val="nil"/>
            </w:tcBorders>
            <w:shd w:val="clear" w:color="auto" w:fill="auto"/>
            <w:noWrap/>
            <w:vAlign w:val="bottom"/>
            <w:hideMark/>
          </w:tcPr>
          <w:p w14:paraId="71D8AE6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18 -12</w:t>
            </w:r>
          </w:p>
        </w:tc>
        <w:tc>
          <w:tcPr>
            <w:tcW w:w="960" w:type="dxa"/>
            <w:tcBorders>
              <w:top w:val="nil"/>
              <w:left w:val="nil"/>
              <w:bottom w:val="nil"/>
              <w:right w:val="nil"/>
            </w:tcBorders>
            <w:shd w:val="clear" w:color="auto" w:fill="auto"/>
            <w:noWrap/>
            <w:vAlign w:val="bottom"/>
            <w:hideMark/>
          </w:tcPr>
          <w:p w14:paraId="20A7FBA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-4.81</w:t>
            </w:r>
          </w:p>
        </w:tc>
        <w:tc>
          <w:tcPr>
            <w:tcW w:w="960" w:type="dxa"/>
            <w:tcBorders>
              <w:top w:val="nil"/>
              <w:left w:val="nil"/>
              <w:bottom w:val="nil"/>
              <w:right w:val="nil"/>
            </w:tcBorders>
            <w:shd w:val="clear" w:color="auto" w:fill="auto"/>
            <w:noWrap/>
            <w:vAlign w:val="bottom"/>
            <w:hideMark/>
          </w:tcPr>
          <w:p w14:paraId="676D820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0.0084</w:t>
            </w:r>
          </w:p>
        </w:tc>
      </w:tr>
      <w:tr w:rsidR="00FB337C" w:rsidRPr="00E5257C" w14:paraId="28C4A984" w14:textId="77777777" w:rsidTr="00592BA1">
        <w:trPr>
          <w:trHeight w:val="300"/>
        </w:trPr>
        <w:tc>
          <w:tcPr>
            <w:tcW w:w="1507" w:type="dxa"/>
            <w:tcBorders>
              <w:top w:val="nil"/>
              <w:left w:val="nil"/>
              <w:bottom w:val="nil"/>
              <w:right w:val="nil"/>
            </w:tcBorders>
            <w:shd w:val="clear" w:color="auto" w:fill="auto"/>
            <w:noWrap/>
            <w:vAlign w:val="bottom"/>
            <w:hideMark/>
          </w:tcPr>
          <w:p w14:paraId="2162C26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4C79A6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87ACD0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A18C2E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Frontal_Inf_Tri_R</w:t>
            </w:r>
          </w:p>
        </w:tc>
        <w:tc>
          <w:tcPr>
            <w:tcW w:w="1580" w:type="dxa"/>
            <w:tcBorders>
              <w:top w:val="nil"/>
              <w:left w:val="nil"/>
              <w:bottom w:val="nil"/>
              <w:right w:val="nil"/>
            </w:tcBorders>
            <w:shd w:val="clear" w:color="auto" w:fill="auto"/>
            <w:noWrap/>
            <w:vAlign w:val="bottom"/>
            <w:hideMark/>
          </w:tcPr>
          <w:p w14:paraId="22F9588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36  24  12</w:t>
            </w:r>
          </w:p>
        </w:tc>
        <w:tc>
          <w:tcPr>
            <w:tcW w:w="960" w:type="dxa"/>
            <w:tcBorders>
              <w:top w:val="nil"/>
              <w:left w:val="nil"/>
              <w:bottom w:val="nil"/>
              <w:right w:val="nil"/>
            </w:tcBorders>
            <w:shd w:val="clear" w:color="auto" w:fill="auto"/>
            <w:noWrap/>
            <w:vAlign w:val="bottom"/>
            <w:hideMark/>
          </w:tcPr>
          <w:p w14:paraId="52C619C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-4.78</w:t>
            </w:r>
          </w:p>
        </w:tc>
        <w:tc>
          <w:tcPr>
            <w:tcW w:w="960" w:type="dxa"/>
            <w:tcBorders>
              <w:top w:val="nil"/>
              <w:left w:val="nil"/>
              <w:bottom w:val="nil"/>
              <w:right w:val="nil"/>
            </w:tcBorders>
            <w:shd w:val="clear" w:color="auto" w:fill="auto"/>
            <w:noWrap/>
            <w:vAlign w:val="bottom"/>
            <w:hideMark/>
          </w:tcPr>
          <w:p w14:paraId="14D7758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0.0086</w:t>
            </w:r>
          </w:p>
        </w:tc>
      </w:tr>
      <w:tr w:rsidR="00FB337C" w:rsidRPr="00E5257C" w14:paraId="58C8E696" w14:textId="77777777" w:rsidTr="00592BA1">
        <w:trPr>
          <w:trHeight w:val="300"/>
        </w:trPr>
        <w:tc>
          <w:tcPr>
            <w:tcW w:w="1507" w:type="dxa"/>
            <w:tcBorders>
              <w:top w:val="nil"/>
              <w:left w:val="nil"/>
              <w:bottom w:val="nil"/>
              <w:right w:val="nil"/>
            </w:tcBorders>
            <w:shd w:val="clear" w:color="auto" w:fill="auto"/>
            <w:noWrap/>
            <w:vAlign w:val="bottom"/>
            <w:hideMark/>
          </w:tcPr>
          <w:p w14:paraId="1BA7EEE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48474A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87CCE2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6FD04E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Frontal_Inf_Orb_R</w:t>
            </w:r>
          </w:p>
        </w:tc>
        <w:tc>
          <w:tcPr>
            <w:tcW w:w="1580" w:type="dxa"/>
            <w:tcBorders>
              <w:top w:val="nil"/>
              <w:left w:val="nil"/>
              <w:bottom w:val="nil"/>
              <w:right w:val="nil"/>
            </w:tcBorders>
            <w:shd w:val="clear" w:color="auto" w:fill="auto"/>
            <w:noWrap/>
            <w:vAlign w:val="bottom"/>
            <w:hideMark/>
          </w:tcPr>
          <w:p w14:paraId="53B128B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24 -18</w:t>
            </w:r>
          </w:p>
        </w:tc>
        <w:tc>
          <w:tcPr>
            <w:tcW w:w="960" w:type="dxa"/>
            <w:tcBorders>
              <w:top w:val="nil"/>
              <w:left w:val="nil"/>
              <w:bottom w:val="nil"/>
              <w:right w:val="nil"/>
            </w:tcBorders>
            <w:shd w:val="clear" w:color="auto" w:fill="auto"/>
            <w:noWrap/>
            <w:vAlign w:val="bottom"/>
            <w:hideMark/>
          </w:tcPr>
          <w:p w14:paraId="4E73F3C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-4.78</w:t>
            </w:r>
          </w:p>
        </w:tc>
        <w:tc>
          <w:tcPr>
            <w:tcW w:w="960" w:type="dxa"/>
            <w:tcBorders>
              <w:top w:val="nil"/>
              <w:left w:val="nil"/>
              <w:bottom w:val="nil"/>
              <w:right w:val="nil"/>
            </w:tcBorders>
            <w:shd w:val="clear" w:color="auto" w:fill="auto"/>
            <w:noWrap/>
            <w:vAlign w:val="bottom"/>
            <w:hideMark/>
          </w:tcPr>
          <w:p w14:paraId="515C30C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0.0086</w:t>
            </w:r>
          </w:p>
        </w:tc>
      </w:tr>
      <w:tr w:rsidR="00FB337C" w:rsidRPr="00E5257C" w14:paraId="2940E7BF" w14:textId="77777777" w:rsidTr="00592BA1">
        <w:trPr>
          <w:trHeight w:val="300"/>
        </w:trPr>
        <w:tc>
          <w:tcPr>
            <w:tcW w:w="1507" w:type="dxa"/>
            <w:tcBorders>
              <w:top w:val="nil"/>
              <w:left w:val="nil"/>
              <w:bottom w:val="nil"/>
              <w:right w:val="nil"/>
            </w:tcBorders>
            <w:shd w:val="clear" w:color="auto" w:fill="auto"/>
            <w:noWrap/>
            <w:vAlign w:val="bottom"/>
            <w:hideMark/>
          </w:tcPr>
          <w:p w14:paraId="2E42F89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A47622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F8CDC2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9E61B7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Temporal_Pole_Mid_L</w:t>
            </w:r>
          </w:p>
        </w:tc>
        <w:tc>
          <w:tcPr>
            <w:tcW w:w="1580" w:type="dxa"/>
            <w:tcBorders>
              <w:top w:val="nil"/>
              <w:left w:val="nil"/>
              <w:bottom w:val="nil"/>
              <w:right w:val="nil"/>
            </w:tcBorders>
            <w:shd w:val="clear" w:color="auto" w:fill="auto"/>
            <w:noWrap/>
            <w:vAlign w:val="bottom"/>
            <w:hideMark/>
          </w:tcPr>
          <w:p w14:paraId="6BB925C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18 -36</w:t>
            </w:r>
          </w:p>
        </w:tc>
        <w:tc>
          <w:tcPr>
            <w:tcW w:w="960" w:type="dxa"/>
            <w:tcBorders>
              <w:top w:val="nil"/>
              <w:left w:val="nil"/>
              <w:bottom w:val="nil"/>
              <w:right w:val="nil"/>
            </w:tcBorders>
            <w:shd w:val="clear" w:color="auto" w:fill="auto"/>
            <w:noWrap/>
            <w:vAlign w:val="bottom"/>
            <w:hideMark/>
          </w:tcPr>
          <w:p w14:paraId="38EA68C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-4.71</w:t>
            </w:r>
          </w:p>
        </w:tc>
        <w:tc>
          <w:tcPr>
            <w:tcW w:w="960" w:type="dxa"/>
            <w:tcBorders>
              <w:top w:val="nil"/>
              <w:left w:val="nil"/>
              <w:bottom w:val="nil"/>
              <w:right w:val="nil"/>
            </w:tcBorders>
            <w:shd w:val="clear" w:color="auto" w:fill="auto"/>
            <w:noWrap/>
            <w:vAlign w:val="bottom"/>
            <w:hideMark/>
          </w:tcPr>
          <w:p w14:paraId="13C28A5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0.0088</w:t>
            </w:r>
          </w:p>
        </w:tc>
      </w:tr>
      <w:tr w:rsidR="00FB337C" w:rsidRPr="00E5257C" w14:paraId="6EB84667" w14:textId="77777777" w:rsidTr="00592BA1">
        <w:trPr>
          <w:trHeight w:val="300"/>
        </w:trPr>
        <w:tc>
          <w:tcPr>
            <w:tcW w:w="1507" w:type="dxa"/>
            <w:tcBorders>
              <w:top w:val="nil"/>
              <w:left w:val="nil"/>
              <w:bottom w:val="nil"/>
              <w:right w:val="nil"/>
            </w:tcBorders>
            <w:shd w:val="clear" w:color="auto" w:fill="auto"/>
            <w:noWrap/>
            <w:vAlign w:val="bottom"/>
            <w:hideMark/>
          </w:tcPr>
          <w:p w14:paraId="3A07453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3F6CC48"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E07D1A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D03CCC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Temporal_Sup_R</w:t>
            </w:r>
          </w:p>
        </w:tc>
        <w:tc>
          <w:tcPr>
            <w:tcW w:w="1580" w:type="dxa"/>
            <w:tcBorders>
              <w:top w:val="nil"/>
              <w:left w:val="nil"/>
              <w:bottom w:val="nil"/>
              <w:right w:val="nil"/>
            </w:tcBorders>
            <w:shd w:val="clear" w:color="auto" w:fill="auto"/>
            <w:noWrap/>
            <w:vAlign w:val="bottom"/>
            <w:hideMark/>
          </w:tcPr>
          <w:p w14:paraId="55D42D6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   0  -6</w:t>
            </w:r>
          </w:p>
        </w:tc>
        <w:tc>
          <w:tcPr>
            <w:tcW w:w="960" w:type="dxa"/>
            <w:tcBorders>
              <w:top w:val="nil"/>
              <w:left w:val="nil"/>
              <w:bottom w:val="nil"/>
              <w:right w:val="nil"/>
            </w:tcBorders>
            <w:shd w:val="clear" w:color="auto" w:fill="auto"/>
            <w:noWrap/>
            <w:vAlign w:val="bottom"/>
            <w:hideMark/>
          </w:tcPr>
          <w:p w14:paraId="47DFE32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-4.66</w:t>
            </w:r>
          </w:p>
        </w:tc>
        <w:tc>
          <w:tcPr>
            <w:tcW w:w="960" w:type="dxa"/>
            <w:tcBorders>
              <w:top w:val="nil"/>
              <w:left w:val="nil"/>
              <w:bottom w:val="nil"/>
              <w:right w:val="nil"/>
            </w:tcBorders>
            <w:shd w:val="clear" w:color="auto" w:fill="auto"/>
            <w:noWrap/>
            <w:vAlign w:val="bottom"/>
            <w:hideMark/>
          </w:tcPr>
          <w:p w14:paraId="731B05B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0.0092</w:t>
            </w:r>
          </w:p>
        </w:tc>
      </w:tr>
      <w:tr w:rsidR="00FB337C" w:rsidRPr="00E5257C" w14:paraId="03523B3E" w14:textId="77777777" w:rsidTr="00592BA1">
        <w:trPr>
          <w:trHeight w:val="300"/>
        </w:trPr>
        <w:tc>
          <w:tcPr>
            <w:tcW w:w="1507" w:type="dxa"/>
            <w:tcBorders>
              <w:top w:val="nil"/>
              <w:left w:val="nil"/>
              <w:bottom w:val="nil"/>
              <w:right w:val="nil"/>
            </w:tcBorders>
            <w:shd w:val="clear" w:color="auto" w:fill="auto"/>
            <w:noWrap/>
            <w:vAlign w:val="bottom"/>
            <w:hideMark/>
          </w:tcPr>
          <w:p w14:paraId="2E71CB5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E928E1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760E44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B21C02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Temporal_Inf_L</w:t>
            </w:r>
          </w:p>
        </w:tc>
        <w:tc>
          <w:tcPr>
            <w:tcW w:w="1580" w:type="dxa"/>
            <w:tcBorders>
              <w:top w:val="nil"/>
              <w:left w:val="nil"/>
              <w:bottom w:val="nil"/>
              <w:right w:val="nil"/>
            </w:tcBorders>
            <w:shd w:val="clear" w:color="auto" w:fill="auto"/>
            <w:noWrap/>
            <w:vAlign w:val="bottom"/>
            <w:hideMark/>
          </w:tcPr>
          <w:p w14:paraId="78D440A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6 -42</w:t>
            </w:r>
          </w:p>
        </w:tc>
        <w:tc>
          <w:tcPr>
            <w:tcW w:w="960" w:type="dxa"/>
            <w:tcBorders>
              <w:top w:val="nil"/>
              <w:left w:val="nil"/>
              <w:bottom w:val="nil"/>
              <w:right w:val="nil"/>
            </w:tcBorders>
            <w:shd w:val="clear" w:color="auto" w:fill="auto"/>
            <w:noWrap/>
            <w:vAlign w:val="bottom"/>
            <w:hideMark/>
          </w:tcPr>
          <w:p w14:paraId="01C1F7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-4.65</w:t>
            </w:r>
          </w:p>
        </w:tc>
        <w:tc>
          <w:tcPr>
            <w:tcW w:w="960" w:type="dxa"/>
            <w:tcBorders>
              <w:top w:val="nil"/>
              <w:left w:val="nil"/>
              <w:bottom w:val="nil"/>
              <w:right w:val="nil"/>
            </w:tcBorders>
            <w:shd w:val="clear" w:color="auto" w:fill="auto"/>
            <w:noWrap/>
            <w:vAlign w:val="bottom"/>
            <w:hideMark/>
          </w:tcPr>
          <w:p w14:paraId="093CFA1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0.0094</w:t>
            </w:r>
          </w:p>
        </w:tc>
      </w:tr>
      <w:tr w:rsidR="00FB337C" w:rsidRPr="00E5257C" w14:paraId="45D4E9FD" w14:textId="77777777" w:rsidTr="00592BA1">
        <w:trPr>
          <w:trHeight w:val="300"/>
        </w:trPr>
        <w:tc>
          <w:tcPr>
            <w:tcW w:w="1507" w:type="dxa"/>
            <w:tcBorders>
              <w:top w:val="nil"/>
              <w:left w:val="nil"/>
              <w:bottom w:val="nil"/>
              <w:right w:val="nil"/>
            </w:tcBorders>
            <w:shd w:val="clear" w:color="auto" w:fill="auto"/>
            <w:noWrap/>
            <w:vAlign w:val="bottom"/>
            <w:hideMark/>
          </w:tcPr>
          <w:p w14:paraId="04B7749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CFF61A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C51329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20E935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Rolandic_Oper_R</w:t>
            </w:r>
          </w:p>
        </w:tc>
        <w:tc>
          <w:tcPr>
            <w:tcW w:w="1580" w:type="dxa"/>
            <w:tcBorders>
              <w:top w:val="nil"/>
              <w:left w:val="nil"/>
              <w:bottom w:val="nil"/>
              <w:right w:val="nil"/>
            </w:tcBorders>
            <w:shd w:val="clear" w:color="auto" w:fill="auto"/>
            <w:noWrap/>
            <w:vAlign w:val="bottom"/>
            <w:hideMark/>
          </w:tcPr>
          <w:p w14:paraId="5438584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42   6  12</w:t>
            </w:r>
          </w:p>
        </w:tc>
        <w:tc>
          <w:tcPr>
            <w:tcW w:w="960" w:type="dxa"/>
            <w:tcBorders>
              <w:top w:val="nil"/>
              <w:left w:val="nil"/>
              <w:bottom w:val="nil"/>
              <w:right w:val="nil"/>
            </w:tcBorders>
            <w:shd w:val="clear" w:color="auto" w:fill="auto"/>
            <w:noWrap/>
            <w:vAlign w:val="bottom"/>
            <w:hideMark/>
          </w:tcPr>
          <w:p w14:paraId="109ED76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-4.64</w:t>
            </w:r>
          </w:p>
        </w:tc>
        <w:tc>
          <w:tcPr>
            <w:tcW w:w="960" w:type="dxa"/>
            <w:tcBorders>
              <w:top w:val="nil"/>
              <w:left w:val="nil"/>
              <w:bottom w:val="nil"/>
              <w:right w:val="nil"/>
            </w:tcBorders>
            <w:shd w:val="clear" w:color="auto" w:fill="auto"/>
            <w:noWrap/>
            <w:vAlign w:val="bottom"/>
            <w:hideMark/>
          </w:tcPr>
          <w:p w14:paraId="38B9AAA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0.0094</w:t>
            </w:r>
          </w:p>
        </w:tc>
      </w:tr>
      <w:tr w:rsidR="00FB337C" w:rsidRPr="00E5257C" w14:paraId="4947E342" w14:textId="77777777" w:rsidTr="00592BA1">
        <w:trPr>
          <w:trHeight w:val="300"/>
        </w:trPr>
        <w:tc>
          <w:tcPr>
            <w:tcW w:w="1507" w:type="dxa"/>
            <w:tcBorders>
              <w:top w:val="nil"/>
              <w:left w:val="nil"/>
              <w:bottom w:val="nil"/>
              <w:right w:val="nil"/>
            </w:tcBorders>
            <w:shd w:val="clear" w:color="auto" w:fill="auto"/>
            <w:noWrap/>
            <w:vAlign w:val="bottom"/>
            <w:hideMark/>
          </w:tcPr>
          <w:p w14:paraId="14216B8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126BAA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5D2D99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4F1DED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Putamen_R</w:t>
            </w:r>
          </w:p>
        </w:tc>
        <w:tc>
          <w:tcPr>
            <w:tcW w:w="1580" w:type="dxa"/>
            <w:tcBorders>
              <w:top w:val="nil"/>
              <w:left w:val="nil"/>
              <w:bottom w:val="nil"/>
              <w:right w:val="nil"/>
            </w:tcBorders>
            <w:shd w:val="clear" w:color="auto" w:fill="auto"/>
            <w:noWrap/>
            <w:vAlign w:val="bottom"/>
            <w:hideMark/>
          </w:tcPr>
          <w:p w14:paraId="6DFF341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30  18   0</w:t>
            </w:r>
          </w:p>
        </w:tc>
        <w:tc>
          <w:tcPr>
            <w:tcW w:w="960" w:type="dxa"/>
            <w:tcBorders>
              <w:top w:val="nil"/>
              <w:left w:val="nil"/>
              <w:bottom w:val="nil"/>
              <w:right w:val="nil"/>
            </w:tcBorders>
            <w:shd w:val="clear" w:color="auto" w:fill="auto"/>
            <w:noWrap/>
            <w:vAlign w:val="bottom"/>
            <w:hideMark/>
          </w:tcPr>
          <w:p w14:paraId="727E9A4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-4.63</w:t>
            </w:r>
          </w:p>
        </w:tc>
        <w:tc>
          <w:tcPr>
            <w:tcW w:w="960" w:type="dxa"/>
            <w:tcBorders>
              <w:top w:val="nil"/>
              <w:left w:val="nil"/>
              <w:bottom w:val="nil"/>
              <w:right w:val="nil"/>
            </w:tcBorders>
            <w:shd w:val="clear" w:color="auto" w:fill="auto"/>
            <w:noWrap/>
            <w:vAlign w:val="bottom"/>
            <w:hideMark/>
          </w:tcPr>
          <w:p w14:paraId="7DF208C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0.0094</w:t>
            </w:r>
          </w:p>
        </w:tc>
      </w:tr>
      <w:tr w:rsidR="00FB337C" w:rsidRPr="00E5257C" w14:paraId="5121353D" w14:textId="77777777" w:rsidTr="00592BA1">
        <w:trPr>
          <w:trHeight w:val="300"/>
        </w:trPr>
        <w:tc>
          <w:tcPr>
            <w:tcW w:w="1507" w:type="dxa"/>
            <w:tcBorders>
              <w:top w:val="nil"/>
              <w:left w:val="nil"/>
              <w:bottom w:val="nil"/>
              <w:right w:val="nil"/>
            </w:tcBorders>
            <w:shd w:val="clear" w:color="auto" w:fill="auto"/>
            <w:noWrap/>
            <w:vAlign w:val="bottom"/>
            <w:hideMark/>
          </w:tcPr>
          <w:p w14:paraId="65E6258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93AA1FB"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964F0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062A25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Frontal_Mid_Orb_L</w:t>
            </w:r>
          </w:p>
        </w:tc>
        <w:tc>
          <w:tcPr>
            <w:tcW w:w="1580" w:type="dxa"/>
            <w:tcBorders>
              <w:top w:val="nil"/>
              <w:left w:val="nil"/>
              <w:bottom w:val="nil"/>
              <w:right w:val="nil"/>
            </w:tcBorders>
            <w:shd w:val="clear" w:color="auto" w:fill="auto"/>
            <w:noWrap/>
            <w:vAlign w:val="bottom"/>
            <w:hideMark/>
          </w:tcPr>
          <w:p w14:paraId="42F9E50D"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30 -18</w:t>
            </w:r>
          </w:p>
        </w:tc>
        <w:tc>
          <w:tcPr>
            <w:tcW w:w="960" w:type="dxa"/>
            <w:tcBorders>
              <w:top w:val="nil"/>
              <w:left w:val="nil"/>
              <w:bottom w:val="nil"/>
              <w:right w:val="nil"/>
            </w:tcBorders>
            <w:shd w:val="clear" w:color="auto" w:fill="auto"/>
            <w:noWrap/>
            <w:vAlign w:val="bottom"/>
            <w:hideMark/>
          </w:tcPr>
          <w:p w14:paraId="07D5059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-4.62</w:t>
            </w:r>
          </w:p>
        </w:tc>
        <w:tc>
          <w:tcPr>
            <w:tcW w:w="960" w:type="dxa"/>
            <w:tcBorders>
              <w:top w:val="nil"/>
              <w:left w:val="nil"/>
              <w:bottom w:val="nil"/>
              <w:right w:val="nil"/>
            </w:tcBorders>
            <w:shd w:val="clear" w:color="auto" w:fill="auto"/>
            <w:noWrap/>
            <w:vAlign w:val="bottom"/>
            <w:hideMark/>
          </w:tcPr>
          <w:p w14:paraId="1243E12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0.0100</w:t>
            </w:r>
          </w:p>
        </w:tc>
      </w:tr>
      <w:tr w:rsidR="00FB337C" w:rsidRPr="00E5257C" w14:paraId="6F17287D" w14:textId="77777777" w:rsidTr="00592BA1">
        <w:trPr>
          <w:trHeight w:val="300"/>
        </w:trPr>
        <w:tc>
          <w:tcPr>
            <w:tcW w:w="1507" w:type="dxa"/>
            <w:tcBorders>
              <w:top w:val="nil"/>
              <w:left w:val="nil"/>
              <w:bottom w:val="nil"/>
              <w:right w:val="nil"/>
            </w:tcBorders>
            <w:shd w:val="clear" w:color="auto" w:fill="auto"/>
            <w:noWrap/>
            <w:vAlign w:val="bottom"/>
            <w:hideMark/>
          </w:tcPr>
          <w:p w14:paraId="0204351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67645B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25E6A4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B2132D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Olfactory_L</w:t>
            </w:r>
          </w:p>
        </w:tc>
        <w:tc>
          <w:tcPr>
            <w:tcW w:w="1580" w:type="dxa"/>
            <w:tcBorders>
              <w:top w:val="nil"/>
              <w:left w:val="nil"/>
              <w:bottom w:val="nil"/>
              <w:right w:val="nil"/>
            </w:tcBorders>
            <w:shd w:val="clear" w:color="auto" w:fill="auto"/>
            <w:noWrap/>
            <w:vAlign w:val="bottom"/>
            <w:hideMark/>
          </w:tcPr>
          <w:p w14:paraId="73A8294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12 -18</w:t>
            </w:r>
          </w:p>
        </w:tc>
        <w:tc>
          <w:tcPr>
            <w:tcW w:w="960" w:type="dxa"/>
            <w:tcBorders>
              <w:top w:val="nil"/>
              <w:left w:val="nil"/>
              <w:bottom w:val="nil"/>
              <w:right w:val="nil"/>
            </w:tcBorders>
            <w:shd w:val="clear" w:color="auto" w:fill="auto"/>
            <w:noWrap/>
            <w:vAlign w:val="bottom"/>
            <w:hideMark/>
          </w:tcPr>
          <w:p w14:paraId="1544C4F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-4.62</w:t>
            </w:r>
          </w:p>
        </w:tc>
        <w:tc>
          <w:tcPr>
            <w:tcW w:w="960" w:type="dxa"/>
            <w:tcBorders>
              <w:top w:val="nil"/>
              <w:left w:val="nil"/>
              <w:bottom w:val="nil"/>
              <w:right w:val="nil"/>
            </w:tcBorders>
            <w:shd w:val="clear" w:color="auto" w:fill="auto"/>
            <w:noWrap/>
            <w:vAlign w:val="bottom"/>
            <w:hideMark/>
          </w:tcPr>
          <w:p w14:paraId="0A4408E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0.0098</w:t>
            </w:r>
          </w:p>
        </w:tc>
      </w:tr>
      <w:tr w:rsidR="00FB337C" w:rsidRPr="00E5257C" w14:paraId="639839F8" w14:textId="77777777" w:rsidTr="00592BA1">
        <w:trPr>
          <w:trHeight w:val="300"/>
        </w:trPr>
        <w:tc>
          <w:tcPr>
            <w:tcW w:w="1507" w:type="dxa"/>
            <w:tcBorders>
              <w:top w:val="nil"/>
              <w:left w:val="nil"/>
              <w:bottom w:val="nil"/>
              <w:right w:val="nil"/>
            </w:tcBorders>
            <w:shd w:val="clear" w:color="auto" w:fill="auto"/>
            <w:noWrap/>
            <w:vAlign w:val="bottom"/>
            <w:hideMark/>
          </w:tcPr>
          <w:p w14:paraId="66792CA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1B4175B"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4F0D97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6D3C183"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ParaHippocampal_R</w:t>
            </w:r>
            <w:proofErr w:type="spellEnd"/>
          </w:p>
        </w:tc>
        <w:tc>
          <w:tcPr>
            <w:tcW w:w="1580" w:type="dxa"/>
            <w:tcBorders>
              <w:top w:val="nil"/>
              <w:left w:val="nil"/>
              <w:bottom w:val="nil"/>
              <w:right w:val="nil"/>
            </w:tcBorders>
            <w:shd w:val="clear" w:color="auto" w:fill="auto"/>
            <w:noWrap/>
            <w:vAlign w:val="bottom"/>
            <w:hideMark/>
          </w:tcPr>
          <w:p w14:paraId="24B38E2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12 -30</w:t>
            </w:r>
          </w:p>
        </w:tc>
        <w:tc>
          <w:tcPr>
            <w:tcW w:w="960" w:type="dxa"/>
            <w:tcBorders>
              <w:top w:val="nil"/>
              <w:left w:val="nil"/>
              <w:bottom w:val="nil"/>
              <w:right w:val="nil"/>
            </w:tcBorders>
            <w:shd w:val="clear" w:color="auto" w:fill="auto"/>
            <w:noWrap/>
            <w:vAlign w:val="bottom"/>
            <w:hideMark/>
          </w:tcPr>
          <w:p w14:paraId="1761B75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-4.58</w:t>
            </w:r>
          </w:p>
        </w:tc>
        <w:tc>
          <w:tcPr>
            <w:tcW w:w="960" w:type="dxa"/>
            <w:tcBorders>
              <w:top w:val="nil"/>
              <w:left w:val="nil"/>
              <w:bottom w:val="nil"/>
              <w:right w:val="nil"/>
            </w:tcBorders>
            <w:shd w:val="clear" w:color="auto" w:fill="auto"/>
            <w:noWrap/>
            <w:vAlign w:val="bottom"/>
            <w:hideMark/>
          </w:tcPr>
          <w:p w14:paraId="1AC3C63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0.0108</w:t>
            </w:r>
          </w:p>
        </w:tc>
      </w:tr>
      <w:tr w:rsidR="00FB337C" w:rsidRPr="00E5257C" w14:paraId="62AF3490" w14:textId="77777777" w:rsidTr="00592BA1">
        <w:trPr>
          <w:trHeight w:val="300"/>
        </w:trPr>
        <w:tc>
          <w:tcPr>
            <w:tcW w:w="1507" w:type="dxa"/>
            <w:tcBorders>
              <w:top w:val="nil"/>
              <w:left w:val="nil"/>
              <w:bottom w:val="nil"/>
              <w:right w:val="nil"/>
            </w:tcBorders>
            <w:shd w:val="clear" w:color="auto" w:fill="auto"/>
            <w:noWrap/>
            <w:vAlign w:val="bottom"/>
            <w:hideMark/>
          </w:tcPr>
          <w:p w14:paraId="61F4C0F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59B0CA9"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84175D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25215F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Temporal_Inf_R</w:t>
            </w:r>
          </w:p>
        </w:tc>
        <w:tc>
          <w:tcPr>
            <w:tcW w:w="1580" w:type="dxa"/>
            <w:tcBorders>
              <w:top w:val="nil"/>
              <w:left w:val="nil"/>
              <w:bottom w:val="nil"/>
              <w:right w:val="nil"/>
            </w:tcBorders>
            <w:shd w:val="clear" w:color="auto" w:fill="auto"/>
            <w:noWrap/>
            <w:vAlign w:val="bottom"/>
            <w:hideMark/>
          </w:tcPr>
          <w:p w14:paraId="5221774D"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6 -42</w:t>
            </w:r>
          </w:p>
        </w:tc>
        <w:tc>
          <w:tcPr>
            <w:tcW w:w="960" w:type="dxa"/>
            <w:tcBorders>
              <w:top w:val="nil"/>
              <w:left w:val="nil"/>
              <w:bottom w:val="nil"/>
              <w:right w:val="nil"/>
            </w:tcBorders>
            <w:shd w:val="clear" w:color="auto" w:fill="auto"/>
            <w:noWrap/>
            <w:vAlign w:val="bottom"/>
            <w:hideMark/>
          </w:tcPr>
          <w:p w14:paraId="68EAA56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-4.48</w:t>
            </w:r>
          </w:p>
        </w:tc>
        <w:tc>
          <w:tcPr>
            <w:tcW w:w="960" w:type="dxa"/>
            <w:tcBorders>
              <w:top w:val="nil"/>
              <w:left w:val="nil"/>
              <w:bottom w:val="nil"/>
              <w:right w:val="nil"/>
            </w:tcBorders>
            <w:shd w:val="clear" w:color="auto" w:fill="auto"/>
            <w:noWrap/>
            <w:vAlign w:val="bottom"/>
            <w:hideMark/>
          </w:tcPr>
          <w:p w14:paraId="0CD857D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0.0122</w:t>
            </w:r>
          </w:p>
        </w:tc>
      </w:tr>
      <w:tr w:rsidR="00FB337C" w:rsidRPr="00E5257C" w14:paraId="5DC35A00" w14:textId="77777777" w:rsidTr="00592BA1">
        <w:trPr>
          <w:trHeight w:val="300"/>
        </w:trPr>
        <w:tc>
          <w:tcPr>
            <w:tcW w:w="1507" w:type="dxa"/>
            <w:tcBorders>
              <w:top w:val="nil"/>
              <w:left w:val="nil"/>
              <w:bottom w:val="nil"/>
              <w:right w:val="nil"/>
            </w:tcBorders>
            <w:shd w:val="clear" w:color="auto" w:fill="auto"/>
            <w:noWrap/>
            <w:vAlign w:val="bottom"/>
            <w:hideMark/>
          </w:tcPr>
          <w:p w14:paraId="7680678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70FAEF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FB8BB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CFA780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Rectus_L</w:t>
            </w:r>
          </w:p>
        </w:tc>
        <w:tc>
          <w:tcPr>
            <w:tcW w:w="1580" w:type="dxa"/>
            <w:tcBorders>
              <w:top w:val="nil"/>
              <w:left w:val="nil"/>
              <w:bottom w:val="nil"/>
              <w:right w:val="nil"/>
            </w:tcBorders>
            <w:shd w:val="clear" w:color="auto" w:fill="auto"/>
            <w:noWrap/>
            <w:vAlign w:val="bottom"/>
            <w:hideMark/>
          </w:tcPr>
          <w:p w14:paraId="4FDB3FB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-12  18 -12</w:t>
            </w:r>
          </w:p>
        </w:tc>
        <w:tc>
          <w:tcPr>
            <w:tcW w:w="960" w:type="dxa"/>
            <w:tcBorders>
              <w:top w:val="nil"/>
              <w:left w:val="nil"/>
              <w:bottom w:val="nil"/>
              <w:right w:val="nil"/>
            </w:tcBorders>
            <w:shd w:val="clear" w:color="auto" w:fill="auto"/>
            <w:noWrap/>
            <w:vAlign w:val="bottom"/>
            <w:hideMark/>
          </w:tcPr>
          <w:p w14:paraId="2929336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-4.47</w:t>
            </w:r>
          </w:p>
        </w:tc>
        <w:tc>
          <w:tcPr>
            <w:tcW w:w="960" w:type="dxa"/>
            <w:tcBorders>
              <w:top w:val="nil"/>
              <w:left w:val="nil"/>
              <w:bottom w:val="nil"/>
              <w:right w:val="nil"/>
            </w:tcBorders>
            <w:shd w:val="clear" w:color="auto" w:fill="auto"/>
            <w:noWrap/>
            <w:vAlign w:val="bottom"/>
            <w:hideMark/>
          </w:tcPr>
          <w:p w14:paraId="2CA5553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0.0122</w:t>
            </w:r>
          </w:p>
        </w:tc>
      </w:tr>
      <w:tr w:rsidR="00FB337C" w:rsidRPr="00E5257C" w14:paraId="4544B05A" w14:textId="77777777" w:rsidTr="00592BA1">
        <w:trPr>
          <w:trHeight w:val="300"/>
        </w:trPr>
        <w:tc>
          <w:tcPr>
            <w:tcW w:w="1507" w:type="dxa"/>
            <w:tcBorders>
              <w:top w:val="nil"/>
              <w:left w:val="nil"/>
              <w:bottom w:val="nil"/>
              <w:right w:val="nil"/>
            </w:tcBorders>
            <w:shd w:val="clear" w:color="auto" w:fill="auto"/>
            <w:noWrap/>
            <w:vAlign w:val="bottom"/>
            <w:hideMark/>
          </w:tcPr>
          <w:p w14:paraId="2A609A3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7096FF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0187EB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6C115B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Fusiform_R</w:t>
            </w:r>
          </w:p>
        </w:tc>
        <w:tc>
          <w:tcPr>
            <w:tcW w:w="1580" w:type="dxa"/>
            <w:tcBorders>
              <w:top w:val="nil"/>
              <w:left w:val="nil"/>
              <w:bottom w:val="nil"/>
              <w:right w:val="nil"/>
            </w:tcBorders>
            <w:shd w:val="clear" w:color="auto" w:fill="auto"/>
            <w:noWrap/>
            <w:vAlign w:val="bottom"/>
            <w:hideMark/>
          </w:tcPr>
          <w:p w14:paraId="186B811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6 -42</w:t>
            </w:r>
          </w:p>
        </w:tc>
        <w:tc>
          <w:tcPr>
            <w:tcW w:w="960" w:type="dxa"/>
            <w:tcBorders>
              <w:top w:val="nil"/>
              <w:left w:val="nil"/>
              <w:bottom w:val="nil"/>
              <w:right w:val="nil"/>
            </w:tcBorders>
            <w:shd w:val="clear" w:color="auto" w:fill="auto"/>
            <w:noWrap/>
            <w:vAlign w:val="bottom"/>
            <w:hideMark/>
          </w:tcPr>
          <w:p w14:paraId="6F437D1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-4.47</w:t>
            </w:r>
          </w:p>
        </w:tc>
        <w:tc>
          <w:tcPr>
            <w:tcW w:w="960" w:type="dxa"/>
            <w:tcBorders>
              <w:top w:val="nil"/>
              <w:left w:val="nil"/>
              <w:bottom w:val="nil"/>
              <w:right w:val="nil"/>
            </w:tcBorders>
            <w:shd w:val="clear" w:color="auto" w:fill="auto"/>
            <w:noWrap/>
            <w:vAlign w:val="bottom"/>
            <w:hideMark/>
          </w:tcPr>
          <w:p w14:paraId="0B227DE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0.0122</w:t>
            </w:r>
          </w:p>
        </w:tc>
      </w:tr>
      <w:tr w:rsidR="00FB337C" w:rsidRPr="00E5257C" w14:paraId="0B6C2FF2" w14:textId="77777777" w:rsidTr="00592BA1">
        <w:trPr>
          <w:trHeight w:val="300"/>
        </w:trPr>
        <w:tc>
          <w:tcPr>
            <w:tcW w:w="1507" w:type="dxa"/>
            <w:tcBorders>
              <w:top w:val="nil"/>
              <w:left w:val="nil"/>
              <w:bottom w:val="nil"/>
              <w:right w:val="nil"/>
            </w:tcBorders>
            <w:shd w:val="clear" w:color="auto" w:fill="auto"/>
            <w:noWrap/>
            <w:vAlign w:val="bottom"/>
            <w:hideMark/>
          </w:tcPr>
          <w:p w14:paraId="772E57B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7E709D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570CC7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361429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Fusiform_L</w:t>
            </w:r>
          </w:p>
        </w:tc>
        <w:tc>
          <w:tcPr>
            <w:tcW w:w="1580" w:type="dxa"/>
            <w:tcBorders>
              <w:top w:val="nil"/>
              <w:left w:val="nil"/>
              <w:bottom w:val="nil"/>
              <w:right w:val="nil"/>
            </w:tcBorders>
            <w:shd w:val="clear" w:color="auto" w:fill="auto"/>
            <w:noWrap/>
            <w:vAlign w:val="bottom"/>
            <w:hideMark/>
          </w:tcPr>
          <w:p w14:paraId="554414E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-30   0 -36</w:t>
            </w:r>
          </w:p>
        </w:tc>
        <w:tc>
          <w:tcPr>
            <w:tcW w:w="960" w:type="dxa"/>
            <w:tcBorders>
              <w:top w:val="nil"/>
              <w:left w:val="nil"/>
              <w:bottom w:val="nil"/>
              <w:right w:val="nil"/>
            </w:tcBorders>
            <w:shd w:val="clear" w:color="auto" w:fill="auto"/>
            <w:noWrap/>
            <w:vAlign w:val="bottom"/>
            <w:hideMark/>
          </w:tcPr>
          <w:p w14:paraId="2FE4079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-4.44</w:t>
            </w:r>
          </w:p>
        </w:tc>
        <w:tc>
          <w:tcPr>
            <w:tcW w:w="960" w:type="dxa"/>
            <w:tcBorders>
              <w:top w:val="nil"/>
              <w:left w:val="nil"/>
              <w:bottom w:val="nil"/>
              <w:right w:val="nil"/>
            </w:tcBorders>
            <w:shd w:val="clear" w:color="auto" w:fill="auto"/>
            <w:noWrap/>
            <w:vAlign w:val="bottom"/>
            <w:hideMark/>
          </w:tcPr>
          <w:p w14:paraId="5A04F65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0.0132</w:t>
            </w:r>
          </w:p>
        </w:tc>
      </w:tr>
      <w:tr w:rsidR="00FB337C" w:rsidRPr="00E5257C" w14:paraId="1566539C" w14:textId="77777777" w:rsidTr="00592BA1">
        <w:trPr>
          <w:trHeight w:val="300"/>
        </w:trPr>
        <w:tc>
          <w:tcPr>
            <w:tcW w:w="1507" w:type="dxa"/>
            <w:tcBorders>
              <w:top w:val="nil"/>
              <w:left w:val="nil"/>
              <w:bottom w:val="nil"/>
              <w:right w:val="nil"/>
            </w:tcBorders>
            <w:shd w:val="clear" w:color="auto" w:fill="auto"/>
            <w:noWrap/>
            <w:vAlign w:val="bottom"/>
            <w:hideMark/>
          </w:tcPr>
          <w:p w14:paraId="5078087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7E8B35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535C83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B4F6A49"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ParaHippocampal_L</w:t>
            </w:r>
            <w:proofErr w:type="spellEnd"/>
          </w:p>
        </w:tc>
        <w:tc>
          <w:tcPr>
            <w:tcW w:w="1580" w:type="dxa"/>
            <w:tcBorders>
              <w:top w:val="nil"/>
              <w:left w:val="nil"/>
              <w:bottom w:val="nil"/>
              <w:right w:val="nil"/>
            </w:tcBorders>
            <w:shd w:val="clear" w:color="auto" w:fill="auto"/>
            <w:noWrap/>
            <w:vAlign w:val="bottom"/>
            <w:hideMark/>
          </w:tcPr>
          <w:p w14:paraId="50AD26B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6 -24</w:t>
            </w:r>
          </w:p>
        </w:tc>
        <w:tc>
          <w:tcPr>
            <w:tcW w:w="960" w:type="dxa"/>
            <w:tcBorders>
              <w:top w:val="nil"/>
              <w:left w:val="nil"/>
              <w:bottom w:val="nil"/>
              <w:right w:val="nil"/>
            </w:tcBorders>
            <w:shd w:val="clear" w:color="auto" w:fill="auto"/>
            <w:noWrap/>
            <w:vAlign w:val="bottom"/>
            <w:hideMark/>
          </w:tcPr>
          <w:p w14:paraId="1DB4380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-4.42</w:t>
            </w:r>
          </w:p>
        </w:tc>
        <w:tc>
          <w:tcPr>
            <w:tcW w:w="960" w:type="dxa"/>
            <w:tcBorders>
              <w:top w:val="nil"/>
              <w:left w:val="nil"/>
              <w:bottom w:val="nil"/>
              <w:right w:val="nil"/>
            </w:tcBorders>
            <w:shd w:val="clear" w:color="auto" w:fill="auto"/>
            <w:noWrap/>
            <w:vAlign w:val="bottom"/>
            <w:hideMark/>
          </w:tcPr>
          <w:p w14:paraId="25D5C7F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0.0142</w:t>
            </w:r>
          </w:p>
        </w:tc>
      </w:tr>
      <w:tr w:rsidR="00FB337C" w:rsidRPr="00E5257C" w14:paraId="5C819BC8" w14:textId="77777777" w:rsidTr="00592BA1">
        <w:trPr>
          <w:trHeight w:val="300"/>
        </w:trPr>
        <w:tc>
          <w:tcPr>
            <w:tcW w:w="1507" w:type="dxa"/>
            <w:tcBorders>
              <w:top w:val="nil"/>
              <w:left w:val="nil"/>
              <w:bottom w:val="nil"/>
              <w:right w:val="nil"/>
            </w:tcBorders>
            <w:shd w:val="clear" w:color="auto" w:fill="auto"/>
            <w:noWrap/>
            <w:vAlign w:val="bottom"/>
            <w:hideMark/>
          </w:tcPr>
          <w:p w14:paraId="11A2569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BE0032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BE56FB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BFABD8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Temporal_Mid_L</w:t>
            </w:r>
          </w:p>
        </w:tc>
        <w:tc>
          <w:tcPr>
            <w:tcW w:w="1580" w:type="dxa"/>
            <w:tcBorders>
              <w:top w:val="nil"/>
              <w:left w:val="nil"/>
              <w:bottom w:val="nil"/>
              <w:right w:val="nil"/>
            </w:tcBorders>
            <w:shd w:val="clear" w:color="auto" w:fill="auto"/>
            <w:noWrap/>
            <w:vAlign w:val="bottom"/>
            <w:hideMark/>
          </w:tcPr>
          <w:p w14:paraId="4D46CBE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6 -30</w:t>
            </w:r>
          </w:p>
        </w:tc>
        <w:tc>
          <w:tcPr>
            <w:tcW w:w="960" w:type="dxa"/>
            <w:tcBorders>
              <w:top w:val="nil"/>
              <w:left w:val="nil"/>
              <w:bottom w:val="nil"/>
              <w:right w:val="nil"/>
            </w:tcBorders>
            <w:shd w:val="clear" w:color="auto" w:fill="auto"/>
            <w:noWrap/>
            <w:vAlign w:val="bottom"/>
            <w:hideMark/>
          </w:tcPr>
          <w:p w14:paraId="300A06A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-4.42</w:t>
            </w:r>
          </w:p>
        </w:tc>
        <w:tc>
          <w:tcPr>
            <w:tcW w:w="960" w:type="dxa"/>
            <w:tcBorders>
              <w:top w:val="nil"/>
              <w:left w:val="nil"/>
              <w:bottom w:val="nil"/>
              <w:right w:val="nil"/>
            </w:tcBorders>
            <w:shd w:val="clear" w:color="auto" w:fill="auto"/>
            <w:noWrap/>
            <w:vAlign w:val="bottom"/>
            <w:hideMark/>
          </w:tcPr>
          <w:p w14:paraId="0BAF3B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0.0140</w:t>
            </w:r>
          </w:p>
        </w:tc>
      </w:tr>
      <w:tr w:rsidR="00FB337C" w:rsidRPr="00E5257C" w14:paraId="7EFB3C42" w14:textId="77777777" w:rsidTr="00592BA1">
        <w:trPr>
          <w:trHeight w:val="300"/>
        </w:trPr>
        <w:tc>
          <w:tcPr>
            <w:tcW w:w="1507" w:type="dxa"/>
            <w:tcBorders>
              <w:top w:val="nil"/>
              <w:left w:val="nil"/>
              <w:bottom w:val="nil"/>
              <w:right w:val="nil"/>
            </w:tcBorders>
            <w:shd w:val="clear" w:color="auto" w:fill="auto"/>
            <w:noWrap/>
            <w:vAlign w:val="bottom"/>
            <w:hideMark/>
          </w:tcPr>
          <w:p w14:paraId="7342401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FA0A20B"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075602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1F5AD8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Frontal_Sup_Orb_L</w:t>
            </w:r>
          </w:p>
        </w:tc>
        <w:tc>
          <w:tcPr>
            <w:tcW w:w="1580" w:type="dxa"/>
            <w:tcBorders>
              <w:top w:val="nil"/>
              <w:left w:val="nil"/>
              <w:bottom w:val="nil"/>
              <w:right w:val="nil"/>
            </w:tcBorders>
            <w:shd w:val="clear" w:color="auto" w:fill="auto"/>
            <w:noWrap/>
            <w:vAlign w:val="bottom"/>
            <w:hideMark/>
          </w:tcPr>
          <w:p w14:paraId="190FD2B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-12  18 -18</w:t>
            </w:r>
          </w:p>
        </w:tc>
        <w:tc>
          <w:tcPr>
            <w:tcW w:w="960" w:type="dxa"/>
            <w:tcBorders>
              <w:top w:val="nil"/>
              <w:left w:val="nil"/>
              <w:bottom w:val="nil"/>
              <w:right w:val="nil"/>
            </w:tcBorders>
            <w:shd w:val="clear" w:color="auto" w:fill="auto"/>
            <w:noWrap/>
            <w:vAlign w:val="bottom"/>
            <w:hideMark/>
          </w:tcPr>
          <w:p w14:paraId="0F137DD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-4.41</w:t>
            </w:r>
          </w:p>
        </w:tc>
        <w:tc>
          <w:tcPr>
            <w:tcW w:w="960" w:type="dxa"/>
            <w:tcBorders>
              <w:top w:val="nil"/>
              <w:left w:val="nil"/>
              <w:bottom w:val="nil"/>
              <w:right w:val="nil"/>
            </w:tcBorders>
            <w:shd w:val="clear" w:color="auto" w:fill="auto"/>
            <w:noWrap/>
            <w:vAlign w:val="bottom"/>
            <w:hideMark/>
          </w:tcPr>
          <w:p w14:paraId="79CE6B6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0.0142</w:t>
            </w:r>
          </w:p>
        </w:tc>
      </w:tr>
      <w:tr w:rsidR="00FB337C" w:rsidRPr="00E5257C" w14:paraId="2B008BF4" w14:textId="77777777" w:rsidTr="00592BA1">
        <w:trPr>
          <w:trHeight w:val="300"/>
        </w:trPr>
        <w:tc>
          <w:tcPr>
            <w:tcW w:w="1507" w:type="dxa"/>
            <w:tcBorders>
              <w:top w:val="nil"/>
              <w:left w:val="nil"/>
              <w:bottom w:val="nil"/>
              <w:right w:val="nil"/>
            </w:tcBorders>
            <w:shd w:val="clear" w:color="auto" w:fill="auto"/>
            <w:noWrap/>
            <w:vAlign w:val="bottom"/>
            <w:hideMark/>
          </w:tcPr>
          <w:p w14:paraId="0743BB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C741351"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C15EEA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072646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Amygdala_L</w:t>
            </w:r>
          </w:p>
        </w:tc>
        <w:tc>
          <w:tcPr>
            <w:tcW w:w="1580" w:type="dxa"/>
            <w:tcBorders>
              <w:top w:val="nil"/>
              <w:left w:val="nil"/>
              <w:bottom w:val="nil"/>
              <w:right w:val="nil"/>
            </w:tcBorders>
            <w:shd w:val="clear" w:color="auto" w:fill="auto"/>
            <w:noWrap/>
            <w:vAlign w:val="bottom"/>
            <w:hideMark/>
          </w:tcPr>
          <w:p w14:paraId="0F82791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0 -12</w:t>
            </w:r>
          </w:p>
        </w:tc>
        <w:tc>
          <w:tcPr>
            <w:tcW w:w="960" w:type="dxa"/>
            <w:tcBorders>
              <w:top w:val="nil"/>
              <w:left w:val="nil"/>
              <w:bottom w:val="nil"/>
              <w:right w:val="nil"/>
            </w:tcBorders>
            <w:shd w:val="clear" w:color="auto" w:fill="auto"/>
            <w:noWrap/>
            <w:vAlign w:val="bottom"/>
            <w:hideMark/>
          </w:tcPr>
          <w:p w14:paraId="1B6B5D1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-4.40</w:t>
            </w:r>
          </w:p>
        </w:tc>
        <w:tc>
          <w:tcPr>
            <w:tcW w:w="960" w:type="dxa"/>
            <w:tcBorders>
              <w:top w:val="nil"/>
              <w:left w:val="nil"/>
              <w:bottom w:val="nil"/>
              <w:right w:val="nil"/>
            </w:tcBorders>
            <w:shd w:val="clear" w:color="auto" w:fill="auto"/>
            <w:noWrap/>
            <w:vAlign w:val="bottom"/>
            <w:hideMark/>
          </w:tcPr>
          <w:p w14:paraId="00DFF68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0.0142</w:t>
            </w:r>
          </w:p>
        </w:tc>
      </w:tr>
      <w:tr w:rsidR="00FB337C" w:rsidRPr="00E5257C" w14:paraId="243280D0" w14:textId="77777777" w:rsidTr="00592BA1">
        <w:trPr>
          <w:trHeight w:val="300"/>
        </w:trPr>
        <w:tc>
          <w:tcPr>
            <w:tcW w:w="1507" w:type="dxa"/>
            <w:tcBorders>
              <w:top w:val="nil"/>
              <w:left w:val="nil"/>
              <w:bottom w:val="nil"/>
              <w:right w:val="nil"/>
            </w:tcBorders>
            <w:shd w:val="clear" w:color="auto" w:fill="auto"/>
            <w:noWrap/>
            <w:vAlign w:val="bottom"/>
            <w:hideMark/>
          </w:tcPr>
          <w:p w14:paraId="4F05E85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0AFD2C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436B5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1D51E1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Olfactory_R</w:t>
            </w:r>
          </w:p>
        </w:tc>
        <w:tc>
          <w:tcPr>
            <w:tcW w:w="1580" w:type="dxa"/>
            <w:tcBorders>
              <w:top w:val="nil"/>
              <w:left w:val="nil"/>
              <w:bottom w:val="nil"/>
              <w:right w:val="nil"/>
            </w:tcBorders>
            <w:shd w:val="clear" w:color="auto" w:fill="auto"/>
            <w:noWrap/>
            <w:vAlign w:val="bottom"/>
            <w:hideMark/>
          </w:tcPr>
          <w:p w14:paraId="07F116A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12 -18</w:t>
            </w:r>
          </w:p>
        </w:tc>
        <w:tc>
          <w:tcPr>
            <w:tcW w:w="960" w:type="dxa"/>
            <w:tcBorders>
              <w:top w:val="nil"/>
              <w:left w:val="nil"/>
              <w:bottom w:val="nil"/>
              <w:right w:val="nil"/>
            </w:tcBorders>
            <w:shd w:val="clear" w:color="auto" w:fill="auto"/>
            <w:noWrap/>
            <w:vAlign w:val="bottom"/>
            <w:hideMark/>
          </w:tcPr>
          <w:p w14:paraId="46FECF8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-4.39</w:t>
            </w:r>
          </w:p>
        </w:tc>
        <w:tc>
          <w:tcPr>
            <w:tcW w:w="960" w:type="dxa"/>
            <w:tcBorders>
              <w:top w:val="nil"/>
              <w:left w:val="nil"/>
              <w:bottom w:val="nil"/>
              <w:right w:val="nil"/>
            </w:tcBorders>
            <w:shd w:val="clear" w:color="auto" w:fill="auto"/>
            <w:noWrap/>
            <w:vAlign w:val="bottom"/>
            <w:hideMark/>
          </w:tcPr>
          <w:p w14:paraId="386C0CC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0.0148</w:t>
            </w:r>
          </w:p>
        </w:tc>
      </w:tr>
      <w:tr w:rsidR="00FB337C" w:rsidRPr="00E5257C" w14:paraId="56C0BB21" w14:textId="77777777" w:rsidTr="00592BA1">
        <w:trPr>
          <w:trHeight w:val="300"/>
        </w:trPr>
        <w:tc>
          <w:tcPr>
            <w:tcW w:w="1507" w:type="dxa"/>
            <w:tcBorders>
              <w:top w:val="nil"/>
              <w:left w:val="nil"/>
              <w:bottom w:val="nil"/>
              <w:right w:val="nil"/>
            </w:tcBorders>
            <w:shd w:val="clear" w:color="auto" w:fill="auto"/>
            <w:noWrap/>
            <w:vAlign w:val="bottom"/>
            <w:hideMark/>
          </w:tcPr>
          <w:p w14:paraId="40847B9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5860308"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12F261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8D4440D"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Temporal_Mid_R</w:t>
            </w:r>
          </w:p>
        </w:tc>
        <w:tc>
          <w:tcPr>
            <w:tcW w:w="1580" w:type="dxa"/>
            <w:tcBorders>
              <w:top w:val="nil"/>
              <w:left w:val="nil"/>
              <w:bottom w:val="nil"/>
              <w:right w:val="nil"/>
            </w:tcBorders>
            <w:shd w:val="clear" w:color="auto" w:fill="auto"/>
            <w:noWrap/>
            <w:vAlign w:val="bottom"/>
            <w:hideMark/>
          </w:tcPr>
          <w:p w14:paraId="4243738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6 -30</w:t>
            </w:r>
          </w:p>
        </w:tc>
        <w:tc>
          <w:tcPr>
            <w:tcW w:w="960" w:type="dxa"/>
            <w:tcBorders>
              <w:top w:val="nil"/>
              <w:left w:val="nil"/>
              <w:bottom w:val="nil"/>
              <w:right w:val="nil"/>
            </w:tcBorders>
            <w:shd w:val="clear" w:color="auto" w:fill="auto"/>
            <w:noWrap/>
            <w:vAlign w:val="bottom"/>
            <w:hideMark/>
          </w:tcPr>
          <w:p w14:paraId="30B3BC7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-4.39</w:t>
            </w:r>
          </w:p>
        </w:tc>
        <w:tc>
          <w:tcPr>
            <w:tcW w:w="960" w:type="dxa"/>
            <w:tcBorders>
              <w:top w:val="nil"/>
              <w:left w:val="nil"/>
              <w:bottom w:val="nil"/>
              <w:right w:val="nil"/>
            </w:tcBorders>
            <w:shd w:val="clear" w:color="auto" w:fill="auto"/>
            <w:noWrap/>
            <w:vAlign w:val="bottom"/>
            <w:hideMark/>
          </w:tcPr>
          <w:p w14:paraId="7A52D4F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0.0148</w:t>
            </w:r>
          </w:p>
        </w:tc>
      </w:tr>
      <w:tr w:rsidR="00FB337C" w:rsidRPr="00E5257C" w14:paraId="07AB16B3" w14:textId="77777777" w:rsidTr="00592BA1">
        <w:trPr>
          <w:trHeight w:val="300"/>
        </w:trPr>
        <w:tc>
          <w:tcPr>
            <w:tcW w:w="1507" w:type="dxa"/>
            <w:tcBorders>
              <w:top w:val="nil"/>
              <w:left w:val="nil"/>
              <w:bottom w:val="nil"/>
              <w:right w:val="nil"/>
            </w:tcBorders>
            <w:shd w:val="clear" w:color="auto" w:fill="auto"/>
            <w:noWrap/>
            <w:vAlign w:val="bottom"/>
            <w:hideMark/>
          </w:tcPr>
          <w:p w14:paraId="3AD7D23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4A80057"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C21CF3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817410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Heschl_R</w:t>
            </w:r>
          </w:p>
        </w:tc>
        <w:tc>
          <w:tcPr>
            <w:tcW w:w="1580" w:type="dxa"/>
            <w:tcBorders>
              <w:top w:val="nil"/>
              <w:left w:val="nil"/>
              <w:bottom w:val="nil"/>
              <w:right w:val="nil"/>
            </w:tcBorders>
            <w:shd w:val="clear" w:color="auto" w:fill="auto"/>
            <w:noWrap/>
            <w:vAlign w:val="bottom"/>
            <w:hideMark/>
          </w:tcPr>
          <w:p w14:paraId="2F259CE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42 -24  12</w:t>
            </w:r>
          </w:p>
        </w:tc>
        <w:tc>
          <w:tcPr>
            <w:tcW w:w="960" w:type="dxa"/>
            <w:tcBorders>
              <w:top w:val="nil"/>
              <w:left w:val="nil"/>
              <w:bottom w:val="nil"/>
              <w:right w:val="nil"/>
            </w:tcBorders>
            <w:shd w:val="clear" w:color="auto" w:fill="auto"/>
            <w:noWrap/>
            <w:vAlign w:val="bottom"/>
            <w:hideMark/>
          </w:tcPr>
          <w:p w14:paraId="5101262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-4.38</w:t>
            </w:r>
          </w:p>
        </w:tc>
        <w:tc>
          <w:tcPr>
            <w:tcW w:w="960" w:type="dxa"/>
            <w:tcBorders>
              <w:top w:val="nil"/>
              <w:left w:val="nil"/>
              <w:bottom w:val="nil"/>
              <w:right w:val="nil"/>
            </w:tcBorders>
            <w:shd w:val="clear" w:color="auto" w:fill="auto"/>
            <w:noWrap/>
            <w:vAlign w:val="bottom"/>
            <w:hideMark/>
          </w:tcPr>
          <w:p w14:paraId="3421970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0.0150</w:t>
            </w:r>
          </w:p>
        </w:tc>
      </w:tr>
      <w:tr w:rsidR="00FB337C" w:rsidRPr="00E5257C" w14:paraId="7AA73B9A" w14:textId="77777777" w:rsidTr="00592BA1">
        <w:trPr>
          <w:trHeight w:val="300"/>
        </w:trPr>
        <w:tc>
          <w:tcPr>
            <w:tcW w:w="1507" w:type="dxa"/>
            <w:tcBorders>
              <w:top w:val="nil"/>
              <w:left w:val="nil"/>
              <w:bottom w:val="nil"/>
              <w:right w:val="nil"/>
            </w:tcBorders>
            <w:shd w:val="clear" w:color="auto" w:fill="auto"/>
            <w:noWrap/>
            <w:vAlign w:val="bottom"/>
            <w:hideMark/>
          </w:tcPr>
          <w:p w14:paraId="499284E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50079E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E50E49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05F2B2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Amygdala_R</w:t>
            </w:r>
          </w:p>
        </w:tc>
        <w:tc>
          <w:tcPr>
            <w:tcW w:w="1580" w:type="dxa"/>
            <w:tcBorders>
              <w:top w:val="nil"/>
              <w:left w:val="nil"/>
              <w:bottom w:val="nil"/>
              <w:right w:val="nil"/>
            </w:tcBorders>
            <w:shd w:val="clear" w:color="auto" w:fill="auto"/>
            <w:noWrap/>
            <w:vAlign w:val="bottom"/>
            <w:hideMark/>
          </w:tcPr>
          <w:p w14:paraId="2E0697D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6 -18</w:t>
            </w:r>
          </w:p>
        </w:tc>
        <w:tc>
          <w:tcPr>
            <w:tcW w:w="960" w:type="dxa"/>
            <w:tcBorders>
              <w:top w:val="nil"/>
              <w:left w:val="nil"/>
              <w:bottom w:val="nil"/>
              <w:right w:val="nil"/>
            </w:tcBorders>
            <w:shd w:val="clear" w:color="auto" w:fill="auto"/>
            <w:noWrap/>
            <w:vAlign w:val="bottom"/>
            <w:hideMark/>
          </w:tcPr>
          <w:p w14:paraId="4DFCAAF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-4.36</w:t>
            </w:r>
          </w:p>
        </w:tc>
        <w:tc>
          <w:tcPr>
            <w:tcW w:w="960" w:type="dxa"/>
            <w:tcBorders>
              <w:top w:val="nil"/>
              <w:left w:val="nil"/>
              <w:bottom w:val="nil"/>
              <w:right w:val="nil"/>
            </w:tcBorders>
            <w:shd w:val="clear" w:color="auto" w:fill="auto"/>
            <w:noWrap/>
            <w:vAlign w:val="bottom"/>
            <w:hideMark/>
          </w:tcPr>
          <w:p w14:paraId="7137899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0.0154</w:t>
            </w:r>
          </w:p>
        </w:tc>
      </w:tr>
      <w:tr w:rsidR="00FB337C" w:rsidRPr="00E5257C" w14:paraId="0BC597A8" w14:textId="77777777" w:rsidTr="00592BA1">
        <w:trPr>
          <w:trHeight w:val="300"/>
        </w:trPr>
        <w:tc>
          <w:tcPr>
            <w:tcW w:w="1507" w:type="dxa"/>
            <w:tcBorders>
              <w:top w:val="nil"/>
              <w:left w:val="nil"/>
              <w:bottom w:val="nil"/>
              <w:right w:val="nil"/>
            </w:tcBorders>
            <w:shd w:val="clear" w:color="auto" w:fill="auto"/>
            <w:noWrap/>
            <w:vAlign w:val="bottom"/>
            <w:hideMark/>
          </w:tcPr>
          <w:p w14:paraId="7CA66E9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7EE7DF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3641D9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2D0ED8C"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Pallidum_L</w:t>
            </w:r>
          </w:p>
        </w:tc>
        <w:tc>
          <w:tcPr>
            <w:tcW w:w="1580" w:type="dxa"/>
            <w:tcBorders>
              <w:top w:val="nil"/>
              <w:left w:val="nil"/>
              <w:bottom w:val="nil"/>
              <w:right w:val="nil"/>
            </w:tcBorders>
            <w:shd w:val="clear" w:color="auto" w:fill="auto"/>
            <w:noWrap/>
            <w:vAlign w:val="bottom"/>
            <w:hideMark/>
          </w:tcPr>
          <w:p w14:paraId="4435E1B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-18   6   0</w:t>
            </w:r>
          </w:p>
        </w:tc>
        <w:tc>
          <w:tcPr>
            <w:tcW w:w="960" w:type="dxa"/>
            <w:tcBorders>
              <w:top w:val="nil"/>
              <w:left w:val="nil"/>
              <w:bottom w:val="nil"/>
              <w:right w:val="nil"/>
            </w:tcBorders>
            <w:shd w:val="clear" w:color="auto" w:fill="auto"/>
            <w:noWrap/>
            <w:vAlign w:val="bottom"/>
            <w:hideMark/>
          </w:tcPr>
          <w:p w14:paraId="6220D26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-4.36</w:t>
            </w:r>
          </w:p>
        </w:tc>
        <w:tc>
          <w:tcPr>
            <w:tcW w:w="960" w:type="dxa"/>
            <w:tcBorders>
              <w:top w:val="nil"/>
              <w:left w:val="nil"/>
              <w:bottom w:val="nil"/>
              <w:right w:val="nil"/>
            </w:tcBorders>
            <w:shd w:val="clear" w:color="auto" w:fill="auto"/>
            <w:noWrap/>
            <w:vAlign w:val="bottom"/>
            <w:hideMark/>
          </w:tcPr>
          <w:p w14:paraId="203426E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0.0152</w:t>
            </w:r>
          </w:p>
        </w:tc>
      </w:tr>
      <w:tr w:rsidR="00FB337C" w:rsidRPr="00E5257C" w14:paraId="0B0A748A" w14:textId="77777777" w:rsidTr="00592BA1">
        <w:trPr>
          <w:trHeight w:val="300"/>
        </w:trPr>
        <w:tc>
          <w:tcPr>
            <w:tcW w:w="1507" w:type="dxa"/>
            <w:tcBorders>
              <w:top w:val="nil"/>
              <w:left w:val="nil"/>
              <w:bottom w:val="nil"/>
              <w:right w:val="nil"/>
            </w:tcBorders>
            <w:shd w:val="clear" w:color="auto" w:fill="auto"/>
            <w:noWrap/>
            <w:vAlign w:val="bottom"/>
            <w:hideMark/>
          </w:tcPr>
          <w:p w14:paraId="3657C7C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098A6B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B3F960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16AD66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Frontal_Mid_Orb_R</w:t>
            </w:r>
          </w:p>
        </w:tc>
        <w:tc>
          <w:tcPr>
            <w:tcW w:w="1580" w:type="dxa"/>
            <w:tcBorders>
              <w:top w:val="nil"/>
              <w:left w:val="nil"/>
              <w:bottom w:val="nil"/>
              <w:right w:val="nil"/>
            </w:tcBorders>
            <w:shd w:val="clear" w:color="auto" w:fill="auto"/>
            <w:noWrap/>
            <w:vAlign w:val="bottom"/>
            <w:hideMark/>
          </w:tcPr>
          <w:p w14:paraId="6AAFAA5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48  -6</w:t>
            </w:r>
          </w:p>
        </w:tc>
        <w:tc>
          <w:tcPr>
            <w:tcW w:w="960" w:type="dxa"/>
            <w:tcBorders>
              <w:top w:val="nil"/>
              <w:left w:val="nil"/>
              <w:bottom w:val="nil"/>
              <w:right w:val="nil"/>
            </w:tcBorders>
            <w:shd w:val="clear" w:color="auto" w:fill="auto"/>
            <w:noWrap/>
            <w:vAlign w:val="bottom"/>
            <w:hideMark/>
          </w:tcPr>
          <w:p w14:paraId="7026E10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-4.35</w:t>
            </w:r>
          </w:p>
        </w:tc>
        <w:tc>
          <w:tcPr>
            <w:tcW w:w="960" w:type="dxa"/>
            <w:tcBorders>
              <w:top w:val="nil"/>
              <w:left w:val="nil"/>
              <w:bottom w:val="nil"/>
              <w:right w:val="nil"/>
            </w:tcBorders>
            <w:shd w:val="clear" w:color="auto" w:fill="auto"/>
            <w:noWrap/>
            <w:vAlign w:val="bottom"/>
            <w:hideMark/>
          </w:tcPr>
          <w:p w14:paraId="1E93114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0.0156</w:t>
            </w:r>
          </w:p>
        </w:tc>
      </w:tr>
      <w:tr w:rsidR="00FB337C" w:rsidRPr="00E5257C" w14:paraId="1A0AAA47" w14:textId="77777777" w:rsidTr="00592BA1">
        <w:trPr>
          <w:trHeight w:val="300"/>
        </w:trPr>
        <w:tc>
          <w:tcPr>
            <w:tcW w:w="1507" w:type="dxa"/>
            <w:tcBorders>
              <w:top w:val="nil"/>
              <w:left w:val="nil"/>
              <w:bottom w:val="nil"/>
              <w:right w:val="nil"/>
            </w:tcBorders>
            <w:shd w:val="clear" w:color="auto" w:fill="auto"/>
            <w:noWrap/>
            <w:vAlign w:val="bottom"/>
            <w:hideMark/>
          </w:tcPr>
          <w:p w14:paraId="2B2577E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7757B02"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0FCEE5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251628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Temporal_Sup_L</w:t>
            </w:r>
          </w:p>
        </w:tc>
        <w:tc>
          <w:tcPr>
            <w:tcW w:w="1580" w:type="dxa"/>
            <w:tcBorders>
              <w:top w:val="nil"/>
              <w:left w:val="nil"/>
              <w:bottom w:val="nil"/>
              <w:right w:val="nil"/>
            </w:tcBorders>
            <w:shd w:val="clear" w:color="auto" w:fill="auto"/>
            <w:noWrap/>
            <w:vAlign w:val="bottom"/>
            <w:hideMark/>
          </w:tcPr>
          <w:p w14:paraId="573E328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6  -6</w:t>
            </w:r>
          </w:p>
        </w:tc>
        <w:tc>
          <w:tcPr>
            <w:tcW w:w="960" w:type="dxa"/>
            <w:tcBorders>
              <w:top w:val="nil"/>
              <w:left w:val="nil"/>
              <w:bottom w:val="nil"/>
              <w:right w:val="nil"/>
            </w:tcBorders>
            <w:shd w:val="clear" w:color="auto" w:fill="auto"/>
            <w:noWrap/>
            <w:vAlign w:val="bottom"/>
            <w:hideMark/>
          </w:tcPr>
          <w:p w14:paraId="0825628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-4.31</w:t>
            </w:r>
          </w:p>
        </w:tc>
        <w:tc>
          <w:tcPr>
            <w:tcW w:w="960" w:type="dxa"/>
            <w:tcBorders>
              <w:top w:val="nil"/>
              <w:left w:val="nil"/>
              <w:bottom w:val="nil"/>
              <w:right w:val="nil"/>
            </w:tcBorders>
            <w:shd w:val="clear" w:color="auto" w:fill="auto"/>
            <w:noWrap/>
            <w:vAlign w:val="bottom"/>
            <w:hideMark/>
          </w:tcPr>
          <w:p w14:paraId="1D42783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0.0158</w:t>
            </w:r>
          </w:p>
        </w:tc>
      </w:tr>
      <w:tr w:rsidR="00FB337C" w:rsidRPr="00E5257C" w14:paraId="59906AA9" w14:textId="77777777" w:rsidTr="00592BA1">
        <w:trPr>
          <w:trHeight w:val="300"/>
        </w:trPr>
        <w:tc>
          <w:tcPr>
            <w:tcW w:w="1507" w:type="dxa"/>
            <w:tcBorders>
              <w:top w:val="nil"/>
              <w:left w:val="nil"/>
              <w:bottom w:val="nil"/>
              <w:right w:val="nil"/>
            </w:tcBorders>
            <w:shd w:val="clear" w:color="auto" w:fill="auto"/>
            <w:noWrap/>
            <w:vAlign w:val="bottom"/>
            <w:hideMark/>
          </w:tcPr>
          <w:p w14:paraId="2633268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35A06DA"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FC58BB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88D15D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Pallidum_R</w:t>
            </w:r>
          </w:p>
        </w:tc>
        <w:tc>
          <w:tcPr>
            <w:tcW w:w="1580" w:type="dxa"/>
            <w:tcBorders>
              <w:top w:val="nil"/>
              <w:left w:val="nil"/>
              <w:bottom w:val="nil"/>
              <w:right w:val="nil"/>
            </w:tcBorders>
            <w:shd w:val="clear" w:color="auto" w:fill="auto"/>
            <w:noWrap/>
            <w:vAlign w:val="bottom"/>
            <w:hideMark/>
          </w:tcPr>
          <w:p w14:paraId="378B9B6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24   0   0</w:t>
            </w:r>
          </w:p>
        </w:tc>
        <w:tc>
          <w:tcPr>
            <w:tcW w:w="960" w:type="dxa"/>
            <w:tcBorders>
              <w:top w:val="nil"/>
              <w:left w:val="nil"/>
              <w:bottom w:val="nil"/>
              <w:right w:val="nil"/>
            </w:tcBorders>
            <w:shd w:val="clear" w:color="auto" w:fill="auto"/>
            <w:noWrap/>
            <w:vAlign w:val="bottom"/>
            <w:hideMark/>
          </w:tcPr>
          <w:p w14:paraId="01D6283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-4.27</w:t>
            </w:r>
          </w:p>
        </w:tc>
        <w:tc>
          <w:tcPr>
            <w:tcW w:w="960" w:type="dxa"/>
            <w:tcBorders>
              <w:top w:val="nil"/>
              <w:left w:val="nil"/>
              <w:bottom w:val="nil"/>
              <w:right w:val="nil"/>
            </w:tcBorders>
            <w:shd w:val="clear" w:color="auto" w:fill="auto"/>
            <w:noWrap/>
            <w:vAlign w:val="bottom"/>
            <w:hideMark/>
          </w:tcPr>
          <w:p w14:paraId="0FD0D53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0.0164</w:t>
            </w:r>
          </w:p>
        </w:tc>
      </w:tr>
      <w:tr w:rsidR="00FB337C" w:rsidRPr="00E5257C" w14:paraId="1E10A81A" w14:textId="77777777" w:rsidTr="00592BA1">
        <w:trPr>
          <w:trHeight w:val="300"/>
        </w:trPr>
        <w:tc>
          <w:tcPr>
            <w:tcW w:w="1507" w:type="dxa"/>
            <w:tcBorders>
              <w:top w:val="nil"/>
              <w:left w:val="nil"/>
              <w:bottom w:val="nil"/>
              <w:right w:val="nil"/>
            </w:tcBorders>
            <w:shd w:val="clear" w:color="auto" w:fill="auto"/>
            <w:noWrap/>
            <w:vAlign w:val="bottom"/>
            <w:hideMark/>
          </w:tcPr>
          <w:p w14:paraId="1458B16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99ABEB8"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0936DD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22E89DA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Frontal_Sup_Orb_R</w:t>
            </w:r>
          </w:p>
        </w:tc>
        <w:tc>
          <w:tcPr>
            <w:tcW w:w="1580" w:type="dxa"/>
            <w:tcBorders>
              <w:top w:val="nil"/>
              <w:left w:val="nil"/>
              <w:bottom w:val="nil"/>
              <w:right w:val="nil"/>
            </w:tcBorders>
            <w:shd w:val="clear" w:color="auto" w:fill="auto"/>
            <w:noWrap/>
            <w:vAlign w:val="bottom"/>
            <w:hideMark/>
          </w:tcPr>
          <w:p w14:paraId="50F4E86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30 -24</w:t>
            </w:r>
          </w:p>
        </w:tc>
        <w:tc>
          <w:tcPr>
            <w:tcW w:w="960" w:type="dxa"/>
            <w:tcBorders>
              <w:top w:val="nil"/>
              <w:left w:val="nil"/>
              <w:bottom w:val="nil"/>
              <w:right w:val="nil"/>
            </w:tcBorders>
            <w:shd w:val="clear" w:color="auto" w:fill="auto"/>
            <w:noWrap/>
            <w:vAlign w:val="bottom"/>
            <w:hideMark/>
          </w:tcPr>
          <w:p w14:paraId="5E83D3D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-4.23</w:t>
            </w:r>
          </w:p>
        </w:tc>
        <w:tc>
          <w:tcPr>
            <w:tcW w:w="960" w:type="dxa"/>
            <w:tcBorders>
              <w:top w:val="nil"/>
              <w:left w:val="nil"/>
              <w:bottom w:val="nil"/>
              <w:right w:val="nil"/>
            </w:tcBorders>
            <w:shd w:val="clear" w:color="auto" w:fill="auto"/>
            <w:noWrap/>
            <w:vAlign w:val="bottom"/>
            <w:hideMark/>
          </w:tcPr>
          <w:p w14:paraId="0262A99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0.0178</w:t>
            </w:r>
          </w:p>
        </w:tc>
      </w:tr>
      <w:tr w:rsidR="00FB337C" w:rsidRPr="00E5257C" w14:paraId="078A6BCC" w14:textId="77777777" w:rsidTr="00592BA1">
        <w:trPr>
          <w:trHeight w:val="300"/>
        </w:trPr>
        <w:tc>
          <w:tcPr>
            <w:tcW w:w="1507" w:type="dxa"/>
            <w:tcBorders>
              <w:top w:val="nil"/>
              <w:left w:val="nil"/>
              <w:bottom w:val="nil"/>
              <w:right w:val="nil"/>
            </w:tcBorders>
            <w:shd w:val="clear" w:color="auto" w:fill="auto"/>
            <w:noWrap/>
            <w:vAlign w:val="bottom"/>
            <w:hideMark/>
          </w:tcPr>
          <w:p w14:paraId="000DA14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5F1C5C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73CABE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7D9C5B4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Thalamus_R</w:t>
            </w:r>
          </w:p>
        </w:tc>
        <w:tc>
          <w:tcPr>
            <w:tcW w:w="1580" w:type="dxa"/>
            <w:tcBorders>
              <w:top w:val="nil"/>
              <w:left w:val="nil"/>
              <w:bottom w:val="nil"/>
              <w:right w:val="nil"/>
            </w:tcBorders>
            <w:shd w:val="clear" w:color="auto" w:fill="auto"/>
            <w:noWrap/>
            <w:vAlign w:val="bottom"/>
            <w:hideMark/>
          </w:tcPr>
          <w:p w14:paraId="72672EED"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12 -12  18</w:t>
            </w:r>
          </w:p>
        </w:tc>
        <w:tc>
          <w:tcPr>
            <w:tcW w:w="960" w:type="dxa"/>
            <w:tcBorders>
              <w:top w:val="nil"/>
              <w:left w:val="nil"/>
              <w:bottom w:val="nil"/>
              <w:right w:val="nil"/>
            </w:tcBorders>
            <w:shd w:val="clear" w:color="auto" w:fill="auto"/>
            <w:noWrap/>
            <w:vAlign w:val="bottom"/>
            <w:hideMark/>
          </w:tcPr>
          <w:p w14:paraId="7B801C7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-4.21</w:t>
            </w:r>
          </w:p>
        </w:tc>
        <w:tc>
          <w:tcPr>
            <w:tcW w:w="960" w:type="dxa"/>
            <w:tcBorders>
              <w:top w:val="nil"/>
              <w:left w:val="nil"/>
              <w:bottom w:val="nil"/>
              <w:right w:val="nil"/>
            </w:tcBorders>
            <w:shd w:val="clear" w:color="auto" w:fill="auto"/>
            <w:noWrap/>
            <w:vAlign w:val="bottom"/>
            <w:hideMark/>
          </w:tcPr>
          <w:p w14:paraId="7CD1613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0.0178</w:t>
            </w:r>
          </w:p>
        </w:tc>
      </w:tr>
      <w:tr w:rsidR="00FB337C" w:rsidRPr="00E5257C" w14:paraId="0056EA95" w14:textId="77777777" w:rsidTr="00592BA1">
        <w:trPr>
          <w:trHeight w:val="300"/>
        </w:trPr>
        <w:tc>
          <w:tcPr>
            <w:tcW w:w="1507" w:type="dxa"/>
            <w:tcBorders>
              <w:top w:val="nil"/>
              <w:left w:val="nil"/>
              <w:bottom w:val="nil"/>
              <w:right w:val="nil"/>
            </w:tcBorders>
            <w:shd w:val="clear" w:color="auto" w:fill="auto"/>
            <w:noWrap/>
            <w:vAlign w:val="bottom"/>
            <w:hideMark/>
          </w:tcPr>
          <w:p w14:paraId="6456203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571FA7AA"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47006F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08C8F6C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SupraMarginal_R</w:t>
            </w:r>
          </w:p>
        </w:tc>
        <w:tc>
          <w:tcPr>
            <w:tcW w:w="1580" w:type="dxa"/>
            <w:tcBorders>
              <w:top w:val="nil"/>
              <w:left w:val="nil"/>
              <w:bottom w:val="nil"/>
              <w:right w:val="nil"/>
            </w:tcBorders>
            <w:shd w:val="clear" w:color="auto" w:fill="auto"/>
            <w:noWrap/>
            <w:vAlign w:val="bottom"/>
            <w:hideMark/>
          </w:tcPr>
          <w:p w14:paraId="20AFBBE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60 -42  24</w:t>
            </w:r>
          </w:p>
        </w:tc>
        <w:tc>
          <w:tcPr>
            <w:tcW w:w="960" w:type="dxa"/>
            <w:tcBorders>
              <w:top w:val="nil"/>
              <w:left w:val="nil"/>
              <w:bottom w:val="nil"/>
              <w:right w:val="nil"/>
            </w:tcBorders>
            <w:shd w:val="clear" w:color="auto" w:fill="auto"/>
            <w:noWrap/>
            <w:vAlign w:val="bottom"/>
            <w:hideMark/>
          </w:tcPr>
          <w:p w14:paraId="10C8930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-4.14</w:t>
            </w:r>
          </w:p>
        </w:tc>
        <w:tc>
          <w:tcPr>
            <w:tcW w:w="960" w:type="dxa"/>
            <w:tcBorders>
              <w:top w:val="nil"/>
              <w:left w:val="nil"/>
              <w:bottom w:val="nil"/>
              <w:right w:val="nil"/>
            </w:tcBorders>
            <w:shd w:val="clear" w:color="auto" w:fill="auto"/>
            <w:noWrap/>
            <w:vAlign w:val="bottom"/>
            <w:hideMark/>
          </w:tcPr>
          <w:p w14:paraId="79BDC5B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0.0188</w:t>
            </w:r>
          </w:p>
        </w:tc>
      </w:tr>
      <w:tr w:rsidR="00FB337C" w:rsidRPr="00E5257C" w14:paraId="75CC5612" w14:textId="77777777" w:rsidTr="00592BA1">
        <w:trPr>
          <w:trHeight w:val="300"/>
        </w:trPr>
        <w:tc>
          <w:tcPr>
            <w:tcW w:w="1507" w:type="dxa"/>
            <w:tcBorders>
              <w:top w:val="nil"/>
              <w:left w:val="nil"/>
              <w:bottom w:val="nil"/>
              <w:right w:val="nil"/>
            </w:tcBorders>
            <w:shd w:val="clear" w:color="auto" w:fill="auto"/>
            <w:noWrap/>
            <w:vAlign w:val="bottom"/>
            <w:hideMark/>
          </w:tcPr>
          <w:p w14:paraId="2171F53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BD97429"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04A12B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4BC33A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Paracentral_Lobule_R</w:t>
            </w:r>
          </w:p>
        </w:tc>
        <w:tc>
          <w:tcPr>
            <w:tcW w:w="1580" w:type="dxa"/>
            <w:tcBorders>
              <w:top w:val="nil"/>
              <w:left w:val="nil"/>
              <w:bottom w:val="nil"/>
              <w:right w:val="nil"/>
            </w:tcBorders>
            <w:shd w:val="clear" w:color="auto" w:fill="auto"/>
            <w:noWrap/>
            <w:vAlign w:val="bottom"/>
            <w:hideMark/>
          </w:tcPr>
          <w:p w14:paraId="031619E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6 -42  78</w:t>
            </w:r>
          </w:p>
        </w:tc>
        <w:tc>
          <w:tcPr>
            <w:tcW w:w="960" w:type="dxa"/>
            <w:tcBorders>
              <w:top w:val="nil"/>
              <w:left w:val="nil"/>
              <w:bottom w:val="nil"/>
              <w:right w:val="nil"/>
            </w:tcBorders>
            <w:shd w:val="clear" w:color="auto" w:fill="auto"/>
            <w:noWrap/>
            <w:vAlign w:val="bottom"/>
            <w:hideMark/>
          </w:tcPr>
          <w:p w14:paraId="01EBBDE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-4.14</w:t>
            </w:r>
          </w:p>
        </w:tc>
        <w:tc>
          <w:tcPr>
            <w:tcW w:w="960" w:type="dxa"/>
            <w:tcBorders>
              <w:top w:val="nil"/>
              <w:left w:val="nil"/>
              <w:bottom w:val="nil"/>
              <w:right w:val="nil"/>
            </w:tcBorders>
            <w:shd w:val="clear" w:color="auto" w:fill="auto"/>
            <w:noWrap/>
            <w:vAlign w:val="bottom"/>
            <w:hideMark/>
          </w:tcPr>
          <w:p w14:paraId="4BE0453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0.0188</w:t>
            </w:r>
          </w:p>
        </w:tc>
      </w:tr>
      <w:tr w:rsidR="00FB337C" w:rsidRPr="00E5257C" w14:paraId="5BC55FCD" w14:textId="77777777" w:rsidTr="00592BA1">
        <w:trPr>
          <w:trHeight w:val="300"/>
        </w:trPr>
        <w:tc>
          <w:tcPr>
            <w:tcW w:w="1507" w:type="dxa"/>
            <w:tcBorders>
              <w:top w:val="nil"/>
              <w:left w:val="nil"/>
              <w:bottom w:val="nil"/>
              <w:right w:val="nil"/>
            </w:tcBorders>
            <w:shd w:val="clear" w:color="auto" w:fill="auto"/>
            <w:noWrap/>
            <w:vAlign w:val="bottom"/>
            <w:hideMark/>
          </w:tcPr>
          <w:p w14:paraId="3B0ED5D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32E892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B4F594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E21E68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Rectus_R</w:t>
            </w:r>
          </w:p>
        </w:tc>
        <w:tc>
          <w:tcPr>
            <w:tcW w:w="1580" w:type="dxa"/>
            <w:tcBorders>
              <w:top w:val="nil"/>
              <w:left w:val="nil"/>
              <w:bottom w:val="nil"/>
              <w:right w:val="nil"/>
            </w:tcBorders>
            <w:shd w:val="clear" w:color="auto" w:fill="auto"/>
            <w:noWrap/>
            <w:vAlign w:val="bottom"/>
            <w:hideMark/>
          </w:tcPr>
          <w:p w14:paraId="5595466B"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18 -18</w:t>
            </w:r>
          </w:p>
        </w:tc>
        <w:tc>
          <w:tcPr>
            <w:tcW w:w="960" w:type="dxa"/>
            <w:tcBorders>
              <w:top w:val="nil"/>
              <w:left w:val="nil"/>
              <w:bottom w:val="nil"/>
              <w:right w:val="nil"/>
            </w:tcBorders>
            <w:shd w:val="clear" w:color="auto" w:fill="auto"/>
            <w:noWrap/>
            <w:vAlign w:val="bottom"/>
            <w:hideMark/>
          </w:tcPr>
          <w:p w14:paraId="5ABB695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-4.13</w:t>
            </w:r>
          </w:p>
        </w:tc>
        <w:tc>
          <w:tcPr>
            <w:tcW w:w="960" w:type="dxa"/>
            <w:tcBorders>
              <w:top w:val="nil"/>
              <w:left w:val="nil"/>
              <w:bottom w:val="nil"/>
              <w:right w:val="nil"/>
            </w:tcBorders>
            <w:shd w:val="clear" w:color="auto" w:fill="auto"/>
            <w:noWrap/>
            <w:vAlign w:val="bottom"/>
            <w:hideMark/>
          </w:tcPr>
          <w:p w14:paraId="62C5DD3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0.0190</w:t>
            </w:r>
          </w:p>
        </w:tc>
      </w:tr>
      <w:tr w:rsidR="00FB337C" w:rsidRPr="00E5257C" w14:paraId="48218A95" w14:textId="77777777" w:rsidTr="00592BA1">
        <w:trPr>
          <w:trHeight w:val="300"/>
        </w:trPr>
        <w:tc>
          <w:tcPr>
            <w:tcW w:w="1507" w:type="dxa"/>
            <w:tcBorders>
              <w:top w:val="nil"/>
              <w:left w:val="nil"/>
              <w:bottom w:val="nil"/>
              <w:right w:val="nil"/>
            </w:tcBorders>
            <w:shd w:val="clear" w:color="auto" w:fill="auto"/>
            <w:noWrap/>
            <w:vAlign w:val="bottom"/>
            <w:hideMark/>
          </w:tcPr>
          <w:p w14:paraId="3DF911D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72F35B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92B51B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DEABCD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Hippocampus_R</w:t>
            </w:r>
          </w:p>
        </w:tc>
        <w:tc>
          <w:tcPr>
            <w:tcW w:w="1580" w:type="dxa"/>
            <w:tcBorders>
              <w:top w:val="nil"/>
              <w:left w:val="nil"/>
              <w:bottom w:val="nil"/>
              <w:right w:val="nil"/>
            </w:tcBorders>
            <w:shd w:val="clear" w:color="auto" w:fill="auto"/>
            <w:noWrap/>
            <w:vAlign w:val="bottom"/>
            <w:hideMark/>
          </w:tcPr>
          <w:p w14:paraId="115B320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18 6 30</w:t>
            </w:r>
          </w:p>
        </w:tc>
        <w:tc>
          <w:tcPr>
            <w:tcW w:w="960" w:type="dxa"/>
            <w:tcBorders>
              <w:top w:val="nil"/>
              <w:left w:val="nil"/>
              <w:bottom w:val="nil"/>
              <w:right w:val="nil"/>
            </w:tcBorders>
            <w:shd w:val="clear" w:color="auto" w:fill="auto"/>
            <w:noWrap/>
            <w:vAlign w:val="bottom"/>
            <w:hideMark/>
          </w:tcPr>
          <w:p w14:paraId="729B6A5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-4.10</w:t>
            </w:r>
          </w:p>
        </w:tc>
        <w:tc>
          <w:tcPr>
            <w:tcW w:w="960" w:type="dxa"/>
            <w:tcBorders>
              <w:top w:val="nil"/>
              <w:left w:val="nil"/>
              <w:bottom w:val="nil"/>
              <w:right w:val="nil"/>
            </w:tcBorders>
            <w:shd w:val="clear" w:color="auto" w:fill="auto"/>
            <w:noWrap/>
            <w:vAlign w:val="bottom"/>
            <w:hideMark/>
          </w:tcPr>
          <w:p w14:paraId="4F4C95F4"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0.0192</w:t>
            </w:r>
          </w:p>
        </w:tc>
      </w:tr>
      <w:tr w:rsidR="00FB337C" w:rsidRPr="00E5257C" w14:paraId="573B7F34" w14:textId="77777777" w:rsidTr="00592BA1">
        <w:trPr>
          <w:trHeight w:val="300"/>
        </w:trPr>
        <w:tc>
          <w:tcPr>
            <w:tcW w:w="1507" w:type="dxa"/>
            <w:tcBorders>
              <w:top w:val="nil"/>
              <w:left w:val="nil"/>
              <w:bottom w:val="nil"/>
              <w:right w:val="nil"/>
            </w:tcBorders>
            <w:shd w:val="clear" w:color="auto" w:fill="auto"/>
            <w:noWrap/>
            <w:vAlign w:val="bottom"/>
            <w:hideMark/>
          </w:tcPr>
          <w:p w14:paraId="49CE40E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89CE8C4"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69A4A9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82B92B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Thalamus_L</w:t>
            </w:r>
          </w:p>
        </w:tc>
        <w:tc>
          <w:tcPr>
            <w:tcW w:w="1580" w:type="dxa"/>
            <w:tcBorders>
              <w:top w:val="nil"/>
              <w:left w:val="nil"/>
              <w:bottom w:val="nil"/>
              <w:right w:val="nil"/>
            </w:tcBorders>
            <w:shd w:val="clear" w:color="auto" w:fill="auto"/>
            <w:noWrap/>
            <w:vAlign w:val="bottom"/>
            <w:hideMark/>
          </w:tcPr>
          <w:p w14:paraId="6AA746FF"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-6 -12  18</w:t>
            </w:r>
          </w:p>
        </w:tc>
        <w:tc>
          <w:tcPr>
            <w:tcW w:w="960" w:type="dxa"/>
            <w:tcBorders>
              <w:top w:val="nil"/>
              <w:left w:val="nil"/>
              <w:bottom w:val="nil"/>
              <w:right w:val="nil"/>
            </w:tcBorders>
            <w:shd w:val="clear" w:color="auto" w:fill="auto"/>
            <w:noWrap/>
            <w:vAlign w:val="bottom"/>
            <w:hideMark/>
          </w:tcPr>
          <w:p w14:paraId="2E5B956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-4.05</w:t>
            </w:r>
          </w:p>
        </w:tc>
        <w:tc>
          <w:tcPr>
            <w:tcW w:w="960" w:type="dxa"/>
            <w:tcBorders>
              <w:top w:val="nil"/>
              <w:left w:val="nil"/>
              <w:bottom w:val="nil"/>
              <w:right w:val="nil"/>
            </w:tcBorders>
            <w:shd w:val="clear" w:color="auto" w:fill="auto"/>
            <w:noWrap/>
            <w:vAlign w:val="bottom"/>
            <w:hideMark/>
          </w:tcPr>
          <w:p w14:paraId="0A7F786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0.0198</w:t>
            </w:r>
          </w:p>
        </w:tc>
      </w:tr>
      <w:tr w:rsidR="00FB337C" w:rsidRPr="00E5257C" w14:paraId="6654ACF5" w14:textId="77777777" w:rsidTr="00592BA1">
        <w:trPr>
          <w:trHeight w:val="300"/>
        </w:trPr>
        <w:tc>
          <w:tcPr>
            <w:tcW w:w="1507" w:type="dxa"/>
            <w:tcBorders>
              <w:top w:val="nil"/>
              <w:left w:val="nil"/>
              <w:bottom w:val="nil"/>
              <w:right w:val="nil"/>
            </w:tcBorders>
            <w:shd w:val="clear" w:color="auto" w:fill="auto"/>
            <w:noWrap/>
            <w:vAlign w:val="bottom"/>
            <w:hideMark/>
          </w:tcPr>
          <w:p w14:paraId="208BE20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16B1537"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74199D5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5B5316D"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Hippocampus_L</w:t>
            </w:r>
          </w:p>
        </w:tc>
        <w:tc>
          <w:tcPr>
            <w:tcW w:w="1580" w:type="dxa"/>
            <w:tcBorders>
              <w:top w:val="nil"/>
              <w:left w:val="nil"/>
              <w:bottom w:val="nil"/>
              <w:right w:val="nil"/>
            </w:tcBorders>
            <w:shd w:val="clear" w:color="auto" w:fill="auto"/>
            <w:noWrap/>
            <w:vAlign w:val="bottom"/>
            <w:hideMark/>
          </w:tcPr>
          <w:p w14:paraId="6335E5F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-6 -12</w:t>
            </w:r>
          </w:p>
        </w:tc>
        <w:tc>
          <w:tcPr>
            <w:tcW w:w="960" w:type="dxa"/>
            <w:tcBorders>
              <w:top w:val="nil"/>
              <w:left w:val="nil"/>
              <w:bottom w:val="nil"/>
              <w:right w:val="nil"/>
            </w:tcBorders>
            <w:shd w:val="clear" w:color="auto" w:fill="auto"/>
            <w:noWrap/>
            <w:vAlign w:val="bottom"/>
            <w:hideMark/>
          </w:tcPr>
          <w:p w14:paraId="25C3CD2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-4.03</w:t>
            </w:r>
          </w:p>
        </w:tc>
        <w:tc>
          <w:tcPr>
            <w:tcW w:w="960" w:type="dxa"/>
            <w:tcBorders>
              <w:top w:val="nil"/>
              <w:left w:val="nil"/>
              <w:bottom w:val="nil"/>
              <w:right w:val="nil"/>
            </w:tcBorders>
            <w:shd w:val="clear" w:color="auto" w:fill="auto"/>
            <w:noWrap/>
            <w:vAlign w:val="bottom"/>
            <w:hideMark/>
          </w:tcPr>
          <w:p w14:paraId="63A2599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0.0204</w:t>
            </w:r>
          </w:p>
        </w:tc>
      </w:tr>
      <w:tr w:rsidR="00FB337C" w:rsidRPr="00E5257C" w14:paraId="4A77545B" w14:textId="77777777" w:rsidTr="00592BA1">
        <w:trPr>
          <w:trHeight w:val="300"/>
        </w:trPr>
        <w:tc>
          <w:tcPr>
            <w:tcW w:w="1507" w:type="dxa"/>
            <w:tcBorders>
              <w:top w:val="nil"/>
              <w:left w:val="nil"/>
              <w:bottom w:val="nil"/>
              <w:right w:val="nil"/>
            </w:tcBorders>
            <w:shd w:val="clear" w:color="auto" w:fill="auto"/>
            <w:noWrap/>
            <w:vAlign w:val="bottom"/>
            <w:hideMark/>
          </w:tcPr>
          <w:p w14:paraId="597C136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80280C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631280D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57E5CDA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Parietal_Sup_R</w:t>
            </w:r>
          </w:p>
        </w:tc>
        <w:tc>
          <w:tcPr>
            <w:tcW w:w="1580" w:type="dxa"/>
            <w:tcBorders>
              <w:top w:val="nil"/>
              <w:left w:val="nil"/>
              <w:bottom w:val="nil"/>
              <w:right w:val="nil"/>
            </w:tcBorders>
            <w:shd w:val="clear" w:color="auto" w:fill="auto"/>
            <w:noWrap/>
            <w:vAlign w:val="bottom"/>
            <w:hideMark/>
          </w:tcPr>
          <w:p w14:paraId="260FBB8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18 -48  72</w:t>
            </w:r>
          </w:p>
        </w:tc>
        <w:tc>
          <w:tcPr>
            <w:tcW w:w="960" w:type="dxa"/>
            <w:tcBorders>
              <w:top w:val="nil"/>
              <w:left w:val="nil"/>
              <w:bottom w:val="nil"/>
              <w:right w:val="nil"/>
            </w:tcBorders>
            <w:shd w:val="clear" w:color="auto" w:fill="auto"/>
            <w:noWrap/>
            <w:vAlign w:val="bottom"/>
            <w:hideMark/>
          </w:tcPr>
          <w:p w14:paraId="449978B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-4.03</w:t>
            </w:r>
          </w:p>
        </w:tc>
        <w:tc>
          <w:tcPr>
            <w:tcW w:w="960" w:type="dxa"/>
            <w:tcBorders>
              <w:top w:val="nil"/>
              <w:left w:val="nil"/>
              <w:bottom w:val="nil"/>
              <w:right w:val="nil"/>
            </w:tcBorders>
            <w:shd w:val="clear" w:color="auto" w:fill="auto"/>
            <w:noWrap/>
            <w:vAlign w:val="bottom"/>
            <w:hideMark/>
          </w:tcPr>
          <w:p w14:paraId="4EB9D6E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0.0206</w:t>
            </w:r>
          </w:p>
        </w:tc>
      </w:tr>
      <w:tr w:rsidR="00FB337C" w:rsidRPr="00E5257C" w14:paraId="3235C421" w14:textId="77777777" w:rsidTr="00592BA1">
        <w:trPr>
          <w:trHeight w:val="300"/>
        </w:trPr>
        <w:tc>
          <w:tcPr>
            <w:tcW w:w="1507" w:type="dxa"/>
            <w:tcBorders>
              <w:top w:val="nil"/>
              <w:left w:val="nil"/>
              <w:bottom w:val="nil"/>
              <w:right w:val="nil"/>
            </w:tcBorders>
            <w:shd w:val="clear" w:color="auto" w:fill="auto"/>
            <w:noWrap/>
            <w:vAlign w:val="bottom"/>
            <w:hideMark/>
          </w:tcPr>
          <w:p w14:paraId="5EEC167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222723F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29C2FF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4CE92A7D"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Parietal_Sup_L</w:t>
            </w:r>
            <w:proofErr w:type="spellEnd"/>
          </w:p>
        </w:tc>
        <w:tc>
          <w:tcPr>
            <w:tcW w:w="1580" w:type="dxa"/>
            <w:tcBorders>
              <w:top w:val="nil"/>
              <w:left w:val="nil"/>
              <w:bottom w:val="nil"/>
              <w:right w:val="nil"/>
            </w:tcBorders>
            <w:shd w:val="clear" w:color="auto" w:fill="auto"/>
            <w:noWrap/>
            <w:vAlign w:val="bottom"/>
            <w:hideMark/>
          </w:tcPr>
          <w:p w14:paraId="280FDEB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-24 -54  72</w:t>
            </w:r>
          </w:p>
        </w:tc>
        <w:tc>
          <w:tcPr>
            <w:tcW w:w="960" w:type="dxa"/>
            <w:tcBorders>
              <w:top w:val="nil"/>
              <w:left w:val="nil"/>
              <w:bottom w:val="nil"/>
              <w:right w:val="nil"/>
            </w:tcBorders>
            <w:shd w:val="clear" w:color="auto" w:fill="auto"/>
            <w:noWrap/>
            <w:vAlign w:val="bottom"/>
            <w:hideMark/>
          </w:tcPr>
          <w:p w14:paraId="03E0F6F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-4.01</w:t>
            </w:r>
          </w:p>
        </w:tc>
        <w:tc>
          <w:tcPr>
            <w:tcW w:w="960" w:type="dxa"/>
            <w:tcBorders>
              <w:top w:val="nil"/>
              <w:left w:val="nil"/>
              <w:bottom w:val="nil"/>
              <w:right w:val="nil"/>
            </w:tcBorders>
            <w:shd w:val="clear" w:color="auto" w:fill="auto"/>
            <w:noWrap/>
            <w:vAlign w:val="bottom"/>
            <w:hideMark/>
          </w:tcPr>
          <w:p w14:paraId="68702B3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0.0206</w:t>
            </w:r>
          </w:p>
        </w:tc>
      </w:tr>
      <w:tr w:rsidR="00FB337C" w:rsidRPr="00E5257C" w14:paraId="70F84AB2" w14:textId="77777777" w:rsidTr="00592BA1">
        <w:trPr>
          <w:trHeight w:val="300"/>
        </w:trPr>
        <w:tc>
          <w:tcPr>
            <w:tcW w:w="1507" w:type="dxa"/>
            <w:tcBorders>
              <w:top w:val="nil"/>
              <w:left w:val="nil"/>
              <w:bottom w:val="nil"/>
              <w:right w:val="nil"/>
            </w:tcBorders>
            <w:shd w:val="clear" w:color="auto" w:fill="auto"/>
            <w:noWrap/>
            <w:vAlign w:val="bottom"/>
            <w:hideMark/>
          </w:tcPr>
          <w:p w14:paraId="53B1EAD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6B8B5DE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C9E1CF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8C9220B" w14:textId="77777777" w:rsidR="00FB337C" w:rsidRPr="00E5257C" w:rsidRDefault="00FB337C" w:rsidP="00FB337C">
            <w:pPr>
              <w:spacing w:after="0" w:line="240" w:lineRule="auto"/>
              <w:rPr>
                <w:rFonts w:eastAsia="Times New Roman" w:cs="Times New Roman"/>
                <w:color w:val="000000"/>
                <w:sz w:val="20"/>
                <w:szCs w:val="20"/>
                <w:lang w:val="en-GB" w:eastAsia="en-GB"/>
              </w:rPr>
            </w:pPr>
            <w:proofErr w:type="spellStart"/>
            <w:r w:rsidRPr="00E5257C">
              <w:rPr>
                <w:rFonts w:eastAsia="Times New Roman" w:cs="Times New Roman"/>
                <w:color w:val="000000"/>
                <w:sz w:val="20"/>
                <w:szCs w:val="20"/>
                <w:lang w:val="en-GB" w:eastAsia="en-GB"/>
              </w:rPr>
              <w:t>Frontal_Med_Orb_L</w:t>
            </w:r>
            <w:proofErr w:type="spellEnd"/>
          </w:p>
        </w:tc>
        <w:tc>
          <w:tcPr>
            <w:tcW w:w="1580" w:type="dxa"/>
            <w:tcBorders>
              <w:top w:val="nil"/>
              <w:left w:val="nil"/>
              <w:bottom w:val="nil"/>
              <w:right w:val="nil"/>
            </w:tcBorders>
            <w:shd w:val="clear" w:color="auto" w:fill="auto"/>
            <w:noWrap/>
            <w:vAlign w:val="bottom"/>
            <w:hideMark/>
          </w:tcPr>
          <w:p w14:paraId="172BC75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-12  36 -12</w:t>
            </w:r>
          </w:p>
        </w:tc>
        <w:tc>
          <w:tcPr>
            <w:tcW w:w="960" w:type="dxa"/>
            <w:tcBorders>
              <w:top w:val="nil"/>
              <w:left w:val="nil"/>
              <w:bottom w:val="nil"/>
              <w:right w:val="nil"/>
            </w:tcBorders>
            <w:shd w:val="clear" w:color="auto" w:fill="auto"/>
            <w:noWrap/>
            <w:vAlign w:val="bottom"/>
            <w:hideMark/>
          </w:tcPr>
          <w:p w14:paraId="058AB85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-3.93</w:t>
            </w:r>
          </w:p>
        </w:tc>
        <w:tc>
          <w:tcPr>
            <w:tcW w:w="960" w:type="dxa"/>
            <w:tcBorders>
              <w:top w:val="nil"/>
              <w:left w:val="nil"/>
              <w:bottom w:val="nil"/>
              <w:right w:val="nil"/>
            </w:tcBorders>
            <w:shd w:val="clear" w:color="auto" w:fill="auto"/>
            <w:noWrap/>
            <w:vAlign w:val="bottom"/>
            <w:hideMark/>
          </w:tcPr>
          <w:p w14:paraId="35CF68E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0.0226</w:t>
            </w:r>
          </w:p>
        </w:tc>
      </w:tr>
      <w:tr w:rsidR="00FB337C" w:rsidRPr="00E5257C" w14:paraId="72CEA152" w14:textId="77777777" w:rsidTr="00592BA1">
        <w:trPr>
          <w:trHeight w:val="300"/>
        </w:trPr>
        <w:tc>
          <w:tcPr>
            <w:tcW w:w="1507" w:type="dxa"/>
            <w:tcBorders>
              <w:top w:val="nil"/>
              <w:left w:val="nil"/>
              <w:bottom w:val="nil"/>
              <w:right w:val="nil"/>
            </w:tcBorders>
            <w:shd w:val="clear" w:color="auto" w:fill="auto"/>
            <w:noWrap/>
            <w:vAlign w:val="bottom"/>
            <w:hideMark/>
          </w:tcPr>
          <w:p w14:paraId="0056744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FB73A3C"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0341C80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0DA24C5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Frontal_Mid_L</w:t>
            </w:r>
          </w:p>
        </w:tc>
        <w:tc>
          <w:tcPr>
            <w:tcW w:w="1580" w:type="dxa"/>
            <w:tcBorders>
              <w:top w:val="nil"/>
              <w:left w:val="nil"/>
              <w:bottom w:val="nil"/>
              <w:right w:val="nil"/>
            </w:tcBorders>
            <w:shd w:val="clear" w:color="auto" w:fill="auto"/>
            <w:noWrap/>
            <w:vAlign w:val="bottom"/>
            <w:hideMark/>
          </w:tcPr>
          <w:p w14:paraId="2656CB2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-42  48  18</w:t>
            </w:r>
          </w:p>
        </w:tc>
        <w:tc>
          <w:tcPr>
            <w:tcW w:w="960" w:type="dxa"/>
            <w:tcBorders>
              <w:top w:val="nil"/>
              <w:left w:val="nil"/>
              <w:bottom w:val="nil"/>
              <w:right w:val="nil"/>
            </w:tcBorders>
            <w:shd w:val="clear" w:color="auto" w:fill="auto"/>
            <w:noWrap/>
            <w:vAlign w:val="bottom"/>
            <w:hideMark/>
          </w:tcPr>
          <w:p w14:paraId="6ABC604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-3.71</w:t>
            </w:r>
          </w:p>
        </w:tc>
        <w:tc>
          <w:tcPr>
            <w:tcW w:w="960" w:type="dxa"/>
            <w:tcBorders>
              <w:top w:val="nil"/>
              <w:left w:val="nil"/>
              <w:bottom w:val="nil"/>
              <w:right w:val="nil"/>
            </w:tcBorders>
            <w:shd w:val="clear" w:color="auto" w:fill="auto"/>
            <w:noWrap/>
            <w:vAlign w:val="bottom"/>
            <w:hideMark/>
          </w:tcPr>
          <w:p w14:paraId="57C6704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0.0141</w:t>
            </w:r>
          </w:p>
        </w:tc>
      </w:tr>
      <w:tr w:rsidR="00FB337C" w:rsidRPr="00E5257C" w14:paraId="4902B9BD" w14:textId="77777777" w:rsidTr="00592BA1">
        <w:trPr>
          <w:trHeight w:val="300"/>
        </w:trPr>
        <w:tc>
          <w:tcPr>
            <w:tcW w:w="1507" w:type="dxa"/>
            <w:tcBorders>
              <w:top w:val="nil"/>
              <w:left w:val="nil"/>
              <w:bottom w:val="nil"/>
              <w:right w:val="nil"/>
            </w:tcBorders>
            <w:shd w:val="clear" w:color="auto" w:fill="auto"/>
            <w:noWrap/>
            <w:vAlign w:val="bottom"/>
            <w:hideMark/>
          </w:tcPr>
          <w:p w14:paraId="7C0FA9D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FF3A266"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40AA28A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0.75</w:t>
            </w:r>
          </w:p>
        </w:tc>
        <w:tc>
          <w:tcPr>
            <w:tcW w:w="3547" w:type="dxa"/>
            <w:tcBorders>
              <w:top w:val="nil"/>
              <w:left w:val="nil"/>
              <w:bottom w:val="nil"/>
              <w:right w:val="nil"/>
            </w:tcBorders>
            <w:shd w:val="clear" w:color="auto" w:fill="auto"/>
            <w:noWrap/>
            <w:vAlign w:val="bottom"/>
            <w:hideMark/>
          </w:tcPr>
          <w:p w14:paraId="5AE6636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Frontal_Inf_Tri_L</w:t>
            </w:r>
          </w:p>
        </w:tc>
        <w:tc>
          <w:tcPr>
            <w:tcW w:w="1580" w:type="dxa"/>
            <w:tcBorders>
              <w:top w:val="nil"/>
              <w:left w:val="nil"/>
              <w:bottom w:val="nil"/>
              <w:right w:val="nil"/>
            </w:tcBorders>
            <w:shd w:val="clear" w:color="auto" w:fill="auto"/>
            <w:noWrap/>
            <w:vAlign w:val="bottom"/>
            <w:hideMark/>
          </w:tcPr>
          <w:p w14:paraId="53809DB1"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-54  24  12</w:t>
            </w:r>
          </w:p>
        </w:tc>
        <w:tc>
          <w:tcPr>
            <w:tcW w:w="960" w:type="dxa"/>
            <w:tcBorders>
              <w:top w:val="nil"/>
              <w:left w:val="nil"/>
              <w:bottom w:val="nil"/>
              <w:right w:val="nil"/>
            </w:tcBorders>
            <w:shd w:val="clear" w:color="auto" w:fill="auto"/>
            <w:noWrap/>
            <w:vAlign w:val="bottom"/>
            <w:hideMark/>
          </w:tcPr>
          <w:p w14:paraId="082E746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-3.45</w:t>
            </w:r>
          </w:p>
        </w:tc>
        <w:tc>
          <w:tcPr>
            <w:tcW w:w="960" w:type="dxa"/>
            <w:tcBorders>
              <w:top w:val="nil"/>
              <w:left w:val="nil"/>
              <w:bottom w:val="nil"/>
              <w:right w:val="nil"/>
            </w:tcBorders>
            <w:shd w:val="clear" w:color="auto" w:fill="auto"/>
            <w:noWrap/>
            <w:vAlign w:val="bottom"/>
            <w:hideMark/>
          </w:tcPr>
          <w:p w14:paraId="7933885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0.0230</w:t>
            </w:r>
          </w:p>
        </w:tc>
      </w:tr>
      <w:tr w:rsidR="00FB337C" w:rsidRPr="00E5257C" w14:paraId="3BEC9205" w14:textId="77777777" w:rsidTr="00592BA1">
        <w:trPr>
          <w:trHeight w:val="300"/>
        </w:trPr>
        <w:tc>
          <w:tcPr>
            <w:tcW w:w="1507" w:type="dxa"/>
            <w:tcBorders>
              <w:top w:val="nil"/>
              <w:left w:val="nil"/>
              <w:bottom w:val="nil"/>
              <w:right w:val="nil"/>
            </w:tcBorders>
            <w:shd w:val="clear" w:color="auto" w:fill="auto"/>
            <w:noWrap/>
            <w:vAlign w:val="bottom"/>
            <w:hideMark/>
          </w:tcPr>
          <w:p w14:paraId="089C67CC"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346B24E"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theta</w:t>
            </w:r>
          </w:p>
        </w:tc>
        <w:tc>
          <w:tcPr>
            <w:tcW w:w="538" w:type="dxa"/>
            <w:tcBorders>
              <w:top w:val="nil"/>
              <w:left w:val="nil"/>
              <w:bottom w:val="nil"/>
              <w:right w:val="nil"/>
            </w:tcBorders>
            <w:shd w:val="clear" w:color="auto" w:fill="auto"/>
            <w:noWrap/>
            <w:vAlign w:val="bottom"/>
            <w:hideMark/>
          </w:tcPr>
          <w:p w14:paraId="7A33593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EF1743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Frontal_Inf_Tri_L</w:t>
            </w:r>
          </w:p>
        </w:tc>
        <w:tc>
          <w:tcPr>
            <w:tcW w:w="1580" w:type="dxa"/>
            <w:tcBorders>
              <w:top w:val="nil"/>
              <w:left w:val="nil"/>
              <w:bottom w:val="nil"/>
              <w:right w:val="nil"/>
            </w:tcBorders>
            <w:shd w:val="clear" w:color="auto" w:fill="auto"/>
            <w:noWrap/>
            <w:vAlign w:val="bottom"/>
            <w:hideMark/>
          </w:tcPr>
          <w:p w14:paraId="3003F324"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-48  36  24</w:t>
            </w:r>
          </w:p>
        </w:tc>
        <w:tc>
          <w:tcPr>
            <w:tcW w:w="960" w:type="dxa"/>
            <w:tcBorders>
              <w:top w:val="nil"/>
              <w:left w:val="nil"/>
              <w:bottom w:val="nil"/>
              <w:right w:val="nil"/>
            </w:tcBorders>
            <w:shd w:val="clear" w:color="auto" w:fill="auto"/>
            <w:noWrap/>
            <w:vAlign w:val="bottom"/>
            <w:hideMark/>
          </w:tcPr>
          <w:p w14:paraId="2293766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-4.66</w:t>
            </w:r>
          </w:p>
        </w:tc>
        <w:tc>
          <w:tcPr>
            <w:tcW w:w="960" w:type="dxa"/>
            <w:tcBorders>
              <w:top w:val="nil"/>
              <w:left w:val="nil"/>
              <w:bottom w:val="nil"/>
              <w:right w:val="nil"/>
            </w:tcBorders>
            <w:shd w:val="clear" w:color="auto" w:fill="auto"/>
            <w:noWrap/>
            <w:vAlign w:val="bottom"/>
            <w:hideMark/>
          </w:tcPr>
          <w:p w14:paraId="0E3254D1"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0.0111</w:t>
            </w:r>
          </w:p>
        </w:tc>
      </w:tr>
      <w:tr w:rsidR="00FB337C" w:rsidRPr="00E5257C" w14:paraId="61465106" w14:textId="77777777" w:rsidTr="00592BA1">
        <w:trPr>
          <w:trHeight w:val="300"/>
        </w:trPr>
        <w:tc>
          <w:tcPr>
            <w:tcW w:w="1507" w:type="dxa"/>
            <w:tcBorders>
              <w:top w:val="nil"/>
              <w:left w:val="nil"/>
              <w:bottom w:val="nil"/>
              <w:right w:val="nil"/>
            </w:tcBorders>
            <w:shd w:val="clear" w:color="auto" w:fill="auto"/>
            <w:noWrap/>
            <w:vAlign w:val="bottom"/>
            <w:hideMark/>
          </w:tcPr>
          <w:p w14:paraId="7DAA973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14780B2D"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5C5169EE"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A59AC3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Frontal_Inf_Tri_R</w:t>
            </w:r>
          </w:p>
        </w:tc>
        <w:tc>
          <w:tcPr>
            <w:tcW w:w="1580" w:type="dxa"/>
            <w:tcBorders>
              <w:top w:val="nil"/>
              <w:left w:val="nil"/>
              <w:bottom w:val="nil"/>
              <w:right w:val="nil"/>
            </w:tcBorders>
            <w:shd w:val="clear" w:color="auto" w:fill="auto"/>
            <w:noWrap/>
            <w:vAlign w:val="bottom"/>
            <w:hideMark/>
          </w:tcPr>
          <w:p w14:paraId="1D30DB9A"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54  30  24</w:t>
            </w:r>
          </w:p>
        </w:tc>
        <w:tc>
          <w:tcPr>
            <w:tcW w:w="960" w:type="dxa"/>
            <w:tcBorders>
              <w:top w:val="nil"/>
              <w:left w:val="nil"/>
              <w:bottom w:val="nil"/>
              <w:right w:val="nil"/>
            </w:tcBorders>
            <w:shd w:val="clear" w:color="auto" w:fill="auto"/>
            <w:noWrap/>
            <w:vAlign w:val="bottom"/>
            <w:hideMark/>
          </w:tcPr>
          <w:p w14:paraId="7665751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-4.37</w:t>
            </w:r>
          </w:p>
        </w:tc>
        <w:tc>
          <w:tcPr>
            <w:tcW w:w="960" w:type="dxa"/>
            <w:tcBorders>
              <w:top w:val="nil"/>
              <w:left w:val="nil"/>
              <w:bottom w:val="nil"/>
              <w:right w:val="nil"/>
            </w:tcBorders>
            <w:shd w:val="clear" w:color="auto" w:fill="auto"/>
            <w:noWrap/>
            <w:vAlign w:val="bottom"/>
            <w:hideMark/>
          </w:tcPr>
          <w:p w14:paraId="2D48EA0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0.0156</w:t>
            </w:r>
          </w:p>
        </w:tc>
      </w:tr>
      <w:tr w:rsidR="00FB337C" w:rsidRPr="00E5257C" w14:paraId="5AC25A71" w14:textId="77777777" w:rsidTr="00592BA1">
        <w:trPr>
          <w:trHeight w:val="300"/>
        </w:trPr>
        <w:tc>
          <w:tcPr>
            <w:tcW w:w="1507" w:type="dxa"/>
            <w:tcBorders>
              <w:top w:val="nil"/>
              <w:left w:val="nil"/>
              <w:bottom w:val="nil"/>
              <w:right w:val="nil"/>
            </w:tcBorders>
            <w:shd w:val="clear" w:color="auto" w:fill="auto"/>
            <w:noWrap/>
            <w:vAlign w:val="bottom"/>
            <w:hideMark/>
          </w:tcPr>
          <w:p w14:paraId="619F4E8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793D0AE"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CB97BED"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2D40F56"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Frontal_Mid_L</w:t>
            </w:r>
          </w:p>
        </w:tc>
        <w:tc>
          <w:tcPr>
            <w:tcW w:w="1580" w:type="dxa"/>
            <w:tcBorders>
              <w:top w:val="nil"/>
              <w:left w:val="nil"/>
              <w:bottom w:val="nil"/>
              <w:right w:val="nil"/>
            </w:tcBorders>
            <w:shd w:val="clear" w:color="auto" w:fill="auto"/>
            <w:noWrap/>
            <w:vAlign w:val="bottom"/>
            <w:hideMark/>
          </w:tcPr>
          <w:p w14:paraId="0C5D20B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-48  30  30</w:t>
            </w:r>
          </w:p>
        </w:tc>
        <w:tc>
          <w:tcPr>
            <w:tcW w:w="960" w:type="dxa"/>
            <w:tcBorders>
              <w:top w:val="nil"/>
              <w:left w:val="nil"/>
              <w:bottom w:val="nil"/>
              <w:right w:val="nil"/>
            </w:tcBorders>
            <w:shd w:val="clear" w:color="auto" w:fill="auto"/>
            <w:noWrap/>
            <w:vAlign w:val="bottom"/>
            <w:hideMark/>
          </w:tcPr>
          <w:p w14:paraId="6BBD21C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-4.36</w:t>
            </w:r>
          </w:p>
        </w:tc>
        <w:tc>
          <w:tcPr>
            <w:tcW w:w="960" w:type="dxa"/>
            <w:tcBorders>
              <w:top w:val="nil"/>
              <w:left w:val="nil"/>
              <w:bottom w:val="nil"/>
              <w:right w:val="nil"/>
            </w:tcBorders>
            <w:shd w:val="clear" w:color="auto" w:fill="auto"/>
            <w:noWrap/>
            <w:vAlign w:val="bottom"/>
            <w:hideMark/>
          </w:tcPr>
          <w:p w14:paraId="51C702C7"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0.0156</w:t>
            </w:r>
          </w:p>
        </w:tc>
      </w:tr>
      <w:tr w:rsidR="00FB337C" w:rsidRPr="00E5257C" w14:paraId="065C5426" w14:textId="77777777" w:rsidTr="00592BA1">
        <w:trPr>
          <w:trHeight w:val="300"/>
        </w:trPr>
        <w:tc>
          <w:tcPr>
            <w:tcW w:w="1507" w:type="dxa"/>
            <w:tcBorders>
              <w:top w:val="nil"/>
              <w:left w:val="nil"/>
              <w:bottom w:val="nil"/>
              <w:right w:val="nil"/>
            </w:tcBorders>
            <w:shd w:val="clear" w:color="auto" w:fill="auto"/>
            <w:noWrap/>
            <w:vAlign w:val="bottom"/>
            <w:hideMark/>
          </w:tcPr>
          <w:p w14:paraId="6D148C32"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85350A0"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3F48EAB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B6100C3"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Frontal_Mid_R</w:t>
            </w:r>
          </w:p>
        </w:tc>
        <w:tc>
          <w:tcPr>
            <w:tcW w:w="1580" w:type="dxa"/>
            <w:tcBorders>
              <w:top w:val="nil"/>
              <w:left w:val="nil"/>
              <w:bottom w:val="nil"/>
              <w:right w:val="nil"/>
            </w:tcBorders>
            <w:shd w:val="clear" w:color="auto" w:fill="auto"/>
            <w:noWrap/>
            <w:vAlign w:val="bottom"/>
            <w:hideMark/>
          </w:tcPr>
          <w:p w14:paraId="03671EF9"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36  24  54</w:t>
            </w:r>
          </w:p>
        </w:tc>
        <w:tc>
          <w:tcPr>
            <w:tcW w:w="960" w:type="dxa"/>
            <w:tcBorders>
              <w:top w:val="nil"/>
              <w:left w:val="nil"/>
              <w:bottom w:val="nil"/>
              <w:right w:val="nil"/>
            </w:tcBorders>
            <w:shd w:val="clear" w:color="auto" w:fill="auto"/>
            <w:noWrap/>
            <w:vAlign w:val="bottom"/>
            <w:hideMark/>
          </w:tcPr>
          <w:p w14:paraId="261BD9C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-4.11</w:t>
            </w:r>
          </w:p>
        </w:tc>
        <w:tc>
          <w:tcPr>
            <w:tcW w:w="960" w:type="dxa"/>
            <w:tcBorders>
              <w:top w:val="nil"/>
              <w:left w:val="nil"/>
              <w:bottom w:val="nil"/>
              <w:right w:val="nil"/>
            </w:tcBorders>
            <w:shd w:val="clear" w:color="auto" w:fill="auto"/>
            <w:noWrap/>
            <w:vAlign w:val="bottom"/>
            <w:hideMark/>
          </w:tcPr>
          <w:p w14:paraId="157D636F"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0.0208</w:t>
            </w:r>
          </w:p>
        </w:tc>
      </w:tr>
      <w:tr w:rsidR="00FB337C" w:rsidRPr="00E5257C" w14:paraId="35FABBC6" w14:textId="77777777" w:rsidTr="00592BA1">
        <w:trPr>
          <w:trHeight w:val="300"/>
        </w:trPr>
        <w:tc>
          <w:tcPr>
            <w:tcW w:w="1507" w:type="dxa"/>
            <w:tcBorders>
              <w:top w:val="nil"/>
              <w:left w:val="nil"/>
              <w:bottom w:val="nil"/>
              <w:right w:val="nil"/>
            </w:tcBorders>
            <w:shd w:val="clear" w:color="auto" w:fill="auto"/>
            <w:noWrap/>
            <w:vAlign w:val="bottom"/>
            <w:hideMark/>
          </w:tcPr>
          <w:p w14:paraId="1F14D97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7DE7BC1D"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beta</w:t>
            </w:r>
          </w:p>
        </w:tc>
        <w:tc>
          <w:tcPr>
            <w:tcW w:w="538" w:type="dxa"/>
            <w:tcBorders>
              <w:top w:val="nil"/>
              <w:left w:val="nil"/>
              <w:bottom w:val="nil"/>
              <w:right w:val="nil"/>
            </w:tcBorders>
            <w:shd w:val="clear" w:color="auto" w:fill="auto"/>
            <w:noWrap/>
            <w:vAlign w:val="bottom"/>
            <w:hideMark/>
          </w:tcPr>
          <w:p w14:paraId="3E28977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3647EF60"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Frontal_Mid_R</w:t>
            </w:r>
          </w:p>
        </w:tc>
        <w:tc>
          <w:tcPr>
            <w:tcW w:w="1580" w:type="dxa"/>
            <w:tcBorders>
              <w:top w:val="nil"/>
              <w:left w:val="nil"/>
              <w:bottom w:val="nil"/>
              <w:right w:val="nil"/>
            </w:tcBorders>
            <w:shd w:val="clear" w:color="auto" w:fill="auto"/>
            <w:noWrap/>
            <w:vAlign w:val="bottom"/>
            <w:hideMark/>
          </w:tcPr>
          <w:p w14:paraId="00B6F75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42  48  24</w:t>
            </w:r>
          </w:p>
        </w:tc>
        <w:tc>
          <w:tcPr>
            <w:tcW w:w="960" w:type="dxa"/>
            <w:tcBorders>
              <w:top w:val="nil"/>
              <w:left w:val="nil"/>
              <w:bottom w:val="nil"/>
              <w:right w:val="nil"/>
            </w:tcBorders>
            <w:shd w:val="clear" w:color="auto" w:fill="auto"/>
            <w:noWrap/>
            <w:vAlign w:val="bottom"/>
            <w:hideMark/>
          </w:tcPr>
          <w:p w14:paraId="063C7B30"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-4.61</w:t>
            </w:r>
          </w:p>
        </w:tc>
        <w:tc>
          <w:tcPr>
            <w:tcW w:w="960" w:type="dxa"/>
            <w:tcBorders>
              <w:top w:val="nil"/>
              <w:left w:val="nil"/>
              <w:bottom w:val="nil"/>
              <w:right w:val="nil"/>
            </w:tcBorders>
            <w:shd w:val="clear" w:color="auto" w:fill="auto"/>
            <w:noWrap/>
            <w:vAlign w:val="bottom"/>
            <w:hideMark/>
          </w:tcPr>
          <w:p w14:paraId="594E901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0.0139</w:t>
            </w:r>
          </w:p>
        </w:tc>
      </w:tr>
      <w:tr w:rsidR="00FB337C" w:rsidRPr="00E5257C" w14:paraId="731CE63C" w14:textId="77777777" w:rsidTr="00592BA1">
        <w:trPr>
          <w:trHeight w:val="300"/>
        </w:trPr>
        <w:tc>
          <w:tcPr>
            <w:tcW w:w="1507" w:type="dxa"/>
            <w:tcBorders>
              <w:top w:val="nil"/>
              <w:left w:val="nil"/>
              <w:bottom w:val="nil"/>
              <w:right w:val="nil"/>
            </w:tcBorders>
            <w:shd w:val="clear" w:color="auto" w:fill="auto"/>
            <w:noWrap/>
            <w:vAlign w:val="bottom"/>
            <w:hideMark/>
          </w:tcPr>
          <w:p w14:paraId="6F02675B"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4A43F263"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2BB6A233"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1879370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Frontal_Inf_Tri_R</w:t>
            </w:r>
          </w:p>
        </w:tc>
        <w:tc>
          <w:tcPr>
            <w:tcW w:w="1580" w:type="dxa"/>
            <w:tcBorders>
              <w:top w:val="nil"/>
              <w:left w:val="nil"/>
              <w:bottom w:val="nil"/>
              <w:right w:val="nil"/>
            </w:tcBorders>
            <w:shd w:val="clear" w:color="auto" w:fill="auto"/>
            <w:noWrap/>
            <w:vAlign w:val="bottom"/>
            <w:hideMark/>
          </w:tcPr>
          <w:p w14:paraId="7D40B95E"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48  36  24</w:t>
            </w:r>
          </w:p>
        </w:tc>
        <w:tc>
          <w:tcPr>
            <w:tcW w:w="960" w:type="dxa"/>
            <w:tcBorders>
              <w:top w:val="nil"/>
              <w:left w:val="nil"/>
              <w:bottom w:val="nil"/>
              <w:right w:val="nil"/>
            </w:tcBorders>
            <w:shd w:val="clear" w:color="auto" w:fill="auto"/>
            <w:noWrap/>
            <w:vAlign w:val="bottom"/>
            <w:hideMark/>
          </w:tcPr>
          <w:p w14:paraId="3714435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-4.41</w:t>
            </w:r>
          </w:p>
        </w:tc>
        <w:tc>
          <w:tcPr>
            <w:tcW w:w="960" w:type="dxa"/>
            <w:tcBorders>
              <w:top w:val="nil"/>
              <w:left w:val="nil"/>
              <w:bottom w:val="nil"/>
              <w:right w:val="nil"/>
            </w:tcBorders>
            <w:shd w:val="clear" w:color="auto" w:fill="auto"/>
            <w:noWrap/>
            <w:vAlign w:val="bottom"/>
            <w:hideMark/>
          </w:tcPr>
          <w:p w14:paraId="1F67FB3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0.0184</w:t>
            </w:r>
          </w:p>
        </w:tc>
      </w:tr>
      <w:tr w:rsidR="00FB337C" w:rsidRPr="00E5257C" w14:paraId="638B2D3F" w14:textId="77777777" w:rsidTr="00592BA1">
        <w:trPr>
          <w:trHeight w:val="300"/>
        </w:trPr>
        <w:tc>
          <w:tcPr>
            <w:tcW w:w="1507" w:type="dxa"/>
            <w:tcBorders>
              <w:top w:val="nil"/>
              <w:left w:val="nil"/>
              <w:bottom w:val="nil"/>
              <w:right w:val="nil"/>
            </w:tcBorders>
            <w:shd w:val="clear" w:color="auto" w:fill="auto"/>
            <w:noWrap/>
            <w:vAlign w:val="bottom"/>
            <w:hideMark/>
          </w:tcPr>
          <w:p w14:paraId="36B97EA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053D04C5" w14:textId="77777777" w:rsidR="00FB337C" w:rsidRPr="00E5257C" w:rsidRDefault="00FB337C" w:rsidP="00FB337C">
            <w:pPr>
              <w:spacing w:after="0" w:line="240" w:lineRule="auto"/>
              <w:rPr>
                <w:rFonts w:eastAsia="Times New Roman" w:cs="Times New Roman"/>
                <w:sz w:val="20"/>
                <w:szCs w:val="20"/>
                <w:lang w:val="en-GB" w:eastAsia="en-GB"/>
              </w:rPr>
            </w:pPr>
          </w:p>
        </w:tc>
        <w:tc>
          <w:tcPr>
            <w:tcW w:w="538" w:type="dxa"/>
            <w:tcBorders>
              <w:top w:val="nil"/>
              <w:left w:val="nil"/>
              <w:bottom w:val="nil"/>
              <w:right w:val="nil"/>
            </w:tcBorders>
            <w:shd w:val="clear" w:color="auto" w:fill="auto"/>
            <w:noWrap/>
            <w:vAlign w:val="bottom"/>
            <w:hideMark/>
          </w:tcPr>
          <w:p w14:paraId="10ECB836"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64639D65"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Occipital_Mid_L</w:t>
            </w:r>
          </w:p>
        </w:tc>
        <w:tc>
          <w:tcPr>
            <w:tcW w:w="1580" w:type="dxa"/>
            <w:tcBorders>
              <w:top w:val="nil"/>
              <w:left w:val="nil"/>
              <w:bottom w:val="nil"/>
              <w:right w:val="nil"/>
            </w:tcBorders>
            <w:shd w:val="clear" w:color="auto" w:fill="auto"/>
            <w:noWrap/>
            <w:vAlign w:val="bottom"/>
            <w:hideMark/>
          </w:tcPr>
          <w:p w14:paraId="5C9A2B38"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-36 -90   6</w:t>
            </w:r>
          </w:p>
        </w:tc>
        <w:tc>
          <w:tcPr>
            <w:tcW w:w="960" w:type="dxa"/>
            <w:tcBorders>
              <w:top w:val="nil"/>
              <w:left w:val="nil"/>
              <w:bottom w:val="nil"/>
              <w:right w:val="nil"/>
            </w:tcBorders>
            <w:shd w:val="clear" w:color="auto" w:fill="auto"/>
            <w:noWrap/>
            <w:vAlign w:val="bottom"/>
            <w:hideMark/>
          </w:tcPr>
          <w:p w14:paraId="2178E308"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-4.37</w:t>
            </w:r>
          </w:p>
        </w:tc>
        <w:tc>
          <w:tcPr>
            <w:tcW w:w="960" w:type="dxa"/>
            <w:tcBorders>
              <w:top w:val="nil"/>
              <w:left w:val="nil"/>
              <w:bottom w:val="nil"/>
              <w:right w:val="nil"/>
            </w:tcBorders>
            <w:shd w:val="clear" w:color="auto" w:fill="auto"/>
            <w:noWrap/>
            <w:vAlign w:val="bottom"/>
            <w:hideMark/>
          </w:tcPr>
          <w:p w14:paraId="35AA5BA9"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0.0192</w:t>
            </w:r>
          </w:p>
        </w:tc>
      </w:tr>
      <w:tr w:rsidR="00FB337C" w:rsidRPr="00E5257C" w14:paraId="7B8F79CB" w14:textId="77777777" w:rsidTr="00592BA1">
        <w:trPr>
          <w:trHeight w:val="300"/>
        </w:trPr>
        <w:tc>
          <w:tcPr>
            <w:tcW w:w="1507" w:type="dxa"/>
            <w:tcBorders>
              <w:top w:val="nil"/>
              <w:left w:val="nil"/>
              <w:bottom w:val="nil"/>
              <w:right w:val="nil"/>
            </w:tcBorders>
            <w:shd w:val="clear" w:color="auto" w:fill="auto"/>
            <w:noWrap/>
            <w:vAlign w:val="bottom"/>
            <w:hideMark/>
          </w:tcPr>
          <w:p w14:paraId="6D53B55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p>
        </w:tc>
        <w:tc>
          <w:tcPr>
            <w:tcW w:w="1783" w:type="dxa"/>
            <w:gridSpan w:val="2"/>
            <w:tcBorders>
              <w:top w:val="nil"/>
              <w:left w:val="nil"/>
              <w:bottom w:val="nil"/>
              <w:right w:val="nil"/>
            </w:tcBorders>
            <w:shd w:val="clear" w:color="auto" w:fill="auto"/>
            <w:noWrap/>
            <w:vAlign w:val="bottom"/>
            <w:hideMark/>
          </w:tcPr>
          <w:p w14:paraId="3F6069DA" w14:textId="77777777" w:rsidR="00FB337C" w:rsidRPr="00E5257C" w:rsidRDefault="00FB337C" w:rsidP="00FB337C">
            <w:pPr>
              <w:spacing w:after="0" w:line="240" w:lineRule="auto"/>
              <w:rPr>
                <w:rFonts w:eastAsia="Times New Roman" w:cs="Times New Roman"/>
                <w:b/>
                <w:bCs/>
                <w:color w:val="000000"/>
                <w:sz w:val="20"/>
                <w:szCs w:val="20"/>
                <w:lang w:val="en-GB" w:eastAsia="en-GB"/>
              </w:rPr>
            </w:pPr>
            <w:r w:rsidRPr="00E5257C">
              <w:rPr>
                <w:rFonts w:eastAsia="Times New Roman" w:cs="Times New Roman"/>
                <w:b/>
                <w:bCs/>
                <w:color w:val="000000"/>
                <w:sz w:val="20"/>
                <w:szCs w:val="20"/>
                <w:lang w:val="en-GB" w:eastAsia="en-GB"/>
              </w:rPr>
              <w:t>delta</w:t>
            </w:r>
          </w:p>
        </w:tc>
        <w:tc>
          <w:tcPr>
            <w:tcW w:w="538" w:type="dxa"/>
            <w:tcBorders>
              <w:top w:val="nil"/>
              <w:left w:val="nil"/>
              <w:bottom w:val="nil"/>
              <w:right w:val="nil"/>
            </w:tcBorders>
            <w:shd w:val="clear" w:color="auto" w:fill="auto"/>
            <w:noWrap/>
            <w:vAlign w:val="bottom"/>
            <w:hideMark/>
          </w:tcPr>
          <w:p w14:paraId="70C9A04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0.50</w:t>
            </w:r>
          </w:p>
        </w:tc>
        <w:tc>
          <w:tcPr>
            <w:tcW w:w="3547" w:type="dxa"/>
            <w:tcBorders>
              <w:top w:val="nil"/>
              <w:left w:val="nil"/>
              <w:bottom w:val="nil"/>
              <w:right w:val="nil"/>
            </w:tcBorders>
            <w:shd w:val="clear" w:color="auto" w:fill="auto"/>
            <w:noWrap/>
            <w:vAlign w:val="bottom"/>
            <w:hideMark/>
          </w:tcPr>
          <w:p w14:paraId="02173DC2"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Precentral_R</w:t>
            </w:r>
          </w:p>
        </w:tc>
        <w:tc>
          <w:tcPr>
            <w:tcW w:w="1580" w:type="dxa"/>
            <w:tcBorders>
              <w:top w:val="nil"/>
              <w:left w:val="nil"/>
              <w:bottom w:val="nil"/>
              <w:right w:val="nil"/>
            </w:tcBorders>
            <w:shd w:val="clear" w:color="auto" w:fill="auto"/>
            <w:noWrap/>
            <w:vAlign w:val="bottom"/>
            <w:hideMark/>
          </w:tcPr>
          <w:p w14:paraId="50A8ED27" w14:textId="77777777" w:rsidR="00FB337C" w:rsidRPr="00E5257C" w:rsidRDefault="00FB337C" w:rsidP="00FB337C">
            <w:pPr>
              <w:spacing w:after="0" w:line="240" w:lineRule="auto"/>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60  -6  42</w:t>
            </w:r>
          </w:p>
        </w:tc>
        <w:tc>
          <w:tcPr>
            <w:tcW w:w="960" w:type="dxa"/>
            <w:tcBorders>
              <w:top w:val="nil"/>
              <w:left w:val="nil"/>
              <w:bottom w:val="nil"/>
              <w:right w:val="nil"/>
            </w:tcBorders>
            <w:shd w:val="clear" w:color="auto" w:fill="auto"/>
            <w:noWrap/>
            <w:vAlign w:val="bottom"/>
            <w:hideMark/>
          </w:tcPr>
          <w:p w14:paraId="7B9EDB6A"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-3.95</w:t>
            </w:r>
          </w:p>
        </w:tc>
        <w:tc>
          <w:tcPr>
            <w:tcW w:w="960" w:type="dxa"/>
            <w:tcBorders>
              <w:top w:val="nil"/>
              <w:left w:val="nil"/>
              <w:bottom w:val="nil"/>
              <w:right w:val="nil"/>
            </w:tcBorders>
            <w:shd w:val="clear" w:color="auto" w:fill="auto"/>
            <w:noWrap/>
            <w:vAlign w:val="bottom"/>
            <w:hideMark/>
          </w:tcPr>
          <w:p w14:paraId="18547815" w14:textId="77777777" w:rsidR="00FB337C" w:rsidRPr="00E5257C" w:rsidRDefault="00FB337C" w:rsidP="00FB337C">
            <w:pPr>
              <w:spacing w:after="0" w:line="240" w:lineRule="auto"/>
              <w:jc w:val="right"/>
              <w:rPr>
                <w:rFonts w:eastAsia="Times New Roman" w:cs="Times New Roman"/>
                <w:color w:val="000000"/>
                <w:sz w:val="20"/>
                <w:szCs w:val="20"/>
                <w:lang w:val="en-GB" w:eastAsia="en-GB"/>
              </w:rPr>
            </w:pPr>
            <w:r w:rsidRPr="00E5257C">
              <w:rPr>
                <w:rFonts w:eastAsia="Times New Roman" w:cs="Times New Roman"/>
                <w:color w:val="000000"/>
                <w:sz w:val="20"/>
                <w:szCs w:val="20"/>
                <w:lang w:val="en-GB" w:eastAsia="en-GB"/>
              </w:rPr>
              <w:t>0.0231</w:t>
            </w:r>
          </w:p>
        </w:tc>
      </w:tr>
    </w:tbl>
    <w:p w14:paraId="5EA6527F" w14:textId="77777777" w:rsidR="00FB337C" w:rsidRDefault="00FB337C" w:rsidP="00D71299">
      <w:pPr>
        <w:jc w:val="both"/>
        <w:rPr>
          <w:shd w:val="clear" w:color="auto" w:fill="FFFCF0"/>
        </w:rPr>
      </w:pPr>
    </w:p>
    <w:p w14:paraId="036BE257" w14:textId="0D4A4F39" w:rsidR="00AB0376" w:rsidRDefault="00E067DF" w:rsidP="00D71299">
      <w:pPr>
        <w:jc w:val="both"/>
        <w:rPr>
          <w:b/>
          <w:shd w:val="clear" w:color="auto" w:fill="FFFCF0"/>
        </w:rPr>
      </w:pPr>
      <w:bookmarkStart w:id="0" w:name="_GoBack"/>
      <w:r>
        <w:rPr>
          <w:b/>
          <w:shd w:val="clear" w:color="auto" w:fill="FFFCF0"/>
        </w:rPr>
        <w:t>References</w:t>
      </w:r>
    </w:p>
    <w:bookmarkEnd w:id="0"/>
    <w:p w14:paraId="7FE0866C" w14:textId="19715212" w:rsidR="00AB0376" w:rsidRPr="00AB0376" w:rsidRDefault="00AB0376" w:rsidP="00AB0376">
      <w:pPr>
        <w:widowControl w:val="0"/>
        <w:autoSpaceDE w:val="0"/>
        <w:autoSpaceDN w:val="0"/>
        <w:adjustRightInd w:val="0"/>
        <w:spacing w:line="240" w:lineRule="auto"/>
        <w:ind w:left="640" w:hanging="640"/>
        <w:rPr>
          <w:rFonts w:ascii="Calibri" w:hAnsi="Calibri" w:cs="Times New Roman"/>
          <w:noProof/>
          <w:szCs w:val="24"/>
        </w:rPr>
      </w:pPr>
      <w:r>
        <w:rPr>
          <w:b/>
          <w:shd w:val="clear" w:color="auto" w:fill="FFFCF0"/>
        </w:rPr>
        <w:fldChar w:fldCharType="begin" w:fldLock="1"/>
      </w:r>
      <w:r>
        <w:rPr>
          <w:b/>
          <w:shd w:val="clear" w:color="auto" w:fill="FFFCF0"/>
        </w:rPr>
        <w:instrText xml:space="preserve">ADDIN Mendeley Bibliography CSL_BIBLIOGRAPHY </w:instrText>
      </w:r>
      <w:r>
        <w:rPr>
          <w:b/>
          <w:shd w:val="clear" w:color="auto" w:fill="FFFCF0"/>
        </w:rPr>
        <w:fldChar w:fldCharType="separate"/>
      </w:r>
      <w:r w:rsidRPr="00AB0376">
        <w:rPr>
          <w:rFonts w:ascii="Calibri" w:hAnsi="Calibri" w:cs="Times New Roman"/>
          <w:noProof/>
          <w:szCs w:val="24"/>
        </w:rPr>
        <w:t>1.</w:t>
      </w:r>
      <w:r w:rsidRPr="00AB0376">
        <w:rPr>
          <w:rFonts w:ascii="Calibri" w:hAnsi="Calibri" w:cs="Times New Roman"/>
          <w:noProof/>
          <w:szCs w:val="24"/>
        </w:rPr>
        <w:tab/>
        <w:t>Nichols TE, Holmes AP: Nonparametric Permutation Tests for Functional Neuroimaging: A Primer with examples. Hum Brain Mapp 2001; 15:1–25</w:t>
      </w:r>
    </w:p>
    <w:p w14:paraId="6391D14C" w14:textId="77777777" w:rsidR="00AB0376" w:rsidRPr="00AB0376" w:rsidRDefault="00AB0376" w:rsidP="00AB0376">
      <w:pPr>
        <w:widowControl w:val="0"/>
        <w:autoSpaceDE w:val="0"/>
        <w:autoSpaceDN w:val="0"/>
        <w:adjustRightInd w:val="0"/>
        <w:spacing w:line="240" w:lineRule="auto"/>
        <w:ind w:left="640" w:hanging="640"/>
        <w:rPr>
          <w:rFonts w:ascii="Calibri" w:hAnsi="Calibri" w:cs="Times New Roman"/>
          <w:noProof/>
          <w:szCs w:val="24"/>
        </w:rPr>
      </w:pPr>
      <w:r w:rsidRPr="00AB0376">
        <w:rPr>
          <w:rFonts w:ascii="Calibri" w:hAnsi="Calibri" w:cs="Times New Roman"/>
          <w:noProof/>
          <w:szCs w:val="24"/>
        </w:rPr>
        <w:t>2.</w:t>
      </w:r>
      <w:r w:rsidRPr="00AB0376">
        <w:rPr>
          <w:rFonts w:ascii="Calibri" w:hAnsi="Calibri" w:cs="Times New Roman"/>
          <w:noProof/>
          <w:szCs w:val="24"/>
        </w:rPr>
        <w:tab/>
        <w:t>Nichols TE, Holmes AP: Nonparametric Permutation Tests for Functional Neuroimaging. 2003</w:t>
      </w:r>
    </w:p>
    <w:p w14:paraId="6C173862" w14:textId="77777777" w:rsidR="00AB0376" w:rsidRPr="00AB0376" w:rsidRDefault="00AB0376" w:rsidP="00AB0376">
      <w:pPr>
        <w:widowControl w:val="0"/>
        <w:autoSpaceDE w:val="0"/>
        <w:autoSpaceDN w:val="0"/>
        <w:adjustRightInd w:val="0"/>
        <w:spacing w:line="240" w:lineRule="auto"/>
        <w:ind w:left="640" w:hanging="640"/>
        <w:rPr>
          <w:rFonts w:ascii="Calibri" w:hAnsi="Calibri" w:cs="Times New Roman"/>
          <w:noProof/>
          <w:szCs w:val="24"/>
        </w:rPr>
      </w:pPr>
      <w:r w:rsidRPr="00AB0376">
        <w:rPr>
          <w:rFonts w:ascii="Calibri" w:hAnsi="Calibri" w:cs="Times New Roman"/>
          <w:noProof/>
          <w:szCs w:val="24"/>
        </w:rPr>
        <w:t>3.</w:t>
      </w:r>
      <w:r w:rsidRPr="00AB0376">
        <w:rPr>
          <w:rFonts w:ascii="Calibri" w:hAnsi="Calibri" w:cs="Times New Roman"/>
          <w:noProof/>
          <w:szCs w:val="24"/>
        </w:rPr>
        <w:tab/>
        <w:t>Muthukumaraswamy SD, Shaw AD, Jackson LE, Hall J, Moran R, Saxena N: Evidence that Subanesthetic Doses of Ketamine Cause Sustained Disruptions of NMDA and AMPA-Mediated Frontoparietal Connectivity in Humans. J Neurosci 2015; 35:11694–706</w:t>
      </w:r>
    </w:p>
    <w:p w14:paraId="51DAF765" w14:textId="77777777" w:rsidR="00AB0376" w:rsidRPr="00AB0376" w:rsidRDefault="00AB0376" w:rsidP="00AB0376">
      <w:pPr>
        <w:widowControl w:val="0"/>
        <w:autoSpaceDE w:val="0"/>
        <w:autoSpaceDN w:val="0"/>
        <w:adjustRightInd w:val="0"/>
        <w:spacing w:line="240" w:lineRule="auto"/>
        <w:ind w:left="640" w:hanging="640"/>
        <w:rPr>
          <w:rFonts w:ascii="Calibri" w:hAnsi="Calibri" w:cs="Times New Roman"/>
          <w:noProof/>
          <w:szCs w:val="24"/>
        </w:rPr>
      </w:pPr>
      <w:r w:rsidRPr="00AB0376">
        <w:rPr>
          <w:rFonts w:ascii="Calibri" w:hAnsi="Calibri" w:cs="Times New Roman"/>
          <w:noProof/>
          <w:szCs w:val="24"/>
        </w:rPr>
        <w:t>4.</w:t>
      </w:r>
      <w:r w:rsidRPr="00AB0376">
        <w:rPr>
          <w:rFonts w:ascii="Calibri" w:hAnsi="Calibri" w:cs="Times New Roman"/>
          <w:noProof/>
          <w:szCs w:val="24"/>
        </w:rPr>
        <w:tab/>
        <w:t>Hillebrand A, Tewarie P, Dellen E van, Yu M, Carbo EWS, Douw L, Gouw AA, Straaten ECW van, Stam CJ: Direction of information flow in large-scale resting-state networks is frequency-dependent. Pnas 2016; 113:3867–72</w:t>
      </w:r>
    </w:p>
    <w:p w14:paraId="5851B7D4" w14:textId="77777777" w:rsidR="00AB0376" w:rsidRPr="00AB0376" w:rsidRDefault="00AB0376" w:rsidP="00AB0376">
      <w:pPr>
        <w:widowControl w:val="0"/>
        <w:autoSpaceDE w:val="0"/>
        <w:autoSpaceDN w:val="0"/>
        <w:adjustRightInd w:val="0"/>
        <w:spacing w:line="240" w:lineRule="auto"/>
        <w:ind w:left="640" w:hanging="640"/>
        <w:rPr>
          <w:rFonts w:ascii="Calibri" w:hAnsi="Calibri" w:cs="Times New Roman"/>
          <w:noProof/>
          <w:szCs w:val="24"/>
        </w:rPr>
      </w:pPr>
      <w:r w:rsidRPr="00AB0376">
        <w:rPr>
          <w:rFonts w:ascii="Calibri" w:hAnsi="Calibri" w:cs="Times New Roman"/>
          <w:noProof/>
          <w:szCs w:val="24"/>
        </w:rPr>
        <w:t>5.</w:t>
      </w:r>
      <w:r w:rsidRPr="00AB0376">
        <w:rPr>
          <w:rFonts w:ascii="Calibri" w:hAnsi="Calibri" w:cs="Times New Roman"/>
          <w:noProof/>
          <w:szCs w:val="24"/>
        </w:rPr>
        <w:tab/>
        <w:t>Pantazis D, Nichols TE, Baillet S, Leahy RM: A comparison of random field theory and permutation methods for the statistical analysis of MEG data. Neuroimage 2005; 25:383–94</w:t>
      </w:r>
    </w:p>
    <w:p w14:paraId="52062D8F" w14:textId="77777777" w:rsidR="00AB0376" w:rsidRPr="00AB0376" w:rsidRDefault="00AB0376" w:rsidP="00AB0376">
      <w:pPr>
        <w:widowControl w:val="0"/>
        <w:autoSpaceDE w:val="0"/>
        <w:autoSpaceDN w:val="0"/>
        <w:adjustRightInd w:val="0"/>
        <w:spacing w:line="240" w:lineRule="auto"/>
        <w:ind w:left="640" w:hanging="640"/>
        <w:rPr>
          <w:rFonts w:ascii="Calibri" w:hAnsi="Calibri"/>
          <w:noProof/>
        </w:rPr>
      </w:pPr>
      <w:r w:rsidRPr="00AB0376">
        <w:rPr>
          <w:rFonts w:ascii="Calibri" w:hAnsi="Calibri" w:cs="Times New Roman"/>
          <w:noProof/>
          <w:szCs w:val="24"/>
        </w:rPr>
        <w:t>6.</w:t>
      </w:r>
      <w:r w:rsidRPr="00AB0376">
        <w:rPr>
          <w:rFonts w:ascii="Calibri" w:hAnsi="Calibri" w:cs="Times New Roman"/>
          <w:noProof/>
          <w:szCs w:val="24"/>
        </w:rPr>
        <w:tab/>
        <w:t>Tzourio-Mazoyer N, Landeau B, Papathanassiou D, Crivello F, Etard O, Delcroix N, Mazoyer B, Joliot M: Automated anatomical labeling of activations in SPM using a macroscopic anatomical parcellation of the MNI MRI single-subject brain. Neuroimage 2002; 15:273–89</w:t>
      </w:r>
    </w:p>
    <w:p w14:paraId="4F1BDD22" w14:textId="520EB638" w:rsidR="00AB0376" w:rsidRPr="00AB0376" w:rsidRDefault="00AB0376" w:rsidP="00D71299">
      <w:pPr>
        <w:jc w:val="both"/>
        <w:rPr>
          <w:b/>
          <w:shd w:val="clear" w:color="auto" w:fill="FFFCF0"/>
        </w:rPr>
      </w:pPr>
      <w:r>
        <w:rPr>
          <w:b/>
          <w:shd w:val="clear" w:color="auto" w:fill="FFFCF0"/>
        </w:rPr>
        <w:fldChar w:fldCharType="end"/>
      </w:r>
    </w:p>
    <w:sectPr w:rsidR="00AB0376" w:rsidRPr="00AB0376" w:rsidSect="007362C3">
      <w:pgSz w:w="11906" w:h="16838"/>
      <w:pgMar w:top="1440" w:right="1440" w:bottom="28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99"/>
    <w:rsid w:val="0003045B"/>
    <w:rsid w:val="000930F6"/>
    <w:rsid w:val="000C5780"/>
    <w:rsid w:val="001634F2"/>
    <w:rsid w:val="001E3A51"/>
    <w:rsid w:val="001F5897"/>
    <w:rsid w:val="002E7287"/>
    <w:rsid w:val="00362799"/>
    <w:rsid w:val="00384023"/>
    <w:rsid w:val="00423AE3"/>
    <w:rsid w:val="005074E5"/>
    <w:rsid w:val="00592BA1"/>
    <w:rsid w:val="0061189A"/>
    <w:rsid w:val="00671D21"/>
    <w:rsid w:val="007362C3"/>
    <w:rsid w:val="007379F1"/>
    <w:rsid w:val="007A79EC"/>
    <w:rsid w:val="007C2FB2"/>
    <w:rsid w:val="007E4627"/>
    <w:rsid w:val="00802668"/>
    <w:rsid w:val="008724C7"/>
    <w:rsid w:val="009D627D"/>
    <w:rsid w:val="00A248E8"/>
    <w:rsid w:val="00AB0376"/>
    <w:rsid w:val="00B111B0"/>
    <w:rsid w:val="00C24A6A"/>
    <w:rsid w:val="00C60C2D"/>
    <w:rsid w:val="00C77114"/>
    <w:rsid w:val="00C7735E"/>
    <w:rsid w:val="00D71299"/>
    <w:rsid w:val="00D74B30"/>
    <w:rsid w:val="00DF6F3F"/>
    <w:rsid w:val="00E05BB8"/>
    <w:rsid w:val="00E067DF"/>
    <w:rsid w:val="00E5257C"/>
    <w:rsid w:val="00E665FB"/>
    <w:rsid w:val="00FB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614C"/>
  <w15:chartTrackingRefBased/>
  <w15:docId w15:val="{0DC7215C-57A4-41A3-B735-F4AAB1CF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qFormat/>
    <w:rsid w:val="00384023"/>
    <w:rPr>
      <w:sz w:val="18"/>
      <w:szCs w:val="18"/>
    </w:rPr>
  </w:style>
  <w:style w:type="paragraph" w:styleId="CommentText">
    <w:name w:val="annotation text"/>
    <w:basedOn w:val="Normal"/>
    <w:link w:val="CommentTextChar"/>
    <w:uiPriority w:val="99"/>
    <w:semiHidden/>
    <w:unhideWhenUsed/>
    <w:rsid w:val="00384023"/>
    <w:pPr>
      <w:spacing w:line="240" w:lineRule="auto"/>
    </w:pPr>
    <w:rPr>
      <w:sz w:val="20"/>
      <w:szCs w:val="20"/>
    </w:rPr>
  </w:style>
  <w:style w:type="character" w:customStyle="1" w:styleId="CommentTextChar">
    <w:name w:val="Comment Text Char"/>
    <w:basedOn w:val="DefaultParagraphFont"/>
    <w:link w:val="CommentText"/>
    <w:uiPriority w:val="99"/>
    <w:semiHidden/>
    <w:rsid w:val="00384023"/>
    <w:rPr>
      <w:sz w:val="20"/>
      <w:szCs w:val="20"/>
      <w:lang w:val="en-US"/>
    </w:rPr>
  </w:style>
  <w:style w:type="paragraph" w:styleId="BalloonText">
    <w:name w:val="Balloon Text"/>
    <w:basedOn w:val="Normal"/>
    <w:link w:val="BalloonTextChar"/>
    <w:uiPriority w:val="99"/>
    <w:semiHidden/>
    <w:unhideWhenUsed/>
    <w:rsid w:val="00384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023"/>
    <w:rPr>
      <w:rFonts w:ascii="Segoe UI" w:hAnsi="Segoe UI" w:cs="Segoe UI"/>
      <w:sz w:val="18"/>
      <w:szCs w:val="18"/>
      <w:lang w:val="en-US"/>
    </w:rPr>
  </w:style>
  <w:style w:type="character" w:styleId="Hyperlink">
    <w:name w:val="Hyperlink"/>
    <w:basedOn w:val="DefaultParagraphFont"/>
    <w:uiPriority w:val="99"/>
    <w:semiHidden/>
    <w:unhideWhenUsed/>
    <w:rsid w:val="008724C7"/>
    <w:rPr>
      <w:color w:val="0563C1"/>
      <w:u w:val="single"/>
    </w:rPr>
  </w:style>
  <w:style w:type="character" w:styleId="FollowedHyperlink">
    <w:name w:val="FollowedHyperlink"/>
    <w:basedOn w:val="DefaultParagraphFont"/>
    <w:uiPriority w:val="99"/>
    <w:semiHidden/>
    <w:unhideWhenUsed/>
    <w:rsid w:val="008724C7"/>
    <w:rPr>
      <w:color w:val="954F72"/>
      <w:u w:val="single"/>
    </w:rPr>
  </w:style>
  <w:style w:type="paragraph" w:customStyle="1" w:styleId="xl68">
    <w:name w:val="xl68"/>
    <w:basedOn w:val="Normal"/>
    <w:rsid w:val="008724C7"/>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69">
    <w:name w:val="xl69"/>
    <w:basedOn w:val="Normal"/>
    <w:rsid w:val="008724C7"/>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70">
    <w:name w:val="xl70"/>
    <w:basedOn w:val="Normal"/>
    <w:rsid w:val="008724C7"/>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table" w:customStyle="1" w:styleId="TableGrid1">
    <w:name w:val="Table Grid1"/>
    <w:basedOn w:val="TableNormal"/>
    <w:next w:val="TableGrid"/>
    <w:uiPriority w:val="39"/>
    <w:rsid w:val="00E52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1682">
      <w:bodyDiv w:val="1"/>
      <w:marLeft w:val="0"/>
      <w:marRight w:val="0"/>
      <w:marTop w:val="0"/>
      <w:marBottom w:val="0"/>
      <w:divBdr>
        <w:top w:val="none" w:sz="0" w:space="0" w:color="auto"/>
        <w:left w:val="none" w:sz="0" w:space="0" w:color="auto"/>
        <w:bottom w:val="none" w:sz="0" w:space="0" w:color="auto"/>
        <w:right w:val="none" w:sz="0" w:space="0" w:color="auto"/>
      </w:divBdr>
    </w:div>
    <w:div w:id="19198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A6E1-68EB-4D56-BCCF-273C0DA8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Pelentritou</dc:creator>
  <cp:keywords/>
  <dc:description/>
  <cp:lastModifiedBy>Andria Pelentritou</cp:lastModifiedBy>
  <cp:revision>10</cp:revision>
  <dcterms:created xsi:type="dcterms:W3CDTF">2019-02-16T05:33:00Z</dcterms:created>
  <dcterms:modified xsi:type="dcterms:W3CDTF">2019-11-06T00:26:00Z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http://www.zotero.org/styles/anesthesiology</vt:lpwstr>
  </property>
  <property fmtid="{D5CDD505-2E9C-101B-9397-08002B2CF9AE}" pid="11" name="Mendeley Recent Style Name 4_1">
    <vt:lpwstr>Anesthesiology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http://www.zotero.org/styles/the-journal-of-neuroscience</vt:lpwstr>
  </property>
  <property fmtid="{D5CDD505-2E9C-101B-9397-08002B2CF9AE}" pid="21" name="Mendeley Recent Style Name 9_1">
    <vt:lpwstr>The Journal of Neuroscience</vt:lpwstr>
  </property>
  <property fmtid="{D5CDD505-2E9C-101B-9397-08002B2CF9AE}" pid="22" name="Mendeley Document_1">
    <vt:lpwstr>True</vt:lpwstr>
  </property>
  <property fmtid="{D5CDD505-2E9C-101B-9397-08002B2CF9AE}" pid="23" name="Mendeley Unique User Id_1">
    <vt:lpwstr>530d3abe-2fbf-3a6d-9374-1a08e0732e19</vt:lpwstr>
  </property>
  <property fmtid="{D5CDD505-2E9C-101B-9397-08002B2CF9AE}" pid="24" name="Mendeley Citation Style_1">
    <vt:lpwstr>http://www.zotero.org/styles/anesthesiology</vt:lpwstr>
  </property>
</Properties>
</file>