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248"/>
        <w:tblW w:w="1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236"/>
        <w:gridCol w:w="1046"/>
        <w:gridCol w:w="399"/>
        <w:gridCol w:w="895"/>
        <w:gridCol w:w="1178"/>
        <w:gridCol w:w="343"/>
        <w:gridCol w:w="885"/>
        <w:gridCol w:w="1046"/>
        <w:gridCol w:w="399"/>
        <w:gridCol w:w="758"/>
        <w:gridCol w:w="1310"/>
        <w:gridCol w:w="399"/>
        <w:gridCol w:w="885"/>
      </w:tblGrid>
      <w:tr w:rsidR="006B1853" w:rsidRPr="003E2367" w14:paraId="4197D424" w14:textId="77777777" w:rsidTr="006B1853">
        <w:trPr>
          <w:trHeight w:val="56"/>
        </w:trPr>
        <w:tc>
          <w:tcPr>
            <w:tcW w:w="1449" w:type="dxa"/>
            <w:shd w:val="clear" w:color="auto" w:fill="auto"/>
            <w:noWrap/>
            <w:vAlign w:val="bottom"/>
            <w:hideMark/>
          </w:tcPr>
          <w:p w14:paraId="6A22554A" w14:textId="77777777" w:rsidR="006B1853" w:rsidRPr="003E2367" w:rsidRDefault="006B1853" w:rsidP="006B1853">
            <w:pPr>
              <w:rPr>
                <w:rFonts w:cstheme="minorHAnsi"/>
                <w:sz w:val="22"/>
                <w:szCs w:val="22"/>
              </w:rPr>
            </w:pPr>
            <w:bookmarkStart w:id="0" w:name="OLE_LINK153"/>
            <w:bookmarkStart w:id="1" w:name="OLE_LINK154"/>
          </w:p>
        </w:tc>
        <w:tc>
          <w:tcPr>
            <w:tcW w:w="2236" w:type="dxa"/>
            <w:shd w:val="clear" w:color="auto" w:fill="auto"/>
            <w:noWrap/>
            <w:vAlign w:val="bottom"/>
            <w:hideMark/>
          </w:tcPr>
          <w:p w14:paraId="422EDA90" w14:textId="77777777" w:rsidR="006B1853" w:rsidRPr="003E2367" w:rsidRDefault="006B1853" w:rsidP="006B1853">
            <w:pPr>
              <w:rPr>
                <w:rFonts w:cstheme="minorHAnsi"/>
                <w:sz w:val="22"/>
                <w:szCs w:val="22"/>
              </w:rPr>
            </w:pPr>
          </w:p>
        </w:tc>
        <w:tc>
          <w:tcPr>
            <w:tcW w:w="4746" w:type="dxa"/>
            <w:gridSpan w:val="6"/>
            <w:shd w:val="clear" w:color="auto" w:fill="auto"/>
            <w:noWrap/>
            <w:vAlign w:val="bottom"/>
            <w:hideMark/>
          </w:tcPr>
          <w:p w14:paraId="1A83A89F" w14:textId="77777777" w:rsidR="006B1853" w:rsidRPr="003E2367" w:rsidRDefault="006B1853" w:rsidP="006B1853">
            <w:pPr>
              <w:jc w:val="center"/>
              <w:rPr>
                <w:rFonts w:cstheme="minorHAnsi"/>
                <w:b/>
                <w:bCs/>
                <w:i/>
                <w:iCs/>
                <w:color w:val="000000"/>
                <w:sz w:val="22"/>
                <w:szCs w:val="22"/>
              </w:rPr>
            </w:pPr>
            <w:r w:rsidRPr="003E2367">
              <w:rPr>
                <w:rFonts w:cstheme="minorHAnsi"/>
                <w:b/>
                <w:bCs/>
                <w:i/>
                <w:iCs/>
                <w:color w:val="000000"/>
                <w:sz w:val="22"/>
                <w:szCs w:val="22"/>
              </w:rPr>
              <w:t>Supine</w:t>
            </w:r>
          </w:p>
        </w:tc>
        <w:tc>
          <w:tcPr>
            <w:tcW w:w="4797" w:type="dxa"/>
            <w:gridSpan w:val="6"/>
            <w:shd w:val="clear" w:color="auto" w:fill="auto"/>
            <w:noWrap/>
            <w:vAlign w:val="bottom"/>
            <w:hideMark/>
          </w:tcPr>
          <w:p w14:paraId="47E89B3A" w14:textId="77777777" w:rsidR="006B1853" w:rsidRPr="003E2367" w:rsidRDefault="006B1853" w:rsidP="006B1853">
            <w:pPr>
              <w:jc w:val="center"/>
              <w:rPr>
                <w:rFonts w:cstheme="minorHAnsi"/>
                <w:b/>
                <w:bCs/>
                <w:i/>
                <w:iCs/>
                <w:color w:val="000000"/>
                <w:sz w:val="22"/>
                <w:szCs w:val="22"/>
              </w:rPr>
            </w:pPr>
            <w:r w:rsidRPr="003E2367">
              <w:rPr>
                <w:rFonts w:cstheme="minorHAnsi"/>
                <w:b/>
                <w:bCs/>
                <w:i/>
                <w:iCs/>
                <w:color w:val="000000"/>
                <w:sz w:val="22"/>
                <w:szCs w:val="22"/>
              </w:rPr>
              <w:t>Prone</w:t>
            </w:r>
          </w:p>
        </w:tc>
      </w:tr>
      <w:tr w:rsidR="006B1853" w:rsidRPr="003E2367" w14:paraId="496CF171" w14:textId="77777777" w:rsidTr="006B1853">
        <w:trPr>
          <w:trHeight w:val="125"/>
        </w:trPr>
        <w:tc>
          <w:tcPr>
            <w:tcW w:w="1449" w:type="dxa"/>
            <w:shd w:val="clear" w:color="auto" w:fill="auto"/>
            <w:noWrap/>
            <w:vAlign w:val="bottom"/>
            <w:hideMark/>
          </w:tcPr>
          <w:p w14:paraId="78B23B45" w14:textId="77777777" w:rsidR="006B1853" w:rsidRPr="003E2367" w:rsidRDefault="006B1853" w:rsidP="006B1853">
            <w:pPr>
              <w:jc w:val="center"/>
              <w:rPr>
                <w:rFonts w:cstheme="minorHAnsi"/>
                <w:b/>
                <w:bCs/>
                <w:i/>
                <w:iCs/>
                <w:color w:val="000000"/>
                <w:sz w:val="22"/>
                <w:szCs w:val="22"/>
              </w:rPr>
            </w:pPr>
          </w:p>
        </w:tc>
        <w:tc>
          <w:tcPr>
            <w:tcW w:w="2236" w:type="dxa"/>
            <w:shd w:val="clear" w:color="auto" w:fill="auto"/>
            <w:noWrap/>
            <w:vAlign w:val="bottom"/>
            <w:hideMark/>
          </w:tcPr>
          <w:p w14:paraId="6898D03B" w14:textId="77777777" w:rsidR="006B1853" w:rsidRPr="003E2367" w:rsidRDefault="006B1853" w:rsidP="006B1853">
            <w:pPr>
              <w:jc w:val="center"/>
              <w:rPr>
                <w:rFonts w:cstheme="minorHAnsi"/>
                <w:sz w:val="22"/>
                <w:szCs w:val="22"/>
              </w:rPr>
            </w:pPr>
          </w:p>
        </w:tc>
        <w:tc>
          <w:tcPr>
            <w:tcW w:w="2340" w:type="dxa"/>
            <w:gridSpan w:val="3"/>
            <w:shd w:val="clear" w:color="auto" w:fill="auto"/>
            <w:noWrap/>
            <w:vAlign w:val="bottom"/>
            <w:hideMark/>
          </w:tcPr>
          <w:p w14:paraId="4979658A" w14:textId="77777777" w:rsidR="006B1853" w:rsidRPr="003E2367" w:rsidRDefault="006B1853" w:rsidP="006B1853">
            <w:pPr>
              <w:jc w:val="center"/>
              <w:rPr>
                <w:rFonts w:cstheme="minorHAnsi"/>
                <w:b/>
                <w:bCs/>
                <w:i/>
                <w:iCs/>
                <w:color w:val="000000"/>
                <w:sz w:val="22"/>
                <w:szCs w:val="22"/>
              </w:rPr>
            </w:pPr>
            <w:r w:rsidRPr="003E2367">
              <w:rPr>
                <w:rFonts w:cstheme="minorHAnsi"/>
                <w:b/>
                <w:bCs/>
                <w:i/>
                <w:iCs/>
                <w:color w:val="000000"/>
                <w:sz w:val="22"/>
                <w:szCs w:val="22"/>
              </w:rPr>
              <w:t>PEEP5</w:t>
            </w:r>
          </w:p>
        </w:tc>
        <w:tc>
          <w:tcPr>
            <w:tcW w:w="2406" w:type="dxa"/>
            <w:gridSpan w:val="3"/>
            <w:shd w:val="clear" w:color="auto" w:fill="auto"/>
            <w:noWrap/>
            <w:vAlign w:val="bottom"/>
            <w:hideMark/>
          </w:tcPr>
          <w:p w14:paraId="51392D82" w14:textId="77777777" w:rsidR="006B1853" w:rsidRPr="003E2367" w:rsidRDefault="006B1853" w:rsidP="006B1853">
            <w:pPr>
              <w:jc w:val="center"/>
              <w:rPr>
                <w:rFonts w:cstheme="minorHAnsi"/>
                <w:b/>
                <w:bCs/>
                <w:i/>
                <w:iCs/>
                <w:color w:val="000000"/>
                <w:sz w:val="22"/>
                <w:szCs w:val="22"/>
              </w:rPr>
            </w:pPr>
            <w:r w:rsidRPr="003E2367">
              <w:rPr>
                <w:rFonts w:cstheme="minorHAnsi"/>
                <w:b/>
                <w:bCs/>
                <w:i/>
                <w:iCs/>
                <w:color w:val="000000"/>
                <w:sz w:val="22"/>
                <w:szCs w:val="22"/>
              </w:rPr>
              <w:t>PEEP10</w:t>
            </w:r>
          </w:p>
        </w:tc>
        <w:tc>
          <w:tcPr>
            <w:tcW w:w="2203" w:type="dxa"/>
            <w:gridSpan w:val="3"/>
            <w:shd w:val="clear" w:color="auto" w:fill="auto"/>
            <w:noWrap/>
            <w:vAlign w:val="bottom"/>
            <w:hideMark/>
          </w:tcPr>
          <w:p w14:paraId="1993ADEB" w14:textId="77777777" w:rsidR="006B1853" w:rsidRPr="003E2367" w:rsidRDefault="006B1853" w:rsidP="006B1853">
            <w:pPr>
              <w:jc w:val="center"/>
              <w:rPr>
                <w:rFonts w:cstheme="minorHAnsi"/>
                <w:b/>
                <w:bCs/>
                <w:i/>
                <w:iCs/>
                <w:color w:val="000000"/>
                <w:sz w:val="22"/>
                <w:szCs w:val="22"/>
              </w:rPr>
            </w:pPr>
            <w:r w:rsidRPr="003E2367">
              <w:rPr>
                <w:rFonts w:cstheme="minorHAnsi"/>
                <w:b/>
                <w:bCs/>
                <w:i/>
                <w:iCs/>
                <w:color w:val="000000"/>
                <w:sz w:val="22"/>
                <w:szCs w:val="22"/>
              </w:rPr>
              <w:t>PEEP5</w:t>
            </w:r>
          </w:p>
        </w:tc>
        <w:tc>
          <w:tcPr>
            <w:tcW w:w="2594" w:type="dxa"/>
            <w:gridSpan w:val="3"/>
            <w:shd w:val="clear" w:color="auto" w:fill="auto"/>
            <w:noWrap/>
            <w:vAlign w:val="bottom"/>
            <w:hideMark/>
          </w:tcPr>
          <w:p w14:paraId="5183D41B" w14:textId="77777777" w:rsidR="006B1853" w:rsidRPr="003E2367" w:rsidRDefault="006B1853" w:rsidP="006B1853">
            <w:pPr>
              <w:jc w:val="center"/>
              <w:rPr>
                <w:rFonts w:cstheme="minorHAnsi"/>
                <w:b/>
                <w:bCs/>
                <w:i/>
                <w:iCs/>
                <w:color w:val="000000"/>
                <w:sz w:val="22"/>
                <w:szCs w:val="22"/>
              </w:rPr>
            </w:pPr>
            <w:r w:rsidRPr="003E2367">
              <w:rPr>
                <w:rFonts w:cstheme="minorHAnsi"/>
                <w:b/>
                <w:bCs/>
                <w:i/>
                <w:iCs/>
                <w:color w:val="000000"/>
                <w:sz w:val="22"/>
                <w:szCs w:val="22"/>
              </w:rPr>
              <w:t>PEEP10</w:t>
            </w:r>
          </w:p>
        </w:tc>
      </w:tr>
      <w:tr w:rsidR="006B1853" w:rsidRPr="003E2367" w14:paraId="087E7B18" w14:textId="77777777" w:rsidTr="006B1853">
        <w:trPr>
          <w:trHeight w:val="389"/>
        </w:trPr>
        <w:tc>
          <w:tcPr>
            <w:tcW w:w="1449" w:type="dxa"/>
            <w:vMerge w:val="restart"/>
            <w:shd w:val="clear" w:color="auto" w:fill="auto"/>
            <w:noWrap/>
            <w:vAlign w:val="center"/>
            <w:hideMark/>
          </w:tcPr>
          <w:p w14:paraId="73774986" w14:textId="77777777" w:rsidR="006B1853" w:rsidRPr="003E2367" w:rsidRDefault="006B1853" w:rsidP="006B1853">
            <w:pPr>
              <w:jc w:val="center"/>
              <w:rPr>
                <w:rFonts w:cstheme="minorHAnsi"/>
                <w:b/>
                <w:bCs/>
                <w:i/>
                <w:iCs/>
                <w:color w:val="000000"/>
                <w:sz w:val="22"/>
                <w:szCs w:val="22"/>
              </w:rPr>
            </w:pPr>
            <w:r w:rsidRPr="003E2367">
              <w:rPr>
                <w:rFonts w:cstheme="minorHAnsi"/>
                <w:b/>
                <w:bCs/>
                <w:i/>
                <w:iCs/>
                <w:color w:val="000000"/>
                <w:sz w:val="22"/>
                <w:szCs w:val="22"/>
              </w:rPr>
              <w:t>Healthy EI</w:t>
            </w:r>
          </w:p>
        </w:tc>
        <w:tc>
          <w:tcPr>
            <w:tcW w:w="2236" w:type="dxa"/>
            <w:shd w:val="clear" w:color="auto" w:fill="auto"/>
            <w:noWrap/>
            <w:vAlign w:val="center"/>
            <w:hideMark/>
          </w:tcPr>
          <w:p w14:paraId="424C92D7" w14:textId="77777777" w:rsidR="006B1853" w:rsidRPr="003E2367" w:rsidRDefault="006B1853" w:rsidP="006B1853">
            <w:pPr>
              <w:jc w:val="center"/>
              <w:rPr>
                <w:rFonts w:cstheme="minorHAnsi"/>
                <w:b/>
                <w:bCs/>
                <w:i/>
                <w:iCs/>
                <w:color w:val="000000"/>
                <w:sz w:val="22"/>
                <w:szCs w:val="22"/>
              </w:rPr>
            </w:pPr>
            <w:r w:rsidRPr="003E2367">
              <w:rPr>
                <w:rFonts w:cstheme="minorHAnsi"/>
                <w:b/>
                <w:bCs/>
                <w:i/>
                <w:iCs/>
                <w:color w:val="000000"/>
                <w:sz w:val="22"/>
                <w:szCs w:val="22"/>
              </w:rPr>
              <w:t>Hounsfield Unit</w:t>
            </w:r>
          </w:p>
        </w:tc>
        <w:tc>
          <w:tcPr>
            <w:tcW w:w="1046" w:type="dxa"/>
            <w:shd w:val="clear" w:color="auto" w:fill="auto"/>
            <w:noWrap/>
            <w:vAlign w:val="bottom"/>
            <w:hideMark/>
          </w:tcPr>
          <w:p w14:paraId="0EAA1102"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-683.1</w:t>
            </w:r>
          </w:p>
        </w:tc>
        <w:tc>
          <w:tcPr>
            <w:tcW w:w="399" w:type="dxa"/>
            <w:shd w:val="clear" w:color="auto" w:fill="auto"/>
            <w:noWrap/>
            <w:vAlign w:val="bottom"/>
            <w:hideMark/>
          </w:tcPr>
          <w:p w14:paraId="2D5B3778"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95" w:type="dxa"/>
            <w:shd w:val="clear" w:color="auto" w:fill="auto"/>
            <w:noWrap/>
            <w:vAlign w:val="bottom"/>
            <w:hideMark/>
          </w:tcPr>
          <w:p w14:paraId="1F6BC3D9"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44.3</w:t>
            </w:r>
          </w:p>
        </w:tc>
        <w:tc>
          <w:tcPr>
            <w:tcW w:w="1178" w:type="dxa"/>
            <w:shd w:val="clear" w:color="auto" w:fill="auto"/>
            <w:noWrap/>
            <w:vAlign w:val="bottom"/>
            <w:hideMark/>
          </w:tcPr>
          <w:p w14:paraId="044519BA"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-734.3</w:t>
            </w:r>
            <w:r>
              <w:rPr>
                <w:rFonts w:cstheme="minorHAnsi"/>
                <w:color w:val="000000"/>
                <w:sz w:val="22"/>
                <w:szCs w:val="22"/>
              </w:rPr>
              <w:t xml:space="preserve"> </w:t>
            </w:r>
            <w:r w:rsidRPr="003E2367">
              <w:rPr>
                <w:rFonts w:cstheme="minorHAnsi"/>
                <w:color w:val="000000" w:themeColor="text1"/>
              </w:rPr>
              <w:t>†</w:t>
            </w:r>
          </w:p>
        </w:tc>
        <w:tc>
          <w:tcPr>
            <w:tcW w:w="343" w:type="dxa"/>
            <w:shd w:val="clear" w:color="auto" w:fill="auto"/>
            <w:noWrap/>
            <w:vAlign w:val="bottom"/>
            <w:hideMark/>
          </w:tcPr>
          <w:p w14:paraId="69F8A964"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85" w:type="dxa"/>
            <w:shd w:val="clear" w:color="auto" w:fill="auto"/>
            <w:noWrap/>
            <w:vAlign w:val="bottom"/>
            <w:hideMark/>
          </w:tcPr>
          <w:p w14:paraId="038763B5"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28.6</w:t>
            </w:r>
          </w:p>
        </w:tc>
        <w:tc>
          <w:tcPr>
            <w:tcW w:w="1046" w:type="dxa"/>
            <w:shd w:val="clear" w:color="auto" w:fill="auto"/>
            <w:noWrap/>
            <w:vAlign w:val="bottom"/>
            <w:hideMark/>
          </w:tcPr>
          <w:p w14:paraId="7C08CC53"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-691.3</w:t>
            </w:r>
          </w:p>
        </w:tc>
        <w:tc>
          <w:tcPr>
            <w:tcW w:w="399" w:type="dxa"/>
            <w:shd w:val="clear" w:color="auto" w:fill="auto"/>
            <w:noWrap/>
            <w:vAlign w:val="bottom"/>
            <w:hideMark/>
          </w:tcPr>
          <w:p w14:paraId="7893877B"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758" w:type="dxa"/>
            <w:shd w:val="clear" w:color="auto" w:fill="auto"/>
            <w:noWrap/>
            <w:vAlign w:val="bottom"/>
            <w:hideMark/>
          </w:tcPr>
          <w:p w14:paraId="4EC17949"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41.4</w:t>
            </w:r>
          </w:p>
        </w:tc>
        <w:tc>
          <w:tcPr>
            <w:tcW w:w="1310" w:type="dxa"/>
            <w:shd w:val="clear" w:color="auto" w:fill="auto"/>
            <w:noWrap/>
            <w:vAlign w:val="bottom"/>
            <w:hideMark/>
          </w:tcPr>
          <w:p w14:paraId="6F56CC3E"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-737.3</w:t>
            </w:r>
            <w:r>
              <w:rPr>
                <w:rFonts w:cstheme="minorHAnsi"/>
                <w:color w:val="000000"/>
                <w:sz w:val="22"/>
                <w:szCs w:val="22"/>
              </w:rPr>
              <w:t xml:space="preserve"> </w:t>
            </w:r>
            <w:r w:rsidRPr="003E2367">
              <w:rPr>
                <w:rFonts w:cstheme="minorHAnsi"/>
                <w:color w:val="000000" w:themeColor="text1"/>
              </w:rPr>
              <w:t>†</w:t>
            </w:r>
          </w:p>
        </w:tc>
        <w:tc>
          <w:tcPr>
            <w:tcW w:w="399" w:type="dxa"/>
            <w:shd w:val="clear" w:color="auto" w:fill="auto"/>
            <w:noWrap/>
            <w:vAlign w:val="bottom"/>
            <w:hideMark/>
          </w:tcPr>
          <w:p w14:paraId="6FE667D9"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85" w:type="dxa"/>
            <w:shd w:val="clear" w:color="auto" w:fill="auto"/>
            <w:noWrap/>
            <w:vAlign w:val="bottom"/>
            <w:hideMark/>
          </w:tcPr>
          <w:p w14:paraId="752ADD73"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34.7</w:t>
            </w:r>
          </w:p>
        </w:tc>
      </w:tr>
      <w:tr w:rsidR="006B1853" w:rsidRPr="003E2367" w14:paraId="154D9D2D" w14:textId="77777777" w:rsidTr="006B1853">
        <w:trPr>
          <w:trHeight w:val="389"/>
        </w:trPr>
        <w:tc>
          <w:tcPr>
            <w:tcW w:w="1449" w:type="dxa"/>
            <w:vMerge/>
            <w:vAlign w:val="center"/>
            <w:hideMark/>
          </w:tcPr>
          <w:p w14:paraId="7744F400" w14:textId="77777777" w:rsidR="006B1853" w:rsidRPr="003E2367" w:rsidRDefault="006B1853" w:rsidP="006B1853">
            <w:pPr>
              <w:rPr>
                <w:rFonts w:cstheme="minorHAnsi"/>
                <w:b/>
                <w:bCs/>
                <w:i/>
                <w:iCs/>
                <w:color w:val="000000"/>
                <w:sz w:val="22"/>
                <w:szCs w:val="22"/>
              </w:rPr>
            </w:pPr>
          </w:p>
        </w:tc>
        <w:tc>
          <w:tcPr>
            <w:tcW w:w="2236" w:type="dxa"/>
            <w:shd w:val="clear" w:color="auto" w:fill="auto"/>
            <w:noWrap/>
            <w:vAlign w:val="center"/>
            <w:hideMark/>
          </w:tcPr>
          <w:p w14:paraId="2B518B41" w14:textId="77777777" w:rsidR="006B1853" w:rsidRPr="003E2367" w:rsidRDefault="006B1853" w:rsidP="006B1853">
            <w:pPr>
              <w:jc w:val="center"/>
              <w:rPr>
                <w:rFonts w:cstheme="minorHAnsi"/>
                <w:b/>
                <w:bCs/>
                <w:i/>
                <w:iCs/>
                <w:color w:val="000000"/>
                <w:sz w:val="22"/>
                <w:szCs w:val="22"/>
              </w:rPr>
            </w:pPr>
            <w:r w:rsidRPr="003E2367">
              <w:rPr>
                <w:rFonts w:cstheme="minorHAnsi"/>
                <w:b/>
                <w:bCs/>
                <w:i/>
                <w:iCs/>
                <w:color w:val="000000"/>
                <w:sz w:val="22"/>
                <w:szCs w:val="22"/>
              </w:rPr>
              <w:t>Gas Volume [ml]</w:t>
            </w:r>
          </w:p>
        </w:tc>
        <w:tc>
          <w:tcPr>
            <w:tcW w:w="1046" w:type="dxa"/>
            <w:shd w:val="clear" w:color="auto" w:fill="auto"/>
            <w:noWrap/>
            <w:vAlign w:val="bottom"/>
            <w:hideMark/>
          </w:tcPr>
          <w:p w14:paraId="7257FBC6"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1159.2</w:t>
            </w:r>
          </w:p>
        </w:tc>
        <w:tc>
          <w:tcPr>
            <w:tcW w:w="399" w:type="dxa"/>
            <w:shd w:val="clear" w:color="auto" w:fill="auto"/>
            <w:noWrap/>
            <w:vAlign w:val="bottom"/>
            <w:hideMark/>
          </w:tcPr>
          <w:p w14:paraId="3462DFDB"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95" w:type="dxa"/>
            <w:shd w:val="clear" w:color="auto" w:fill="auto"/>
            <w:noWrap/>
            <w:vAlign w:val="bottom"/>
            <w:hideMark/>
          </w:tcPr>
          <w:p w14:paraId="50329106"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142.3</w:t>
            </w:r>
          </w:p>
        </w:tc>
        <w:tc>
          <w:tcPr>
            <w:tcW w:w="1178" w:type="dxa"/>
            <w:shd w:val="clear" w:color="auto" w:fill="auto"/>
            <w:noWrap/>
            <w:vAlign w:val="bottom"/>
            <w:hideMark/>
          </w:tcPr>
          <w:p w14:paraId="3EF2836C"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1460.8</w:t>
            </w:r>
            <w:r>
              <w:rPr>
                <w:rFonts w:cstheme="minorHAnsi"/>
                <w:color w:val="000000"/>
                <w:sz w:val="22"/>
                <w:szCs w:val="22"/>
              </w:rPr>
              <w:t xml:space="preserve"> </w:t>
            </w:r>
            <w:r w:rsidRPr="003E2367">
              <w:rPr>
                <w:rFonts w:cstheme="minorHAnsi"/>
                <w:color w:val="000000" w:themeColor="text1"/>
              </w:rPr>
              <w:t>†</w:t>
            </w:r>
          </w:p>
        </w:tc>
        <w:tc>
          <w:tcPr>
            <w:tcW w:w="343" w:type="dxa"/>
            <w:shd w:val="clear" w:color="auto" w:fill="auto"/>
            <w:noWrap/>
            <w:vAlign w:val="bottom"/>
            <w:hideMark/>
          </w:tcPr>
          <w:p w14:paraId="78A8A3D1"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85" w:type="dxa"/>
            <w:shd w:val="clear" w:color="auto" w:fill="auto"/>
            <w:noWrap/>
            <w:vAlign w:val="bottom"/>
            <w:hideMark/>
          </w:tcPr>
          <w:p w14:paraId="78A1841B"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160.2</w:t>
            </w:r>
          </w:p>
        </w:tc>
        <w:tc>
          <w:tcPr>
            <w:tcW w:w="1046" w:type="dxa"/>
            <w:shd w:val="clear" w:color="auto" w:fill="auto"/>
            <w:noWrap/>
            <w:vAlign w:val="bottom"/>
            <w:hideMark/>
          </w:tcPr>
          <w:p w14:paraId="6755F153"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1196.3</w:t>
            </w:r>
          </w:p>
        </w:tc>
        <w:tc>
          <w:tcPr>
            <w:tcW w:w="399" w:type="dxa"/>
            <w:shd w:val="clear" w:color="auto" w:fill="auto"/>
            <w:noWrap/>
            <w:vAlign w:val="bottom"/>
            <w:hideMark/>
          </w:tcPr>
          <w:p w14:paraId="6717DE2F"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758" w:type="dxa"/>
            <w:shd w:val="clear" w:color="auto" w:fill="auto"/>
            <w:noWrap/>
            <w:vAlign w:val="bottom"/>
            <w:hideMark/>
          </w:tcPr>
          <w:p w14:paraId="19B39388"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188.8</w:t>
            </w:r>
          </w:p>
        </w:tc>
        <w:tc>
          <w:tcPr>
            <w:tcW w:w="1310" w:type="dxa"/>
            <w:shd w:val="clear" w:color="auto" w:fill="auto"/>
            <w:noWrap/>
            <w:vAlign w:val="bottom"/>
            <w:hideMark/>
          </w:tcPr>
          <w:p w14:paraId="192F95CF"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1478.6</w:t>
            </w:r>
            <w:r>
              <w:rPr>
                <w:rFonts w:cstheme="minorHAnsi"/>
                <w:color w:val="000000"/>
                <w:sz w:val="22"/>
                <w:szCs w:val="22"/>
              </w:rPr>
              <w:t xml:space="preserve"> </w:t>
            </w:r>
            <w:r w:rsidRPr="003E2367">
              <w:rPr>
                <w:rFonts w:cstheme="minorHAnsi"/>
                <w:color w:val="000000" w:themeColor="text1"/>
              </w:rPr>
              <w:t>†</w:t>
            </w:r>
          </w:p>
        </w:tc>
        <w:tc>
          <w:tcPr>
            <w:tcW w:w="399" w:type="dxa"/>
            <w:shd w:val="clear" w:color="auto" w:fill="auto"/>
            <w:noWrap/>
            <w:vAlign w:val="bottom"/>
            <w:hideMark/>
          </w:tcPr>
          <w:p w14:paraId="5192F207"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85" w:type="dxa"/>
            <w:shd w:val="clear" w:color="auto" w:fill="auto"/>
            <w:noWrap/>
            <w:vAlign w:val="bottom"/>
            <w:hideMark/>
          </w:tcPr>
          <w:p w14:paraId="0D5BC97E"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214.3</w:t>
            </w:r>
          </w:p>
        </w:tc>
      </w:tr>
      <w:tr w:rsidR="006B1853" w:rsidRPr="003E2367" w14:paraId="420D4620" w14:textId="77777777" w:rsidTr="006B1853">
        <w:trPr>
          <w:trHeight w:val="389"/>
        </w:trPr>
        <w:tc>
          <w:tcPr>
            <w:tcW w:w="1449" w:type="dxa"/>
            <w:vMerge/>
            <w:vAlign w:val="center"/>
            <w:hideMark/>
          </w:tcPr>
          <w:p w14:paraId="5D9375E0" w14:textId="77777777" w:rsidR="006B1853" w:rsidRPr="003E2367" w:rsidRDefault="006B1853" w:rsidP="006B1853">
            <w:pPr>
              <w:rPr>
                <w:rFonts w:cstheme="minorHAnsi"/>
                <w:b/>
                <w:bCs/>
                <w:i/>
                <w:iCs/>
                <w:color w:val="000000"/>
                <w:sz w:val="22"/>
                <w:szCs w:val="22"/>
              </w:rPr>
            </w:pPr>
          </w:p>
        </w:tc>
        <w:tc>
          <w:tcPr>
            <w:tcW w:w="2236" w:type="dxa"/>
            <w:shd w:val="clear" w:color="auto" w:fill="auto"/>
            <w:noWrap/>
            <w:vAlign w:val="center"/>
            <w:hideMark/>
          </w:tcPr>
          <w:p w14:paraId="7D1E0ADB" w14:textId="77777777" w:rsidR="006B1853" w:rsidRPr="003E2367" w:rsidRDefault="006B1853" w:rsidP="006B1853">
            <w:pPr>
              <w:jc w:val="center"/>
              <w:rPr>
                <w:rFonts w:cstheme="minorHAnsi"/>
                <w:b/>
                <w:bCs/>
                <w:i/>
                <w:iCs/>
                <w:color w:val="000000"/>
                <w:sz w:val="22"/>
                <w:szCs w:val="22"/>
              </w:rPr>
            </w:pPr>
            <w:r w:rsidRPr="003E2367">
              <w:rPr>
                <w:rFonts w:cstheme="minorHAnsi"/>
                <w:b/>
                <w:bCs/>
                <w:i/>
                <w:iCs/>
                <w:color w:val="000000"/>
                <w:sz w:val="22"/>
                <w:szCs w:val="22"/>
              </w:rPr>
              <w:t>Lung Weight [g]</w:t>
            </w:r>
          </w:p>
        </w:tc>
        <w:tc>
          <w:tcPr>
            <w:tcW w:w="1046" w:type="dxa"/>
            <w:shd w:val="clear" w:color="auto" w:fill="auto"/>
            <w:noWrap/>
            <w:vAlign w:val="bottom"/>
            <w:hideMark/>
          </w:tcPr>
          <w:p w14:paraId="049376C3"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533.4</w:t>
            </w:r>
          </w:p>
        </w:tc>
        <w:tc>
          <w:tcPr>
            <w:tcW w:w="399" w:type="dxa"/>
            <w:shd w:val="clear" w:color="auto" w:fill="auto"/>
            <w:noWrap/>
            <w:vAlign w:val="bottom"/>
            <w:hideMark/>
          </w:tcPr>
          <w:p w14:paraId="283FCC6A"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95" w:type="dxa"/>
            <w:shd w:val="clear" w:color="auto" w:fill="auto"/>
            <w:noWrap/>
            <w:vAlign w:val="bottom"/>
            <w:hideMark/>
          </w:tcPr>
          <w:p w14:paraId="3291D37A"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54.0</w:t>
            </w:r>
          </w:p>
        </w:tc>
        <w:tc>
          <w:tcPr>
            <w:tcW w:w="1178" w:type="dxa"/>
            <w:shd w:val="clear" w:color="auto" w:fill="auto"/>
            <w:noWrap/>
            <w:vAlign w:val="bottom"/>
            <w:hideMark/>
          </w:tcPr>
          <w:p w14:paraId="1F6AC86A"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527.3</w:t>
            </w:r>
          </w:p>
        </w:tc>
        <w:tc>
          <w:tcPr>
            <w:tcW w:w="343" w:type="dxa"/>
            <w:shd w:val="clear" w:color="auto" w:fill="auto"/>
            <w:noWrap/>
            <w:vAlign w:val="bottom"/>
            <w:hideMark/>
          </w:tcPr>
          <w:p w14:paraId="5E973CDC"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85" w:type="dxa"/>
            <w:shd w:val="clear" w:color="auto" w:fill="auto"/>
            <w:noWrap/>
            <w:vAlign w:val="bottom"/>
            <w:hideMark/>
          </w:tcPr>
          <w:p w14:paraId="6B06A028"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62.9</w:t>
            </w:r>
          </w:p>
        </w:tc>
        <w:tc>
          <w:tcPr>
            <w:tcW w:w="1046" w:type="dxa"/>
            <w:shd w:val="clear" w:color="auto" w:fill="auto"/>
            <w:noWrap/>
            <w:vAlign w:val="bottom"/>
            <w:hideMark/>
          </w:tcPr>
          <w:p w14:paraId="783B0F5F"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527.3</w:t>
            </w:r>
          </w:p>
        </w:tc>
        <w:tc>
          <w:tcPr>
            <w:tcW w:w="399" w:type="dxa"/>
            <w:shd w:val="clear" w:color="auto" w:fill="auto"/>
            <w:noWrap/>
            <w:vAlign w:val="bottom"/>
            <w:hideMark/>
          </w:tcPr>
          <w:p w14:paraId="0CC99EA2"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758" w:type="dxa"/>
            <w:shd w:val="clear" w:color="auto" w:fill="auto"/>
            <w:noWrap/>
            <w:vAlign w:val="bottom"/>
            <w:hideMark/>
          </w:tcPr>
          <w:p w14:paraId="2DD76EB7"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39.9</w:t>
            </w:r>
          </w:p>
        </w:tc>
        <w:tc>
          <w:tcPr>
            <w:tcW w:w="1310" w:type="dxa"/>
            <w:shd w:val="clear" w:color="auto" w:fill="auto"/>
            <w:noWrap/>
            <w:vAlign w:val="bottom"/>
            <w:hideMark/>
          </w:tcPr>
          <w:p w14:paraId="3CBF2F5C"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522.1</w:t>
            </w:r>
          </w:p>
        </w:tc>
        <w:tc>
          <w:tcPr>
            <w:tcW w:w="399" w:type="dxa"/>
            <w:shd w:val="clear" w:color="auto" w:fill="auto"/>
            <w:noWrap/>
            <w:vAlign w:val="bottom"/>
            <w:hideMark/>
          </w:tcPr>
          <w:p w14:paraId="0D889DD6"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85" w:type="dxa"/>
            <w:shd w:val="clear" w:color="auto" w:fill="auto"/>
            <w:noWrap/>
            <w:vAlign w:val="bottom"/>
            <w:hideMark/>
          </w:tcPr>
          <w:p w14:paraId="4D1BE42C"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48.0</w:t>
            </w:r>
          </w:p>
        </w:tc>
      </w:tr>
      <w:tr w:rsidR="006B1853" w:rsidRPr="003E2367" w14:paraId="5D737913" w14:textId="77777777" w:rsidTr="006B1853">
        <w:trPr>
          <w:trHeight w:val="389"/>
        </w:trPr>
        <w:tc>
          <w:tcPr>
            <w:tcW w:w="1449" w:type="dxa"/>
            <w:vMerge w:val="restart"/>
            <w:shd w:val="clear" w:color="auto" w:fill="auto"/>
            <w:noWrap/>
            <w:vAlign w:val="center"/>
            <w:hideMark/>
          </w:tcPr>
          <w:p w14:paraId="124800CF" w14:textId="77777777" w:rsidR="006B1853" w:rsidRPr="003E2367" w:rsidRDefault="006B1853" w:rsidP="006B1853">
            <w:pPr>
              <w:jc w:val="center"/>
              <w:rPr>
                <w:rFonts w:cstheme="minorHAnsi"/>
                <w:b/>
                <w:bCs/>
                <w:i/>
                <w:iCs/>
                <w:color w:val="000000"/>
                <w:sz w:val="22"/>
                <w:szCs w:val="22"/>
              </w:rPr>
            </w:pPr>
            <w:r w:rsidRPr="003E2367">
              <w:rPr>
                <w:rFonts w:cstheme="minorHAnsi"/>
                <w:b/>
                <w:bCs/>
                <w:i/>
                <w:iCs/>
                <w:color w:val="000000"/>
                <w:sz w:val="22"/>
                <w:szCs w:val="22"/>
              </w:rPr>
              <w:t>Injured EI</w:t>
            </w:r>
          </w:p>
        </w:tc>
        <w:tc>
          <w:tcPr>
            <w:tcW w:w="2236" w:type="dxa"/>
            <w:shd w:val="clear" w:color="auto" w:fill="auto"/>
            <w:noWrap/>
            <w:vAlign w:val="center"/>
            <w:hideMark/>
          </w:tcPr>
          <w:p w14:paraId="6F53CE1A" w14:textId="77777777" w:rsidR="006B1853" w:rsidRPr="003E2367" w:rsidRDefault="006B1853" w:rsidP="006B1853">
            <w:pPr>
              <w:jc w:val="center"/>
              <w:rPr>
                <w:rFonts w:cstheme="minorHAnsi"/>
                <w:b/>
                <w:bCs/>
                <w:i/>
                <w:iCs/>
                <w:color w:val="000000"/>
                <w:sz w:val="22"/>
                <w:szCs w:val="22"/>
              </w:rPr>
            </w:pPr>
            <w:r w:rsidRPr="003E2367">
              <w:rPr>
                <w:rFonts w:cstheme="minorHAnsi"/>
                <w:b/>
                <w:bCs/>
                <w:i/>
                <w:iCs/>
                <w:color w:val="000000"/>
                <w:sz w:val="22"/>
                <w:szCs w:val="22"/>
              </w:rPr>
              <w:t>Hounsfield Unit</w:t>
            </w:r>
          </w:p>
        </w:tc>
        <w:tc>
          <w:tcPr>
            <w:tcW w:w="1046" w:type="dxa"/>
            <w:shd w:val="clear" w:color="auto" w:fill="auto"/>
            <w:noWrap/>
            <w:vAlign w:val="bottom"/>
            <w:hideMark/>
          </w:tcPr>
          <w:p w14:paraId="7D16B187"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-628.9</w:t>
            </w:r>
          </w:p>
        </w:tc>
        <w:tc>
          <w:tcPr>
            <w:tcW w:w="399" w:type="dxa"/>
            <w:shd w:val="clear" w:color="auto" w:fill="auto"/>
            <w:noWrap/>
            <w:vAlign w:val="bottom"/>
            <w:hideMark/>
          </w:tcPr>
          <w:p w14:paraId="6AA5926F"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95" w:type="dxa"/>
            <w:shd w:val="clear" w:color="auto" w:fill="auto"/>
            <w:noWrap/>
            <w:vAlign w:val="bottom"/>
            <w:hideMark/>
          </w:tcPr>
          <w:p w14:paraId="6CEF990B"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53.7</w:t>
            </w:r>
          </w:p>
        </w:tc>
        <w:tc>
          <w:tcPr>
            <w:tcW w:w="1178" w:type="dxa"/>
            <w:shd w:val="clear" w:color="auto" w:fill="auto"/>
            <w:noWrap/>
            <w:vAlign w:val="bottom"/>
            <w:hideMark/>
          </w:tcPr>
          <w:p w14:paraId="3ECF2A57"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-672.4</w:t>
            </w:r>
            <w:r>
              <w:rPr>
                <w:rFonts w:cstheme="minorHAnsi"/>
                <w:color w:val="000000"/>
                <w:sz w:val="22"/>
                <w:szCs w:val="22"/>
              </w:rPr>
              <w:t xml:space="preserve"> </w:t>
            </w:r>
            <w:r>
              <w:rPr>
                <w:rFonts w:ascii="Calibri" w:hAnsi="Calibri" w:cs="Calibri"/>
                <w:color w:val="000000" w:themeColor="text1"/>
              </w:rPr>
              <w:t>¶</w:t>
            </w:r>
          </w:p>
        </w:tc>
        <w:tc>
          <w:tcPr>
            <w:tcW w:w="343" w:type="dxa"/>
            <w:shd w:val="clear" w:color="auto" w:fill="auto"/>
            <w:noWrap/>
            <w:vAlign w:val="bottom"/>
            <w:hideMark/>
          </w:tcPr>
          <w:p w14:paraId="2C982273"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85" w:type="dxa"/>
            <w:shd w:val="clear" w:color="auto" w:fill="auto"/>
            <w:noWrap/>
            <w:vAlign w:val="bottom"/>
            <w:hideMark/>
          </w:tcPr>
          <w:p w14:paraId="636E5D42"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40.0</w:t>
            </w:r>
          </w:p>
        </w:tc>
        <w:tc>
          <w:tcPr>
            <w:tcW w:w="1046" w:type="dxa"/>
            <w:shd w:val="clear" w:color="auto" w:fill="auto"/>
            <w:noWrap/>
            <w:vAlign w:val="bottom"/>
            <w:hideMark/>
          </w:tcPr>
          <w:p w14:paraId="1BFC91C2"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-624.2</w:t>
            </w:r>
          </w:p>
        </w:tc>
        <w:tc>
          <w:tcPr>
            <w:tcW w:w="399" w:type="dxa"/>
            <w:shd w:val="clear" w:color="auto" w:fill="auto"/>
            <w:noWrap/>
            <w:vAlign w:val="bottom"/>
            <w:hideMark/>
          </w:tcPr>
          <w:p w14:paraId="43707EB7"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758" w:type="dxa"/>
            <w:shd w:val="clear" w:color="auto" w:fill="auto"/>
            <w:noWrap/>
            <w:vAlign w:val="bottom"/>
            <w:hideMark/>
          </w:tcPr>
          <w:p w14:paraId="4DBA1802"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52.2</w:t>
            </w:r>
          </w:p>
        </w:tc>
        <w:tc>
          <w:tcPr>
            <w:tcW w:w="1310" w:type="dxa"/>
            <w:shd w:val="clear" w:color="auto" w:fill="auto"/>
            <w:noWrap/>
            <w:vAlign w:val="bottom"/>
            <w:hideMark/>
          </w:tcPr>
          <w:p w14:paraId="7737E348"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-669.4</w:t>
            </w:r>
            <w:r>
              <w:rPr>
                <w:rFonts w:cstheme="minorHAnsi"/>
                <w:color w:val="000000"/>
                <w:sz w:val="22"/>
                <w:szCs w:val="22"/>
              </w:rPr>
              <w:t xml:space="preserve"> </w:t>
            </w:r>
            <w:r>
              <w:rPr>
                <w:rFonts w:ascii="Calibri" w:hAnsi="Calibri" w:cs="Calibri"/>
                <w:color w:val="000000" w:themeColor="text1"/>
              </w:rPr>
              <w:t>¶</w:t>
            </w:r>
          </w:p>
        </w:tc>
        <w:tc>
          <w:tcPr>
            <w:tcW w:w="399" w:type="dxa"/>
            <w:shd w:val="clear" w:color="auto" w:fill="auto"/>
            <w:noWrap/>
            <w:vAlign w:val="bottom"/>
            <w:hideMark/>
          </w:tcPr>
          <w:p w14:paraId="36174A33"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85" w:type="dxa"/>
            <w:shd w:val="clear" w:color="auto" w:fill="auto"/>
            <w:noWrap/>
            <w:vAlign w:val="bottom"/>
            <w:hideMark/>
          </w:tcPr>
          <w:p w14:paraId="368668E9"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47.3</w:t>
            </w:r>
          </w:p>
        </w:tc>
      </w:tr>
      <w:tr w:rsidR="006B1853" w:rsidRPr="003E2367" w14:paraId="6E2EDE71" w14:textId="77777777" w:rsidTr="006B1853">
        <w:trPr>
          <w:trHeight w:val="389"/>
        </w:trPr>
        <w:tc>
          <w:tcPr>
            <w:tcW w:w="1449" w:type="dxa"/>
            <w:vMerge/>
            <w:vAlign w:val="center"/>
            <w:hideMark/>
          </w:tcPr>
          <w:p w14:paraId="31F8C437" w14:textId="77777777" w:rsidR="006B1853" w:rsidRPr="003E2367" w:rsidRDefault="006B1853" w:rsidP="006B1853">
            <w:pPr>
              <w:rPr>
                <w:rFonts w:cstheme="minorHAnsi"/>
                <w:b/>
                <w:bCs/>
                <w:i/>
                <w:iCs/>
                <w:color w:val="000000"/>
                <w:sz w:val="22"/>
                <w:szCs w:val="22"/>
              </w:rPr>
            </w:pPr>
          </w:p>
        </w:tc>
        <w:tc>
          <w:tcPr>
            <w:tcW w:w="2236" w:type="dxa"/>
            <w:shd w:val="clear" w:color="auto" w:fill="auto"/>
            <w:noWrap/>
            <w:vAlign w:val="center"/>
            <w:hideMark/>
          </w:tcPr>
          <w:p w14:paraId="2F8C448E" w14:textId="77777777" w:rsidR="006B1853" w:rsidRPr="003E2367" w:rsidRDefault="006B1853" w:rsidP="006B1853">
            <w:pPr>
              <w:jc w:val="center"/>
              <w:rPr>
                <w:rFonts w:cstheme="minorHAnsi"/>
                <w:b/>
                <w:bCs/>
                <w:i/>
                <w:iCs/>
                <w:color w:val="000000"/>
                <w:sz w:val="22"/>
                <w:szCs w:val="22"/>
              </w:rPr>
            </w:pPr>
            <w:r w:rsidRPr="003E2367">
              <w:rPr>
                <w:rFonts w:cstheme="minorHAnsi"/>
                <w:b/>
                <w:bCs/>
                <w:i/>
                <w:iCs/>
                <w:color w:val="000000"/>
                <w:sz w:val="22"/>
                <w:szCs w:val="22"/>
              </w:rPr>
              <w:t>Gas Volume [ml]</w:t>
            </w:r>
          </w:p>
        </w:tc>
        <w:tc>
          <w:tcPr>
            <w:tcW w:w="1046" w:type="dxa"/>
            <w:shd w:val="clear" w:color="auto" w:fill="auto"/>
            <w:noWrap/>
            <w:vAlign w:val="bottom"/>
            <w:hideMark/>
          </w:tcPr>
          <w:p w14:paraId="332EB582"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994.4</w:t>
            </w:r>
            <w:r>
              <w:rPr>
                <w:rFonts w:cstheme="minorHAnsi"/>
                <w:color w:val="000000"/>
                <w:sz w:val="22"/>
                <w:szCs w:val="22"/>
              </w:rPr>
              <w:t xml:space="preserve"> </w:t>
            </w:r>
            <w:r>
              <w:rPr>
                <w:rFonts w:ascii="Calibri" w:hAnsi="Calibri" w:cs="Calibri"/>
                <w:color w:val="000000" w:themeColor="text1"/>
              </w:rPr>
              <w:t>¶</w:t>
            </w:r>
          </w:p>
        </w:tc>
        <w:tc>
          <w:tcPr>
            <w:tcW w:w="399" w:type="dxa"/>
            <w:shd w:val="clear" w:color="auto" w:fill="auto"/>
            <w:noWrap/>
            <w:vAlign w:val="bottom"/>
            <w:hideMark/>
          </w:tcPr>
          <w:p w14:paraId="21F5FF5D"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95" w:type="dxa"/>
            <w:shd w:val="clear" w:color="auto" w:fill="auto"/>
            <w:noWrap/>
            <w:vAlign w:val="bottom"/>
            <w:hideMark/>
          </w:tcPr>
          <w:p w14:paraId="75526308"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148.9</w:t>
            </w:r>
          </w:p>
        </w:tc>
        <w:tc>
          <w:tcPr>
            <w:tcW w:w="1178" w:type="dxa"/>
            <w:shd w:val="clear" w:color="auto" w:fill="auto"/>
            <w:noWrap/>
            <w:vAlign w:val="bottom"/>
            <w:hideMark/>
          </w:tcPr>
          <w:p w14:paraId="74AE1859"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1192.4</w:t>
            </w:r>
            <w:r>
              <w:rPr>
                <w:rFonts w:cstheme="minorHAnsi"/>
                <w:color w:val="000000"/>
                <w:sz w:val="22"/>
                <w:szCs w:val="22"/>
              </w:rPr>
              <w:t xml:space="preserve"> </w:t>
            </w:r>
            <w:r w:rsidRPr="003E2367">
              <w:rPr>
                <w:rFonts w:cstheme="minorHAnsi"/>
                <w:color w:val="000000" w:themeColor="text1"/>
              </w:rPr>
              <w:t>†</w:t>
            </w:r>
            <w:r>
              <w:rPr>
                <w:rFonts w:ascii="Calibri" w:hAnsi="Calibri" w:cs="Calibri"/>
                <w:color w:val="000000" w:themeColor="text1"/>
              </w:rPr>
              <w:t>¶</w:t>
            </w:r>
          </w:p>
        </w:tc>
        <w:tc>
          <w:tcPr>
            <w:tcW w:w="343" w:type="dxa"/>
            <w:shd w:val="clear" w:color="auto" w:fill="auto"/>
            <w:noWrap/>
            <w:vAlign w:val="bottom"/>
            <w:hideMark/>
          </w:tcPr>
          <w:p w14:paraId="55E904A5"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85" w:type="dxa"/>
            <w:shd w:val="clear" w:color="auto" w:fill="auto"/>
            <w:noWrap/>
            <w:vAlign w:val="bottom"/>
            <w:hideMark/>
          </w:tcPr>
          <w:p w14:paraId="67640096"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130.5</w:t>
            </w:r>
          </w:p>
        </w:tc>
        <w:tc>
          <w:tcPr>
            <w:tcW w:w="1046" w:type="dxa"/>
            <w:shd w:val="clear" w:color="auto" w:fill="auto"/>
            <w:noWrap/>
            <w:vAlign w:val="bottom"/>
            <w:hideMark/>
          </w:tcPr>
          <w:p w14:paraId="027761BF"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949.8</w:t>
            </w:r>
            <w:r>
              <w:rPr>
                <w:rFonts w:cstheme="minorHAnsi"/>
                <w:color w:val="000000"/>
                <w:sz w:val="22"/>
                <w:szCs w:val="22"/>
              </w:rPr>
              <w:t xml:space="preserve"> </w:t>
            </w:r>
            <w:r>
              <w:rPr>
                <w:rFonts w:ascii="Calibri" w:hAnsi="Calibri" w:cs="Calibri"/>
                <w:color w:val="000000" w:themeColor="text1"/>
              </w:rPr>
              <w:t>¶</w:t>
            </w:r>
          </w:p>
        </w:tc>
        <w:tc>
          <w:tcPr>
            <w:tcW w:w="399" w:type="dxa"/>
            <w:shd w:val="clear" w:color="auto" w:fill="auto"/>
            <w:noWrap/>
            <w:vAlign w:val="bottom"/>
            <w:hideMark/>
          </w:tcPr>
          <w:p w14:paraId="38ED9B67"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758" w:type="dxa"/>
            <w:shd w:val="clear" w:color="auto" w:fill="auto"/>
            <w:noWrap/>
            <w:vAlign w:val="bottom"/>
            <w:hideMark/>
          </w:tcPr>
          <w:p w14:paraId="0E6F8F0C"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151.0</w:t>
            </w:r>
          </w:p>
        </w:tc>
        <w:tc>
          <w:tcPr>
            <w:tcW w:w="1310" w:type="dxa"/>
            <w:shd w:val="clear" w:color="auto" w:fill="auto"/>
            <w:noWrap/>
            <w:vAlign w:val="bottom"/>
            <w:hideMark/>
          </w:tcPr>
          <w:p w14:paraId="68CF748E"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1150.1</w:t>
            </w:r>
            <w:r>
              <w:rPr>
                <w:rFonts w:cstheme="minorHAnsi"/>
                <w:color w:val="000000"/>
                <w:sz w:val="22"/>
                <w:szCs w:val="22"/>
              </w:rPr>
              <w:t xml:space="preserve"> </w:t>
            </w:r>
            <w:r w:rsidRPr="003E2367">
              <w:rPr>
                <w:rFonts w:cstheme="minorHAnsi"/>
                <w:color w:val="000000" w:themeColor="text1"/>
              </w:rPr>
              <w:t>†</w:t>
            </w:r>
            <w:r>
              <w:rPr>
                <w:rFonts w:ascii="Calibri" w:hAnsi="Calibri" w:cs="Calibri"/>
                <w:color w:val="000000" w:themeColor="text1"/>
              </w:rPr>
              <w:t>¶</w:t>
            </w:r>
          </w:p>
        </w:tc>
        <w:tc>
          <w:tcPr>
            <w:tcW w:w="399" w:type="dxa"/>
            <w:shd w:val="clear" w:color="auto" w:fill="auto"/>
            <w:noWrap/>
            <w:vAlign w:val="bottom"/>
            <w:hideMark/>
          </w:tcPr>
          <w:p w14:paraId="79B76A70"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85" w:type="dxa"/>
            <w:shd w:val="clear" w:color="auto" w:fill="auto"/>
            <w:noWrap/>
            <w:vAlign w:val="bottom"/>
            <w:hideMark/>
          </w:tcPr>
          <w:p w14:paraId="0C7B3863"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137.9</w:t>
            </w:r>
          </w:p>
        </w:tc>
      </w:tr>
      <w:tr w:rsidR="006B1853" w:rsidRPr="003E2367" w14:paraId="76E766EE" w14:textId="77777777" w:rsidTr="006B1853">
        <w:trPr>
          <w:trHeight w:val="389"/>
        </w:trPr>
        <w:tc>
          <w:tcPr>
            <w:tcW w:w="1449" w:type="dxa"/>
            <w:vMerge/>
            <w:vAlign w:val="center"/>
            <w:hideMark/>
          </w:tcPr>
          <w:p w14:paraId="171882E6" w14:textId="77777777" w:rsidR="006B1853" w:rsidRPr="003E2367" w:rsidRDefault="006B1853" w:rsidP="006B1853">
            <w:pPr>
              <w:rPr>
                <w:rFonts w:cstheme="minorHAnsi"/>
                <w:b/>
                <w:bCs/>
                <w:i/>
                <w:iCs/>
                <w:color w:val="000000"/>
                <w:sz w:val="22"/>
                <w:szCs w:val="22"/>
              </w:rPr>
            </w:pPr>
          </w:p>
        </w:tc>
        <w:tc>
          <w:tcPr>
            <w:tcW w:w="2236" w:type="dxa"/>
            <w:shd w:val="clear" w:color="auto" w:fill="auto"/>
            <w:noWrap/>
            <w:vAlign w:val="center"/>
            <w:hideMark/>
          </w:tcPr>
          <w:p w14:paraId="2262701F" w14:textId="77777777" w:rsidR="006B1853" w:rsidRPr="003E2367" w:rsidRDefault="006B1853" w:rsidP="006B1853">
            <w:pPr>
              <w:jc w:val="center"/>
              <w:rPr>
                <w:rFonts w:cstheme="minorHAnsi"/>
                <w:b/>
                <w:bCs/>
                <w:i/>
                <w:iCs/>
                <w:color w:val="000000"/>
                <w:sz w:val="22"/>
                <w:szCs w:val="22"/>
              </w:rPr>
            </w:pPr>
            <w:r w:rsidRPr="003E2367">
              <w:rPr>
                <w:rFonts w:cstheme="minorHAnsi"/>
                <w:b/>
                <w:bCs/>
                <w:i/>
                <w:iCs/>
                <w:color w:val="000000"/>
                <w:sz w:val="22"/>
                <w:szCs w:val="22"/>
              </w:rPr>
              <w:t>Lung Weight [g]</w:t>
            </w:r>
          </w:p>
        </w:tc>
        <w:tc>
          <w:tcPr>
            <w:tcW w:w="1046" w:type="dxa"/>
            <w:shd w:val="clear" w:color="auto" w:fill="auto"/>
            <w:noWrap/>
            <w:vAlign w:val="bottom"/>
            <w:hideMark/>
          </w:tcPr>
          <w:p w14:paraId="35742270"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581.1</w:t>
            </w:r>
          </w:p>
        </w:tc>
        <w:tc>
          <w:tcPr>
            <w:tcW w:w="399" w:type="dxa"/>
            <w:shd w:val="clear" w:color="auto" w:fill="auto"/>
            <w:noWrap/>
            <w:vAlign w:val="bottom"/>
            <w:hideMark/>
          </w:tcPr>
          <w:p w14:paraId="4359FFF9"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95" w:type="dxa"/>
            <w:shd w:val="clear" w:color="auto" w:fill="auto"/>
            <w:noWrap/>
            <w:vAlign w:val="bottom"/>
            <w:hideMark/>
          </w:tcPr>
          <w:p w14:paraId="6EBDD2C3"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61.6</w:t>
            </w:r>
          </w:p>
        </w:tc>
        <w:tc>
          <w:tcPr>
            <w:tcW w:w="1178" w:type="dxa"/>
            <w:shd w:val="clear" w:color="auto" w:fill="auto"/>
            <w:noWrap/>
            <w:vAlign w:val="bottom"/>
            <w:hideMark/>
          </w:tcPr>
          <w:p w14:paraId="034B84D8"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579.2</w:t>
            </w:r>
          </w:p>
        </w:tc>
        <w:tc>
          <w:tcPr>
            <w:tcW w:w="343" w:type="dxa"/>
            <w:shd w:val="clear" w:color="auto" w:fill="auto"/>
            <w:noWrap/>
            <w:vAlign w:val="bottom"/>
            <w:hideMark/>
          </w:tcPr>
          <w:p w14:paraId="03340BA5"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85" w:type="dxa"/>
            <w:shd w:val="clear" w:color="auto" w:fill="auto"/>
            <w:noWrap/>
            <w:vAlign w:val="bottom"/>
            <w:hideMark/>
          </w:tcPr>
          <w:p w14:paraId="7EAF5CC2"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68.2</w:t>
            </w:r>
          </w:p>
        </w:tc>
        <w:tc>
          <w:tcPr>
            <w:tcW w:w="1046" w:type="dxa"/>
            <w:shd w:val="clear" w:color="auto" w:fill="auto"/>
            <w:noWrap/>
            <w:vAlign w:val="bottom"/>
            <w:hideMark/>
          </w:tcPr>
          <w:p w14:paraId="28866892"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564.6</w:t>
            </w:r>
          </w:p>
        </w:tc>
        <w:tc>
          <w:tcPr>
            <w:tcW w:w="399" w:type="dxa"/>
            <w:shd w:val="clear" w:color="auto" w:fill="auto"/>
            <w:noWrap/>
            <w:vAlign w:val="bottom"/>
            <w:hideMark/>
          </w:tcPr>
          <w:p w14:paraId="4766832D"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758" w:type="dxa"/>
            <w:shd w:val="clear" w:color="auto" w:fill="auto"/>
            <w:noWrap/>
            <w:vAlign w:val="bottom"/>
            <w:hideMark/>
          </w:tcPr>
          <w:p w14:paraId="42C342E5"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44.7</w:t>
            </w:r>
          </w:p>
        </w:tc>
        <w:tc>
          <w:tcPr>
            <w:tcW w:w="1310" w:type="dxa"/>
            <w:shd w:val="clear" w:color="auto" w:fill="auto"/>
            <w:noWrap/>
            <w:vAlign w:val="bottom"/>
            <w:hideMark/>
          </w:tcPr>
          <w:p w14:paraId="57EA1418"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564.0</w:t>
            </w:r>
          </w:p>
        </w:tc>
        <w:tc>
          <w:tcPr>
            <w:tcW w:w="399" w:type="dxa"/>
            <w:shd w:val="clear" w:color="auto" w:fill="auto"/>
            <w:noWrap/>
            <w:vAlign w:val="bottom"/>
            <w:hideMark/>
          </w:tcPr>
          <w:p w14:paraId="4A11D2CE"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w:t>
            </w:r>
          </w:p>
        </w:tc>
        <w:tc>
          <w:tcPr>
            <w:tcW w:w="885" w:type="dxa"/>
            <w:shd w:val="clear" w:color="auto" w:fill="auto"/>
            <w:noWrap/>
            <w:vAlign w:val="bottom"/>
            <w:hideMark/>
          </w:tcPr>
          <w:p w14:paraId="28D10CDE" w14:textId="77777777" w:rsidR="006B1853" w:rsidRPr="003E2367" w:rsidRDefault="006B1853" w:rsidP="006B1853">
            <w:pPr>
              <w:jc w:val="center"/>
              <w:rPr>
                <w:rFonts w:cstheme="minorHAnsi"/>
                <w:color w:val="000000"/>
                <w:sz w:val="22"/>
                <w:szCs w:val="22"/>
              </w:rPr>
            </w:pPr>
            <w:r w:rsidRPr="003E2367">
              <w:rPr>
                <w:rFonts w:cstheme="minorHAnsi"/>
                <w:color w:val="000000"/>
                <w:sz w:val="22"/>
                <w:szCs w:val="22"/>
              </w:rPr>
              <w:t>59.0</w:t>
            </w:r>
          </w:p>
        </w:tc>
      </w:tr>
    </w:tbl>
    <w:p w14:paraId="4BFE8996" w14:textId="705C0AD2" w:rsidR="00393559" w:rsidRPr="006B1853" w:rsidRDefault="006B1853" w:rsidP="006B1853">
      <w:pPr>
        <w:spacing w:after="120" w:line="360" w:lineRule="auto"/>
        <w:jc w:val="both"/>
        <w:rPr>
          <w:rFonts w:cstheme="minorHAnsi"/>
          <w:color w:val="000000" w:themeColor="text1"/>
        </w:rPr>
      </w:pPr>
      <w:r w:rsidRPr="003B3B3F">
        <w:rPr>
          <w:b/>
        </w:rPr>
        <w:t xml:space="preserve">Supplemental Digital Content </w:t>
      </w:r>
      <w:r>
        <w:rPr>
          <w:b/>
        </w:rPr>
        <w:t>5</w:t>
      </w:r>
      <w:r w:rsidRPr="003B3B3F">
        <w:rPr>
          <w:b/>
        </w:rPr>
        <w:t>.</w:t>
      </w:r>
      <w:r>
        <w:t xml:space="preserve"> </w:t>
      </w:r>
      <w:bookmarkEnd w:id="0"/>
      <w:bookmarkEnd w:id="1"/>
      <w:r w:rsidRPr="003E2367">
        <w:rPr>
          <w:rFonts w:cstheme="minorHAnsi"/>
        </w:rPr>
        <w:t xml:space="preserve">In all tested conditions, CT density analysis was performed on the supine and on the prone images prior to registration. Mean CT values of CT densities (In Hounsfield Units), pulmonary gas volume, and lung mass are shown for all conditions. There was no significant effect of positioning on whole lung values. As expected, PEEP was associated with changes in CT density and gas volumes, with stable lung weight. </w:t>
      </w:r>
      <w:r w:rsidRPr="003E2367">
        <w:rPr>
          <w:rFonts w:cstheme="minorHAnsi"/>
          <w:color w:val="000000" w:themeColor="text1"/>
        </w:rPr>
        <w:t>†: P&lt;0.05 between levels of PEEP; §: P&lt;0.05 supine vs. prone</w:t>
      </w:r>
      <w:r>
        <w:rPr>
          <w:rFonts w:cstheme="minorHAnsi"/>
          <w:color w:val="000000" w:themeColor="text1"/>
        </w:rPr>
        <w:t xml:space="preserve">; </w:t>
      </w:r>
      <w:r>
        <w:rPr>
          <w:rFonts w:ascii="Calibri" w:hAnsi="Calibri" w:cs="Calibri"/>
          <w:color w:val="000000" w:themeColor="text1"/>
        </w:rPr>
        <w:t>¶</w:t>
      </w:r>
      <w:r>
        <w:rPr>
          <w:rFonts w:cstheme="minorHAnsi"/>
          <w:color w:val="000000" w:themeColor="text1"/>
        </w:rPr>
        <w:t xml:space="preserve">: </w:t>
      </w:r>
      <w:r w:rsidRPr="003E2367">
        <w:rPr>
          <w:rFonts w:cstheme="minorHAnsi"/>
          <w:color w:val="000000" w:themeColor="text1"/>
        </w:rPr>
        <w:t xml:space="preserve">P&lt;0.05 </w:t>
      </w:r>
      <w:r>
        <w:rPr>
          <w:rFonts w:cstheme="minorHAnsi"/>
          <w:color w:val="000000" w:themeColor="text1"/>
        </w:rPr>
        <w:t xml:space="preserve">healthy </w:t>
      </w:r>
      <w:r w:rsidRPr="003E2367">
        <w:rPr>
          <w:rFonts w:cstheme="minorHAnsi"/>
          <w:color w:val="000000" w:themeColor="text1"/>
        </w:rPr>
        <w:t>vs.</w:t>
      </w:r>
      <w:r>
        <w:rPr>
          <w:rFonts w:cstheme="minorHAnsi"/>
          <w:color w:val="000000" w:themeColor="text1"/>
        </w:rPr>
        <w:t xml:space="preserve"> injury.</w:t>
      </w:r>
    </w:p>
    <w:p w14:paraId="5CA63301" w14:textId="4373551C" w:rsidR="00393559" w:rsidRDefault="00393559" w:rsidP="006B1853">
      <w:pPr>
        <w:spacing w:after="120" w:line="360" w:lineRule="auto"/>
        <w:jc w:val="both"/>
        <w:rPr>
          <w:rFonts w:cstheme="minorHAnsi"/>
          <w:color w:val="000000" w:themeColor="text1"/>
        </w:rPr>
      </w:pPr>
    </w:p>
    <w:sectPr w:rsidR="00393559" w:rsidSect="006B1853">
      <w:footerReference w:type="default" r:id="rId7"/>
      <w:type w:val="continuous"/>
      <w:pgSz w:w="15840" w:h="12240" w:orient="landscape"/>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56D6F" w14:textId="77777777" w:rsidR="004A61B8" w:rsidRDefault="004A61B8">
      <w:r>
        <w:separator/>
      </w:r>
    </w:p>
  </w:endnote>
  <w:endnote w:type="continuationSeparator" w:id="0">
    <w:p w14:paraId="32FB9569" w14:textId="77777777" w:rsidR="004A61B8" w:rsidRDefault="004A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55007"/>
      <w:docPartObj>
        <w:docPartGallery w:val="Page Numbers (Bottom of Page)"/>
        <w:docPartUnique/>
      </w:docPartObj>
    </w:sdtPr>
    <w:sdtEndPr>
      <w:rPr>
        <w:noProof/>
      </w:rPr>
    </w:sdtEndPr>
    <w:sdtContent>
      <w:p w14:paraId="299D6F8F" w14:textId="77777777" w:rsidR="008E69D5" w:rsidRDefault="008E69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CD855D" w14:textId="77777777" w:rsidR="008E69D5" w:rsidRDefault="008E6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AA869" w14:textId="77777777" w:rsidR="004A61B8" w:rsidRDefault="004A61B8">
      <w:r>
        <w:separator/>
      </w:r>
    </w:p>
  </w:footnote>
  <w:footnote w:type="continuationSeparator" w:id="0">
    <w:p w14:paraId="7DCC9E1A" w14:textId="77777777" w:rsidR="004A61B8" w:rsidRDefault="004A6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21C54"/>
    <w:multiLevelType w:val="hybridMultilevel"/>
    <w:tmpl w:val="CEDEA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73"/>
    <w:rsid w:val="0027062C"/>
    <w:rsid w:val="002977F7"/>
    <w:rsid w:val="00366669"/>
    <w:rsid w:val="003849DC"/>
    <w:rsid w:val="00393559"/>
    <w:rsid w:val="003B3B3F"/>
    <w:rsid w:val="003D4175"/>
    <w:rsid w:val="00422B35"/>
    <w:rsid w:val="004A61B8"/>
    <w:rsid w:val="005A519A"/>
    <w:rsid w:val="005C7DE5"/>
    <w:rsid w:val="00610388"/>
    <w:rsid w:val="0063136B"/>
    <w:rsid w:val="00654283"/>
    <w:rsid w:val="006B1853"/>
    <w:rsid w:val="006C211C"/>
    <w:rsid w:val="006F08FA"/>
    <w:rsid w:val="0074168E"/>
    <w:rsid w:val="00782973"/>
    <w:rsid w:val="00870F7F"/>
    <w:rsid w:val="00884AFA"/>
    <w:rsid w:val="00890A7C"/>
    <w:rsid w:val="008C36B6"/>
    <w:rsid w:val="008E69D5"/>
    <w:rsid w:val="00917248"/>
    <w:rsid w:val="009B2560"/>
    <w:rsid w:val="00A07D98"/>
    <w:rsid w:val="00A5417E"/>
    <w:rsid w:val="00A627C4"/>
    <w:rsid w:val="00A64680"/>
    <w:rsid w:val="00C02674"/>
    <w:rsid w:val="00C92730"/>
    <w:rsid w:val="00CC362D"/>
    <w:rsid w:val="00D049E4"/>
    <w:rsid w:val="00DA5864"/>
    <w:rsid w:val="00E23810"/>
    <w:rsid w:val="00E93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0EDD"/>
  <w14:defaultImageDpi w14:val="32767"/>
  <w15:chartTrackingRefBased/>
  <w15:docId w15:val="{EBF8C93F-8494-394C-AD56-55728199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D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D98"/>
    <w:rPr>
      <w:rFonts w:ascii="Times New Roman" w:hAnsi="Times New Roman" w:cs="Times New Roman"/>
      <w:sz w:val="18"/>
      <w:szCs w:val="18"/>
    </w:rPr>
  </w:style>
  <w:style w:type="paragraph" w:styleId="Revision">
    <w:name w:val="Revision"/>
    <w:hidden/>
    <w:uiPriority w:val="99"/>
    <w:semiHidden/>
    <w:rsid w:val="003849DC"/>
  </w:style>
  <w:style w:type="character" w:styleId="CommentReference">
    <w:name w:val="annotation reference"/>
    <w:basedOn w:val="DefaultParagraphFont"/>
    <w:uiPriority w:val="99"/>
    <w:semiHidden/>
    <w:unhideWhenUsed/>
    <w:rsid w:val="003849DC"/>
    <w:rPr>
      <w:sz w:val="16"/>
      <w:szCs w:val="16"/>
    </w:rPr>
  </w:style>
  <w:style w:type="paragraph" w:styleId="CommentText">
    <w:name w:val="annotation text"/>
    <w:basedOn w:val="Normal"/>
    <w:link w:val="CommentTextChar"/>
    <w:uiPriority w:val="99"/>
    <w:semiHidden/>
    <w:unhideWhenUsed/>
    <w:rsid w:val="003849DC"/>
    <w:rPr>
      <w:sz w:val="20"/>
      <w:szCs w:val="20"/>
    </w:rPr>
  </w:style>
  <w:style w:type="character" w:customStyle="1" w:styleId="CommentTextChar">
    <w:name w:val="Comment Text Char"/>
    <w:basedOn w:val="DefaultParagraphFont"/>
    <w:link w:val="CommentText"/>
    <w:uiPriority w:val="99"/>
    <w:semiHidden/>
    <w:rsid w:val="003849DC"/>
    <w:rPr>
      <w:sz w:val="20"/>
      <w:szCs w:val="20"/>
    </w:rPr>
  </w:style>
  <w:style w:type="paragraph" w:styleId="CommentSubject">
    <w:name w:val="annotation subject"/>
    <w:basedOn w:val="CommentText"/>
    <w:next w:val="CommentText"/>
    <w:link w:val="CommentSubjectChar"/>
    <w:uiPriority w:val="99"/>
    <w:semiHidden/>
    <w:unhideWhenUsed/>
    <w:rsid w:val="003849DC"/>
    <w:rPr>
      <w:b/>
      <w:bCs/>
    </w:rPr>
  </w:style>
  <w:style w:type="character" w:customStyle="1" w:styleId="CommentSubjectChar">
    <w:name w:val="Comment Subject Char"/>
    <w:basedOn w:val="CommentTextChar"/>
    <w:link w:val="CommentSubject"/>
    <w:uiPriority w:val="99"/>
    <w:semiHidden/>
    <w:rsid w:val="003849DC"/>
    <w:rPr>
      <w:b/>
      <w:bCs/>
      <w:sz w:val="20"/>
      <w:szCs w:val="20"/>
    </w:rPr>
  </w:style>
  <w:style w:type="paragraph" w:styleId="Bibliography">
    <w:name w:val="Bibliography"/>
    <w:basedOn w:val="Normal"/>
    <w:next w:val="Normal"/>
    <w:uiPriority w:val="37"/>
    <w:semiHidden/>
    <w:unhideWhenUsed/>
    <w:rsid w:val="00610388"/>
    <w:rPr>
      <w:rFonts w:ascii="Times New Roman" w:eastAsia="Times New Roman" w:hAnsi="Times New Roman" w:cs="Times New Roman"/>
    </w:rPr>
  </w:style>
  <w:style w:type="paragraph" w:styleId="Footer">
    <w:name w:val="footer"/>
    <w:basedOn w:val="Normal"/>
    <w:link w:val="FooterChar"/>
    <w:uiPriority w:val="99"/>
    <w:unhideWhenUsed/>
    <w:rsid w:val="00610388"/>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610388"/>
    <w:rPr>
      <w:rFonts w:ascii="Times New Roman" w:eastAsia="Times New Roman" w:hAnsi="Times New Roman" w:cs="Times New Roman"/>
    </w:rPr>
  </w:style>
  <w:style w:type="paragraph" w:styleId="ListParagraph">
    <w:name w:val="List Paragraph"/>
    <w:basedOn w:val="Normal"/>
    <w:uiPriority w:val="34"/>
    <w:qFormat/>
    <w:rsid w:val="00654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1064">
      <w:bodyDiv w:val="1"/>
      <w:marLeft w:val="0"/>
      <w:marRight w:val="0"/>
      <w:marTop w:val="0"/>
      <w:marBottom w:val="0"/>
      <w:divBdr>
        <w:top w:val="none" w:sz="0" w:space="0" w:color="auto"/>
        <w:left w:val="none" w:sz="0" w:space="0" w:color="auto"/>
        <w:bottom w:val="none" w:sz="0" w:space="0" w:color="auto"/>
        <w:right w:val="none" w:sz="0" w:space="0" w:color="auto"/>
      </w:divBdr>
    </w:div>
    <w:div w:id="366756570">
      <w:bodyDiv w:val="1"/>
      <w:marLeft w:val="0"/>
      <w:marRight w:val="0"/>
      <w:marTop w:val="0"/>
      <w:marBottom w:val="0"/>
      <w:divBdr>
        <w:top w:val="none" w:sz="0" w:space="0" w:color="auto"/>
        <w:left w:val="none" w:sz="0" w:space="0" w:color="auto"/>
        <w:bottom w:val="none" w:sz="0" w:space="0" w:color="auto"/>
        <w:right w:val="none" w:sz="0" w:space="0" w:color="auto"/>
      </w:divBdr>
    </w:div>
    <w:div w:id="504370626">
      <w:bodyDiv w:val="1"/>
      <w:marLeft w:val="0"/>
      <w:marRight w:val="0"/>
      <w:marTop w:val="0"/>
      <w:marBottom w:val="0"/>
      <w:divBdr>
        <w:top w:val="none" w:sz="0" w:space="0" w:color="auto"/>
        <w:left w:val="none" w:sz="0" w:space="0" w:color="auto"/>
        <w:bottom w:val="none" w:sz="0" w:space="0" w:color="auto"/>
        <w:right w:val="none" w:sz="0" w:space="0" w:color="auto"/>
      </w:divBdr>
    </w:div>
    <w:div w:id="574633524">
      <w:bodyDiv w:val="1"/>
      <w:marLeft w:val="0"/>
      <w:marRight w:val="0"/>
      <w:marTop w:val="0"/>
      <w:marBottom w:val="0"/>
      <w:divBdr>
        <w:top w:val="none" w:sz="0" w:space="0" w:color="auto"/>
        <w:left w:val="none" w:sz="0" w:space="0" w:color="auto"/>
        <w:bottom w:val="none" w:sz="0" w:space="0" w:color="auto"/>
        <w:right w:val="none" w:sz="0" w:space="0" w:color="auto"/>
      </w:divBdr>
    </w:div>
    <w:div w:id="624971921">
      <w:bodyDiv w:val="1"/>
      <w:marLeft w:val="0"/>
      <w:marRight w:val="0"/>
      <w:marTop w:val="0"/>
      <w:marBottom w:val="0"/>
      <w:divBdr>
        <w:top w:val="none" w:sz="0" w:space="0" w:color="auto"/>
        <w:left w:val="none" w:sz="0" w:space="0" w:color="auto"/>
        <w:bottom w:val="none" w:sz="0" w:space="0" w:color="auto"/>
        <w:right w:val="none" w:sz="0" w:space="0" w:color="auto"/>
      </w:divBdr>
    </w:div>
    <w:div w:id="756369554">
      <w:bodyDiv w:val="1"/>
      <w:marLeft w:val="0"/>
      <w:marRight w:val="0"/>
      <w:marTop w:val="0"/>
      <w:marBottom w:val="0"/>
      <w:divBdr>
        <w:top w:val="none" w:sz="0" w:space="0" w:color="auto"/>
        <w:left w:val="none" w:sz="0" w:space="0" w:color="auto"/>
        <w:bottom w:val="none" w:sz="0" w:space="0" w:color="auto"/>
        <w:right w:val="none" w:sz="0" w:space="0" w:color="auto"/>
      </w:divBdr>
    </w:div>
    <w:div w:id="935098041">
      <w:bodyDiv w:val="1"/>
      <w:marLeft w:val="0"/>
      <w:marRight w:val="0"/>
      <w:marTop w:val="0"/>
      <w:marBottom w:val="0"/>
      <w:divBdr>
        <w:top w:val="none" w:sz="0" w:space="0" w:color="auto"/>
        <w:left w:val="none" w:sz="0" w:space="0" w:color="auto"/>
        <w:bottom w:val="none" w:sz="0" w:space="0" w:color="auto"/>
        <w:right w:val="none" w:sz="0" w:space="0" w:color="auto"/>
      </w:divBdr>
    </w:div>
    <w:div w:id="985206552">
      <w:bodyDiv w:val="1"/>
      <w:marLeft w:val="0"/>
      <w:marRight w:val="0"/>
      <w:marTop w:val="0"/>
      <w:marBottom w:val="0"/>
      <w:divBdr>
        <w:top w:val="none" w:sz="0" w:space="0" w:color="auto"/>
        <w:left w:val="none" w:sz="0" w:space="0" w:color="auto"/>
        <w:bottom w:val="none" w:sz="0" w:space="0" w:color="auto"/>
        <w:right w:val="none" w:sz="0" w:space="0" w:color="auto"/>
      </w:divBdr>
    </w:div>
    <w:div w:id="1190753778">
      <w:bodyDiv w:val="1"/>
      <w:marLeft w:val="0"/>
      <w:marRight w:val="0"/>
      <w:marTop w:val="0"/>
      <w:marBottom w:val="0"/>
      <w:divBdr>
        <w:top w:val="none" w:sz="0" w:space="0" w:color="auto"/>
        <w:left w:val="none" w:sz="0" w:space="0" w:color="auto"/>
        <w:bottom w:val="none" w:sz="0" w:space="0" w:color="auto"/>
        <w:right w:val="none" w:sz="0" w:space="0" w:color="auto"/>
      </w:divBdr>
    </w:div>
    <w:div w:id="1213422585">
      <w:bodyDiv w:val="1"/>
      <w:marLeft w:val="0"/>
      <w:marRight w:val="0"/>
      <w:marTop w:val="0"/>
      <w:marBottom w:val="0"/>
      <w:divBdr>
        <w:top w:val="none" w:sz="0" w:space="0" w:color="auto"/>
        <w:left w:val="none" w:sz="0" w:space="0" w:color="auto"/>
        <w:bottom w:val="none" w:sz="0" w:space="0" w:color="auto"/>
        <w:right w:val="none" w:sz="0" w:space="0" w:color="auto"/>
      </w:divBdr>
    </w:div>
    <w:div w:id="1220752880">
      <w:bodyDiv w:val="1"/>
      <w:marLeft w:val="0"/>
      <w:marRight w:val="0"/>
      <w:marTop w:val="0"/>
      <w:marBottom w:val="0"/>
      <w:divBdr>
        <w:top w:val="none" w:sz="0" w:space="0" w:color="auto"/>
        <w:left w:val="none" w:sz="0" w:space="0" w:color="auto"/>
        <w:bottom w:val="none" w:sz="0" w:space="0" w:color="auto"/>
        <w:right w:val="none" w:sz="0" w:space="0" w:color="auto"/>
      </w:divBdr>
    </w:div>
    <w:div w:id="1378049039">
      <w:bodyDiv w:val="1"/>
      <w:marLeft w:val="0"/>
      <w:marRight w:val="0"/>
      <w:marTop w:val="0"/>
      <w:marBottom w:val="0"/>
      <w:divBdr>
        <w:top w:val="none" w:sz="0" w:space="0" w:color="auto"/>
        <w:left w:val="none" w:sz="0" w:space="0" w:color="auto"/>
        <w:bottom w:val="none" w:sz="0" w:space="0" w:color="auto"/>
        <w:right w:val="none" w:sz="0" w:space="0" w:color="auto"/>
      </w:divBdr>
    </w:div>
    <w:div w:id="1392773705">
      <w:bodyDiv w:val="1"/>
      <w:marLeft w:val="0"/>
      <w:marRight w:val="0"/>
      <w:marTop w:val="0"/>
      <w:marBottom w:val="0"/>
      <w:divBdr>
        <w:top w:val="none" w:sz="0" w:space="0" w:color="auto"/>
        <w:left w:val="none" w:sz="0" w:space="0" w:color="auto"/>
        <w:bottom w:val="none" w:sz="0" w:space="0" w:color="auto"/>
        <w:right w:val="none" w:sz="0" w:space="0" w:color="auto"/>
      </w:divBdr>
    </w:div>
    <w:div w:id="1428886750">
      <w:bodyDiv w:val="1"/>
      <w:marLeft w:val="0"/>
      <w:marRight w:val="0"/>
      <w:marTop w:val="0"/>
      <w:marBottom w:val="0"/>
      <w:divBdr>
        <w:top w:val="none" w:sz="0" w:space="0" w:color="auto"/>
        <w:left w:val="none" w:sz="0" w:space="0" w:color="auto"/>
        <w:bottom w:val="none" w:sz="0" w:space="0" w:color="auto"/>
        <w:right w:val="none" w:sz="0" w:space="0" w:color="auto"/>
      </w:divBdr>
    </w:div>
    <w:div w:id="1614943667">
      <w:bodyDiv w:val="1"/>
      <w:marLeft w:val="0"/>
      <w:marRight w:val="0"/>
      <w:marTop w:val="0"/>
      <w:marBottom w:val="0"/>
      <w:divBdr>
        <w:top w:val="none" w:sz="0" w:space="0" w:color="auto"/>
        <w:left w:val="none" w:sz="0" w:space="0" w:color="auto"/>
        <w:bottom w:val="none" w:sz="0" w:space="0" w:color="auto"/>
        <w:right w:val="none" w:sz="0" w:space="0" w:color="auto"/>
      </w:divBdr>
    </w:div>
    <w:div w:id="1779177041">
      <w:bodyDiv w:val="1"/>
      <w:marLeft w:val="0"/>
      <w:marRight w:val="0"/>
      <w:marTop w:val="0"/>
      <w:marBottom w:val="0"/>
      <w:divBdr>
        <w:top w:val="none" w:sz="0" w:space="0" w:color="auto"/>
        <w:left w:val="none" w:sz="0" w:space="0" w:color="auto"/>
        <w:bottom w:val="none" w:sz="0" w:space="0" w:color="auto"/>
        <w:right w:val="none" w:sz="0" w:space="0" w:color="auto"/>
      </w:divBdr>
    </w:div>
    <w:div w:id="1951812718">
      <w:bodyDiv w:val="1"/>
      <w:marLeft w:val="0"/>
      <w:marRight w:val="0"/>
      <w:marTop w:val="0"/>
      <w:marBottom w:val="0"/>
      <w:divBdr>
        <w:top w:val="none" w:sz="0" w:space="0" w:color="auto"/>
        <w:left w:val="none" w:sz="0" w:space="0" w:color="auto"/>
        <w:bottom w:val="none" w:sz="0" w:space="0" w:color="auto"/>
        <w:right w:val="none" w:sz="0" w:space="0" w:color="auto"/>
      </w:divBdr>
    </w:div>
    <w:div w:id="21177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Xin</dc:creator>
  <cp:keywords/>
  <dc:description/>
  <cp:lastModifiedBy>Yi Xin</cp:lastModifiedBy>
  <cp:revision>39</cp:revision>
  <dcterms:created xsi:type="dcterms:W3CDTF">2020-02-12T22:45:00Z</dcterms:created>
  <dcterms:modified xsi:type="dcterms:W3CDTF">2020-06-03T22:28:00Z</dcterms:modified>
</cp:coreProperties>
</file>