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69" w:rsidRPr="000D663A" w:rsidRDefault="003821B5" w:rsidP="00381D6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1B78BF">
        <w:rPr>
          <w:rFonts w:ascii="Times New Roman" w:hAnsi="Times New Roman" w:cs="Times New Roman"/>
          <w:b/>
          <w:sz w:val="24"/>
          <w:szCs w:val="24"/>
        </w:rPr>
        <w:t>6</w:t>
      </w:r>
      <w:r w:rsidR="00381D69" w:rsidRPr="000D66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Stratified Models According to the Etiology of Postpartum Hemorrhage in California.</w:t>
      </w:r>
      <w:r w:rsidR="00381D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679"/>
        <w:gridCol w:w="4738"/>
        <w:gridCol w:w="4738"/>
      </w:tblGrid>
      <w:tr w:rsidR="00381D69" w:rsidRPr="008A3D07" w:rsidTr="00381D69">
        <w:tc>
          <w:tcPr>
            <w:tcW w:w="1679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381D69" w:rsidRPr="008A3D07" w:rsidRDefault="00C864EE" w:rsidP="003821B5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Un</w:t>
            </w:r>
            <w:r w:rsidR="00381D69" w:rsidRPr="008A3D07">
              <w:rPr>
                <w:rFonts w:ascii="Times New Roman" w:hAnsi="Times New Roman" w:cs="Times New Roman"/>
                <w:b/>
              </w:rPr>
              <w:t>ivariable Model</w:t>
            </w:r>
            <w:r w:rsidR="003821B5">
              <w:rPr>
                <w:rFonts w:ascii="Times New Roman" w:hAnsi="Times New Roman" w:cs="Times New Roman"/>
                <w:b/>
              </w:rPr>
              <w:t xml:space="preserve"> with Postpartum Hemorrhage from Uterine Atony as the Primary Outcome</w:t>
            </w:r>
          </w:p>
        </w:tc>
        <w:tc>
          <w:tcPr>
            <w:tcW w:w="4738" w:type="dxa"/>
          </w:tcPr>
          <w:p w:rsidR="00381D69" w:rsidRPr="008A3D07" w:rsidRDefault="003821B5" w:rsidP="004E153D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Univariable Model with Postpartum Hemorrhage from Non-Atonic Causes as the Primary Outcome</w:t>
            </w:r>
          </w:p>
        </w:tc>
      </w:tr>
      <w:tr w:rsidR="00381D69" w:rsidRPr="008A3D07" w:rsidTr="00381D69">
        <w:tc>
          <w:tcPr>
            <w:tcW w:w="1679" w:type="dxa"/>
          </w:tcPr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>Gestational Age (</w:t>
            </w:r>
            <w:proofErr w:type="spellStart"/>
            <w:r w:rsidRPr="008A3D07">
              <w:rPr>
                <w:rFonts w:ascii="Times New Roman" w:hAnsi="Times New Roman" w:cs="Times New Roman"/>
                <w:b/>
              </w:rPr>
              <w:t>wks</w:t>
            </w:r>
            <w:proofErr w:type="spellEnd"/>
            <w:r w:rsidRPr="008A3D0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38" w:type="dxa"/>
          </w:tcPr>
          <w:p w:rsidR="00381D69" w:rsidRPr="008A3D07" w:rsidRDefault="00A4186D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Una</w:t>
            </w:r>
            <w:r w:rsidR="005C207B">
              <w:rPr>
                <w:rFonts w:ascii="Times New Roman" w:hAnsi="Times New Roman" w:cs="Times New Roman"/>
                <w:b/>
              </w:rPr>
              <w:t>djusted Odds Ratio</w:t>
            </w:r>
          </w:p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4738" w:type="dxa"/>
          </w:tcPr>
          <w:p w:rsidR="00381D69" w:rsidRPr="008A3D07" w:rsidRDefault="00A4186D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Una</w:t>
            </w:r>
            <w:r w:rsidR="005C207B">
              <w:rPr>
                <w:rFonts w:ascii="Times New Roman" w:hAnsi="Times New Roman" w:cs="Times New Roman"/>
                <w:b/>
              </w:rPr>
              <w:t>djusted Odds Ratio</w:t>
            </w:r>
            <w:r w:rsidR="00381D69" w:rsidRPr="008A3D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1D69" w:rsidRPr="008A3D07" w:rsidRDefault="00381D69" w:rsidP="004E153D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8A3D07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3821B5" w:rsidRPr="008A3D07" w:rsidTr="00381D69">
        <w:tc>
          <w:tcPr>
            <w:tcW w:w="1679" w:type="dxa"/>
          </w:tcPr>
          <w:p w:rsidR="003821B5" w:rsidRPr="008A3D07" w:rsidRDefault="003821B5" w:rsidP="003821B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22 – 27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(0.82-1.13)</w:t>
            </w:r>
          </w:p>
        </w:tc>
        <w:tc>
          <w:tcPr>
            <w:tcW w:w="4738" w:type="dxa"/>
          </w:tcPr>
          <w:p w:rsidR="003821B5" w:rsidRPr="008A3D07" w:rsidRDefault="00986152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(4.5-5.9</w:t>
            </w:r>
            <w:r w:rsidR="003821B5">
              <w:rPr>
                <w:rFonts w:ascii="Times New Roman" w:hAnsi="Times New Roman" w:cs="Times New Roman"/>
              </w:rPr>
              <w:t>)</w:t>
            </w:r>
          </w:p>
        </w:tc>
      </w:tr>
      <w:tr w:rsidR="003821B5" w:rsidRPr="008A3D07" w:rsidTr="00381D69">
        <w:tc>
          <w:tcPr>
            <w:tcW w:w="1679" w:type="dxa"/>
          </w:tcPr>
          <w:p w:rsidR="003821B5" w:rsidRPr="008A3D07" w:rsidRDefault="003821B5" w:rsidP="003821B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28 – 31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 (0.95-1.22)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 (2.69-3.52)</w:t>
            </w:r>
          </w:p>
        </w:tc>
      </w:tr>
      <w:tr w:rsidR="003821B5" w:rsidRPr="008A3D07" w:rsidTr="00381D69">
        <w:tc>
          <w:tcPr>
            <w:tcW w:w="1679" w:type="dxa"/>
          </w:tcPr>
          <w:p w:rsidR="003821B5" w:rsidRPr="008A3D07" w:rsidRDefault="003821B5" w:rsidP="003821B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 xml:space="preserve">32 – 34 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(1.01-1.17)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 (2.15-2.60)</w:t>
            </w:r>
          </w:p>
        </w:tc>
      </w:tr>
      <w:tr w:rsidR="003821B5" w:rsidRPr="008A3D07" w:rsidTr="00381D69">
        <w:tc>
          <w:tcPr>
            <w:tcW w:w="1679" w:type="dxa"/>
          </w:tcPr>
          <w:p w:rsidR="003821B5" w:rsidRPr="008A3D07" w:rsidRDefault="003821B5" w:rsidP="003821B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 xml:space="preserve">35 – 36 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 (0.94-1.04)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 (1.39-1.62)</w:t>
            </w:r>
          </w:p>
        </w:tc>
      </w:tr>
      <w:tr w:rsidR="003821B5" w:rsidRPr="008A3D07" w:rsidTr="00381D69">
        <w:tc>
          <w:tcPr>
            <w:tcW w:w="1679" w:type="dxa"/>
          </w:tcPr>
          <w:p w:rsidR="003821B5" w:rsidRPr="008A3D07" w:rsidRDefault="003821B5" w:rsidP="003821B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37 – 38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Reference Group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Reference Group</w:t>
            </w:r>
          </w:p>
        </w:tc>
      </w:tr>
      <w:tr w:rsidR="003821B5" w:rsidRPr="008A3D07" w:rsidTr="00381D69">
        <w:tc>
          <w:tcPr>
            <w:tcW w:w="1679" w:type="dxa"/>
          </w:tcPr>
          <w:p w:rsidR="003821B5" w:rsidRPr="008A3D07" w:rsidRDefault="003821B5" w:rsidP="003821B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39 – 40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 (1.13-1.18)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 (0.93-1.01)</w:t>
            </w:r>
          </w:p>
        </w:tc>
      </w:tr>
      <w:tr w:rsidR="003821B5" w:rsidRPr="008A3D07" w:rsidTr="00381D69">
        <w:tc>
          <w:tcPr>
            <w:tcW w:w="1679" w:type="dxa"/>
          </w:tcPr>
          <w:p w:rsidR="003821B5" w:rsidRPr="008A3D07" w:rsidRDefault="003821B5" w:rsidP="003821B5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8A3D07">
              <w:rPr>
                <w:rFonts w:ascii="Times New Roman" w:hAnsi="Times New Roman" w:cs="Times New Roman"/>
              </w:rPr>
              <w:t>41 -42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 (2.16-2.30)</w:t>
            </w:r>
          </w:p>
        </w:tc>
        <w:tc>
          <w:tcPr>
            <w:tcW w:w="4738" w:type="dxa"/>
          </w:tcPr>
          <w:p w:rsidR="003821B5" w:rsidRPr="008A3D07" w:rsidRDefault="003821B5" w:rsidP="003821B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1.52 (1.43-1.61)</w:t>
            </w:r>
          </w:p>
        </w:tc>
      </w:tr>
    </w:tbl>
    <w:p w:rsidR="003A09AF" w:rsidRPr="005C207B" w:rsidRDefault="005C2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= Confidence Intervals</w:t>
      </w:r>
      <w:bookmarkStart w:id="0" w:name="_GoBack"/>
      <w:bookmarkEnd w:id="0"/>
    </w:p>
    <w:sectPr w:rsidR="003A09AF" w:rsidRPr="005C207B" w:rsidSect="008A3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MDSxtDAzMLI0NTNV0lEKTi0uzszPAykwqgUAUhW1USwAAAA="/>
  </w:docVars>
  <w:rsids>
    <w:rsidRoot w:val="00381D69"/>
    <w:rsid w:val="001B78BF"/>
    <w:rsid w:val="00381D69"/>
    <w:rsid w:val="003821B5"/>
    <w:rsid w:val="003A09AF"/>
    <w:rsid w:val="0059793B"/>
    <w:rsid w:val="005C207B"/>
    <w:rsid w:val="00986152"/>
    <w:rsid w:val="009F2F26"/>
    <w:rsid w:val="00A4186D"/>
    <w:rsid w:val="00C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CD68"/>
  <w15:chartTrackingRefBased/>
  <w15:docId w15:val="{37033FA6-AEEE-4B0A-B251-3FB8D1A3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4</cp:revision>
  <dcterms:created xsi:type="dcterms:W3CDTF">2021-01-20T00:30:00Z</dcterms:created>
  <dcterms:modified xsi:type="dcterms:W3CDTF">2021-01-20T18:56:00Z</dcterms:modified>
</cp:coreProperties>
</file>