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F2" w:rsidRPr="000D663A" w:rsidRDefault="00280CB1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</w:t>
      </w:r>
      <w:r w:rsidR="00946506">
        <w:rPr>
          <w:rFonts w:ascii="Times New Roman" w:hAnsi="Times New Roman" w:cs="Times New Roman"/>
          <w:b/>
          <w:sz w:val="24"/>
          <w:szCs w:val="24"/>
        </w:rPr>
        <w:t>9</w:t>
      </w:r>
      <w:r w:rsidR="00DD3FCA">
        <w:rPr>
          <w:rFonts w:ascii="Times New Roman" w:hAnsi="Times New Roman" w:cs="Times New Roman"/>
          <w:b/>
          <w:sz w:val="24"/>
          <w:szCs w:val="24"/>
        </w:rPr>
        <w:t xml:space="preserve">. Association between gestational age at birth and postpartum hemorrhage </w:t>
      </w:r>
      <w:r w:rsidR="00C70CC6">
        <w:rPr>
          <w:rFonts w:ascii="Times New Roman" w:hAnsi="Times New Roman" w:cs="Times New Roman"/>
          <w:b/>
          <w:sz w:val="24"/>
          <w:szCs w:val="24"/>
        </w:rPr>
        <w:t>including induction of labor and delivery mode as covariates.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44"/>
        <w:gridCol w:w="3995"/>
        <w:gridCol w:w="3996"/>
      </w:tblGrid>
      <w:tr w:rsidR="00C70CC6" w:rsidRPr="003478F2" w:rsidTr="00C70CC6">
        <w:tc>
          <w:tcPr>
            <w:tcW w:w="1544" w:type="dxa"/>
          </w:tcPr>
          <w:p w:rsidR="00C70CC6" w:rsidRPr="003478F2" w:rsidRDefault="00C70CC6" w:rsidP="006514E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</w:tcPr>
          <w:p w:rsidR="00C70CC6" w:rsidRPr="003478F2" w:rsidRDefault="00C70CC6" w:rsidP="006514E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California</w:t>
            </w:r>
          </w:p>
        </w:tc>
        <w:tc>
          <w:tcPr>
            <w:tcW w:w="3996" w:type="dxa"/>
          </w:tcPr>
          <w:p w:rsidR="00C70CC6" w:rsidRPr="003478F2" w:rsidRDefault="00C70CC6" w:rsidP="006514E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Sweden</w:t>
            </w:r>
          </w:p>
        </w:tc>
      </w:tr>
      <w:tr w:rsidR="00C70CC6" w:rsidRPr="003478F2" w:rsidTr="00C70CC6">
        <w:tc>
          <w:tcPr>
            <w:tcW w:w="1544" w:type="dxa"/>
          </w:tcPr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</w:rPr>
            </w:pPr>
            <w:bookmarkStart w:id="0" w:name="_Hlk39594594"/>
          </w:p>
        </w:tc>
        <w:tc>
          <w:tcPr>
            <w:tcW w:w="3995" w:type="dxa"/>
          </w:tcPr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Multivariable Model </w:t>
            </w:r>
            <w:r w:rsidRPr="003478F2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3996" w:type="dxa"/>
          </w:tcPr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Multivariable Model </w:t>
            </w:r>
            <w:r w:rsidRPr="003478F2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</w:p>
        </w:tc>
      </w:tr>
      <w:tr w:rsidR="00C70CC6" w:rsidRPr="003478F2" w:rsidTr="00C70CC6">
        <w:tc>
          <w:tcPr>
            <w:tcW w:w="1544" w:type="dxa"/>
          </w:tcPr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Gestational Age (weeks)</w:t>
            </w:r>
          </w:p>
        </w:tc>
        <w:tc>
          <w:tcPr>
            <w:tcW w:w="3995" w:type="dxa"/>
          </w:tcPr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Adjusted OR</w:t>
            </w:r>
          </w:p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(95% CI)</w:t>
            </w:r>
          </w:p>
        </w:tc>
        <w:tc>
          <w:tcPr>
            <w:tcW w:w="3996" w:type="dxa"/>
          </w:tcPr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3478F2">
              <w:rPr>
                <w:rFonts w:ascii="Times New Roman" w:hAnsi="Times New Roman" w:cs="Times New Roman"/>
                <w:b/>
              </w:rPr>
              <w:t xml:space="preserve">Adjusted OR </w:t>
            </w:r>
          </w:p>
          <w:p w:rsidR="00C70CC6" w:rsidRPr="003478F2" w:rsidRDefault="00C70CC6" w:rsidP="006514E9">
            <w:pPr>
              <w:spacing w:after="160" w:line="480" w:lineRule="auto"/>
              <w:rPr>
                <w:rFonts w:ascii="Times New Roman" w:hAnsi="Times New Roman" w:cs="Times New Roman"/>
                <w:b/>
              </w:rPr>
            </w:pPr>
            <w:r w:rsidRPr="003478F2">
              <w:rPr>
                <w:rFonts w:ascii="Times New Roman" w:hAnsi="Times New Roman" w:cs="Times New Roman"/>
                <w:b/>
              </w:rPr>
              <w:t>(95% CI)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22 – 27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1.65 (1.48-1.84)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0.92 (0.67</w:t>
            </w:r>
            <w:r>
              <w:rPr>
                <w:rFonts w:ascii="Times New Roman" w:hAnsi="Times New Roman" w:cs="Times New Roman"/>
              </w:rPr>
              <w:t>-</w:t>
            </w:r>
            <w:r w:rsidRPr="003343B7">
              <w:rPr>
                <w:rFonts w:ascii="Times New Roman" w:hAnsi="Times New Roman" w:cs="Times New Roman"/>
              </w:rPr>
              <w:t>1.24)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28 – 31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 (1.18-1.43)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0.95 (0.78</w:t>
            </w:r>
            <w:r>
              <w:rPr>
                <w:rFonts w:ascii="Times New Roman" w:hAnsi="Times New Roman" w:cs="Times New Roman"/>
              </w:rPr>
              <w:t>-</w:t>
            </w:r>
            <w:r w:rsidRPr="003343B7">
              <w:rPr>
                <w:rFonts w:ascii="Times New Roman" w:hAnsi="Times New Roman" w:cs="Times New Roman"/>
              </w:rPr>
              <w:t>1.16)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 xml:space="preserve">32 – 34 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 (1.12-1.27)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0.91 (0.80</w:t>
            </w:r>
            <w:r>
              <w:rPr>
                <w:rFonts w:ascii="Times New Roman" w:hAnsi="Times New Roman" w:cs="Times New Roman"/>
              </w:rPr>
              <w:t>-</w:t>
            </w:r>
            <w:r w:rsidRPr="003343B7">
              <w:rPr>
                <w:rFonts w:ascii="Times New Roman" w:hAnsi="Times New Roman" w:cs="Times New Roman"/>
              </w:rPr>
              <w:t>1.03)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 xml:space="preserve">35 – 36 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 (0.97-1.06)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0.99 (0.91</w:t>
            </w:r>
            <w:r>
              <w:rPr>
                <w:rFonts w:ascii="Times New Roman" w:hAnsi="Times New Roman" w:cs="Times New Roman"/>
              </w:rPr>
              <w:t>-</w:t>
            </w:r>
            <w:r w:rsidRPr="003343B7">
              <w:rPr>
                <w:rFonts w:ascii="Times New Roman" w:hAnsi="Times New Roman" w:cs="Times New Roman"/>
              </w:rPr>
              <w:t>1.08)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37 – 38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Reference Group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Reference Group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39 – 40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 (1.14-1.19)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1.24 (1.19</w:t>
            </w:r>
            <w:r>
              <w:rPr>
                <w:rFonts w:ascii="Times New Roman" w:hAnsi="Times New Roman" w:cs="Times New Roman"/>
              </w:rPr>
              <w:t>-</w:t>
            </w:r>
            <w:r w:rsidRPr="003343B7">
              <w:rPr>
                <w:rFonts w:ascii="Times New Roman" w:hAnsi="Times New Roman" w:cs="Times New Roman"/>
              </w:rPr>
              <w:t>1.29)</w:t>
            </w:r>
          </w:p>
        </w:tc>
      </w:tr>
      <w:tr w:rsidR="00946506" w:rsidRPr="003478F2" w:rsidTr="00401AF8">
        <w:tc>
          <w:tcPr>
            <w:tcW w:w="1544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478F2">
              <w:rPr>
                <w:rFonts w:ascii="Times New Roman" w:hAnsi="Times New Roman" w:cs="Times New Roman"/>
              </w:rPr>
              <w:t>41 - 42</w:t>
            </w:r>
          </w:p>
        </w:tc>
        <w:tc>
          <w:tcPr>
            <w:tcW w:w="3995" w:type="dxa"/>
          </w:tcPr>
          <w:p w:rsidR="00946506" w:rsidRPr="003478F2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 (1.86-1.97)</w:t>
            </w:r>
          </w:p>
        </w:tc>
        <w:tc>
          <w:tcPr>
            <w:tcW w:w="3996" w:type="dxa"/>
          </w:tcPr>
          <w:p w:rsidR="00946506" w:rsidRPr="003343B7" w:rsidRDefault="00946506" w:rsidP="00946506">
            <w:pPr>
              <w:spacing w:after="160" w:line="480" w:lineRule="auto"/>
              <w:rPr>
                <w:rFonts w:ascii="Times New Roman" w:hAnsi="Times New Roman" w:cs="Times New Roman"/>
              </w:rPr>
            </w:pPr>
            <w:r w:rsidRPr="003343B7">
              <w:rPr>
                <w:rFonts w:ascii="Times New Roman" w:hAnsi="Times New Roman" w:cs="Times New Roman"/>
              </w:rPr>
              <w:t>1.83 (1.75</w:t>
            </w:r>
            <w:r>
              <w:rPr>
                <w:rFonts w:ascii="Times New Roman" w:hAnsi="Times New Roman" w:cs="Times New Roman"/>
              </w:rPr>
              <w:t>-</w:t>
            </w:r>
            <w:r w:rsidRPr="003343B7">
              <w:rPr>
                <w:rFonts w:ascii="Times New Roman" w:hAnsi="Times New Roman" w:cs="Times New Roman"/>
              </w:rPr>
              <w:t>1.91)</w:t>
            </w:r>
          </w:p>
        </w:tc>
      </w:tr>
    </w:tbl>
    <w:bookmarkEnd w:id="0"/>
    <w:p w:rsidR="003478F2" w:rsidRPr="000D663A" w:rsidRDefault="003478F2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63A">
        <w:rPr>
          <w:rFonts w:ascii="Times New Roman" w:hAnsi="Times New Roman" w:cs="Times New Roman"/>
          <w:sz w:val="24"/>
          <w:szCs w:val="24"/>
        </w:rPr>
        <w:t>CI = Confidence Intervals; OR = odds ratio</w:t>
      </w:r>
      <w:bookmarkStart w:id="1" w:name="_GoBack"/>
      <w:bookmarkEnd w:id="1"/>
    </w:p>
    <w:p w:rsidR="003478F2" w:rsidRPr="000D663A" w:rsidRDefault="003478F2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663A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a</w:t>
      </w:r>
      <w:proofErr w:type="spellEnd"/>
      <w:r w:rsidRPr="000D66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D663A">
        <w:rPr>
          <w:rFonts w:ascii="Times New Roman" w:hAnsi="Times New Roman" w:cs="Times New Roman"/>
          <w:sz w:val="24"/>
          <w:szCs w:val="24"/>
        </w:rPr>
        <w:t xml:space="preserve">Adjusted for maternal age, race/ethnicity, </w:t>
      </w:r>
      <w:r w:rsidR="003856F1">
        <w:rPr>
          <w:rFonts w:ascii="Times New Roman" w:hAnsi="Times New Roman" w:cs="Times New Roman"/>
          <w:sz w:val="24"/>
          <w:szCs w:val="24"/>
        </w:rPr>
        <w:t xml:space="preserve">insurance type, </w:t>
      </w:r>
      <w:r w:rsidRPr="000D663A">
        <w:rPr>
          <w:rFonts w:ascii="Times New Roman" w:hAnsi="Times New Roman" w:cs="Times New Roman"/>
          <w:sz w:val="24"/>
          <w:szCs w:val="24"/>
        </w:rPr>
        <w:t>pre</w:t>
      </w:r>
      <w:r w:rsidR="003856F1">
        <w:rPr>
          <w:rFonts w:ascii="Times New Roman" w:hAnsi="Times New Roman" w:cs="Times New Roman"/>
          <w:sz w:val="24"/>
          <w:szCs w:val="24"/>
        </w:rPr>
        <w:t xml:space="preserve">-pregnancy body mass index, </w:t>
      </w:r>
      <w:r w:rsidRPr="000D663A">
        <w:rPr>
          <w:rFonts w:ascii="Times New Roman" w:hAnsi="Times New Roman" w:cs="Times New Roman"/>
          <w:sz w:val="24"/>
          <w:szCs w:val="24"/>
        </w:rPr>
        <w:t>hypertensive disorder of pregnancy</w:t>
      </w:r>
      <w:r w:rsidR="003856F1">
        <w:rPr>
          <w:rFonts w:ascii="Times New Roman" w:hAnsi="Times New Roman" w:cs="Times New Roman"/>
          <w:sz w:val="24"/>
          <w:szCs w:val="24"/>
        </w:rPr>
        <w:t xml:space="preserve">, placenta previa, </w:t>
      </w:r>
      <w:r w:rsidR="00C70CC6">
        <w:rPr>
          <w:rFonts w:ascii="Times New Roman" w:hAnsi="Times New Roman" w:cs="Times New Roman"/>
          <w:sz w:val="24"/>
          <w:szCs w:val="24"/>
        </w:rPr>
        <w:t>macrosomia, chorioamnionitis,</w:t>
      </w:r>
      <w:r w:rsidR="00C6579F">
        <w:rPr>
          <w:rFonts w:ascii="Times New Roman" w:hAnsi="Times New Roman" w:cs="Times New Roman"/>
          <w:sz w:val="24"/>
          <w:szCs w:val="24"/>
        </w:rPr>
        <w:t xml:space="preserve"> polyhydramnios,</w:t>
      </w:r>
      <w:r w:rsidR="00C70CC6">
        <w:rPr>
          <w:rFonts w:ascii="Times New Roman" w:hAnsi="Times New Roman" w:cs="Times New Roman"/>
          <w:sz w:val="24"/>
          <w:szCs w:val="24"/>
        </w:rPr>
        <w:t xml:space="preserve"> induction of labor, and delivery mode.</w:t>
      </w:r>
    </w:p>
    <w:p w:rsidR="003478F2" w:rsidRPr="000D663A" w:rsidRDefault="003478F2" w:rsidP="003478F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D663A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 w:rsidRPr="000D663A">
        <w:rPr>
          <w:rFonts w:ascii="Times New Roman" w:hAnsi="Times New Roman" w:cs="Times New Roman"/>
          <w:sz w:val="24"/>
          <w:szCs w:val="24"/>
        </w:rPr>
        <w:t>Adjusted for maternal age, country of birth (world region), body mass inde</w:t>
      </w:r>
      <w:r w:rsidR="003856F1">
        <w:rPr>
          <w:rFonts w:ascii="Times New Roman" w:hAnsi="Times New Roman" w:cs="Times New Roman"/>
          <w:sz w:val="24"/>
          <w:szCs w:val="24"/>
        </w:rPr>
        <w:t xml:space="preserve">x at first antenatal visit, </w:t>
      </w:r>
      <w:r w:rsidRPr="000D663A">
        <w:rPr>
          <w:rFonts w:ascii="Times New Roman" w:hAnsi="Times New Roman" w:cs="Times New Roman"/>
          <w:sz w:val="24"/>
          <w:szCs w:val="24"/>
        </w:rPr>
        <w:t>hyp</w:t>
      </w:r>
      <w:r w:rsidR="003856F1">
        <w:rPr>
          <w:rFonts w:ascii="Times New Roman" w:hAnsi="Times New Roman" w:cs="Times New Roman"/>
          <w:sz w:val="24"/>
          <w:szCs w:val="24"/>
        </w:rPr>
        <w:t>ertensive disorder of pregnancy, placenta previ</w:t>
      </w:r>
      <w:r w:rsidR="00C70CC6">
        <w:rPr>
          <w:rFonts w:ascii="Times New Roman" w:hAnsi="Times New Roman" w:cs="Times New Roman"/>
          <w:sz w:val="24"/>
          <w:szCs w:val="24"/>
        </w:rPr>
        <w:t xml:space="preserve">a, macrosomia, chorioamnionitis, </w:t>
      </w:r>
      <w:r w:rsidR="00C6579F">
        <w:rPr>
          <w:rFonts w:ascii="Times New Roman" w:hAnsi="Times New Roman" w:cs="Times New Roman"/>
          <w:sz w:val="24"/>
          <w:szCs w:val="24"/>
        </w:rPr>
        <w:t xml:space="preserve">polyhydramnios, </w:t>
      </w:r>
      <w:r w:rsidR="00C70CC6">
        <w:rPr>
          <w:rFonts w:ascii="Times New Roman" w:hAnsi="Times New Roman" w:cs="Times New Roman"/>
          <w:sz w:val="24"/>
          <w:szCs w:val="24"/>
        </w:rPr>
        <w:t>induction of labor, and delivery mode.</w:t>
      </w:r>
    </w:p>
    <w:p w:rsidR="00E22256" w:rsidRDefault="00E22256"/>
    <w:sectPr w:rsidR="00E22256" w:rsidSect="003478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sbA0tjQ2tzQztbBQ0lEKTi0uzszPAykwrAUAPo2/oiwAAAA="/>
  </w:docVars>
  <w:rsids>
    <w:rsidRoot w:val="003478F2"/>
    <w:rsid w:val="00280CB1"/>
    <w:rsid w:val="003478F2"/>
    <w:rsid w:val="003856F1"/>
    <w:rsid w:val="006211FA"/>
    <w:rsid w:val="00946506"/>
    <w:rsid w:val="00B93C73"/>
    <w:rsid w:val="00C6579F"/>
    <w:rsid w:val="00C70CC6"/>
    <w:rsid w:val="00DD3FCA"/>
    <w:rsid w:val="00DD51FA"/>
    <w:rsid w:val="00E2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D1CF"/>
  <w15:chartTrackingRefBased/>
  <w15:docId w15:val="{BA05EC4B-C9AF-4613-A630-98759FA8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C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D3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IT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James Butwick</dc:creator>
  <cp:keywords/>
  <dc:description/>
  <cp:lastModifiedBy>Alex James Butwick</cp:lastModifiedBy>
  <cp:revision>2</cp:revision>
  <dcterms:created xsi:type="dcterms:W3CDTF">2021-01-20T20:17:00Z</dcterms:created>
  <dcterms:modified xsi:type="dcterms:W3CDTF">2021-01-20T20:17:00Z</dcterms:modified>
</cp:coreProperties>
</file>