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99403" w14:textId="28768C93" w:rsidR="00FC0F15" w:rsidRPr="00FC0F15" w:rsidRDefault="005A7D71" w:rsidP="00FC0F15">
      <w:pPr>
        <w:outlineLvl w:val="0"/>
        <w:rPr>
          <w:b/>
          <w:color w:val="0070C0"/>
          <w:lang w:val="en-CA"/>
        </w:rPr>
      </w:pPr>
      <w:r>
        <w:rPr>
          <w:b/>
          <w:color w:val="000000" w:themeColor="text1"/>
          <w:lang w:val="en-CA"/>
        </w:rPr>
        <w:t>Appendix I</w:t>
      </w:r>
      <w:r w:rsidR="00FC0F15" w:rsidRPr="00FC0F15">
        <w:rPr>
          <w:b/>
          <w:color w:val="000000" w:themeColor="text1"/>
          <w:lang w:val="en-CA"/>
        </w:rPr>
        <w:t xml:space="preserve">: </w:t>
      </w:r>
      <w:r w:rsidR="00FC0F15">
        <w:rPr>
          <w:b/>
          <w:color w:val="000000" w:themeColor="text1"/>
          <w:lang w:val="en-CA"/>
        </w:rPr>
        <w:t>IV L</w:t>
      </w:r>
      <w:r w:rsidR="00FC0F15" w:rsidRPr="00FC0F15">
        <w:rPr>
          <w:b/>
          <w:color w:val="000000" w:themeColor="text1"/>
          <w:lang w:val="en-CA"/>
        </w:rPr>
        <w:t>idocaine</w:t>
      </w:r>
      <w:r w:rsidR="00FC0F15">
        <w:rPr>
          <w:b/>
          <w:color w:val="000000" w:themeColor="text1"/>
          <w:lang w:val="en-CA"/>
        </w:rPr>
        <w:t xml:space="preserve"> Meta-a</w:t>
      </w:r>
      <w:r w:rsidR="00FC0F15" w:rsidRPr="00FC0F15">
        <w:rPr>
          <w:b/>
          <w:color w:val="000000" w:themeColor="text1"/>
          <w:lang w:val="en-CA"/>
        </w:rPr>
        <w:t>nalyses</w:t>
      </w:r>
    </w:p>
    <w:p w14:paraId="7493F9B7" w14:textId="77777777" w:rsidR="00F25418" w:rsidRDefault="00F25418" w:rsidP="00FC0F15">
      <w:pPr>
        <w:rPr>
          <w:rFonts w:ascii="Arial" w:hAnsi="Arial" w:cs="Arial"/>
          <w:b/>
          <w:color w:val="000000" w:themeColor="text1"/>
          <w:lang w:val="en-CA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992"/>
        <w:gridCol w:w="1418"/>
        <w:gridCol w:w="708"/>
        <w:gridCol w:w="1843"/>
        <w:gridCol w:w="1985"/>
      </w:tblGrid>
      <w:tr w:rsidR="00F25418" w:rsidRPr="00F25418" w14:paraId="68E9461A" w14:textId="77777777" w:rsidTr="00EC2A7E">
        <w:trPr>
          <w:trHeight w:val="20"/>
        </w:trPr>
        <w:tc>
          <w:tcPr>
            <w:tcW w:w="65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BCCA" w14:textId="77777777" w:rsidR="00F25418" w:rsidRPr="00F25418" w:rsidRDefault="00F25418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Outcome and subgroup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3787C75" w14:textId="77777777" w:rsidR="00F25418" w:rsidRPr="00F25418" w:rsidRDefault="00F25418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Studies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04B5DA3" w14:textId="77777777" w:rsidR="00F25418" w:rsidRPr="00F25418" w:rsidRDefault="00F25418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Participants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EFA22D7" w14:textId="4C392F36" w:rsidR="00F25418" w:rsidRPr="00F25418" w:rsidRDefault="00F25418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</w:t>
            </w: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hideMark/>
          </w:tcPr>
          <w:p w14:paraId="5653F47B" w14:textId="7065DDC8" w:rsidR="00F25418" w:rsidRPr="00F25418" w:rsidRDefault="00F25418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Fixed, 95% CI)</w:t>
            </w:r>
          </w:p>
        </w:tc>
        <w:tc>
          <w:tcPr>
            <w:tcW w:w="1985" w:type="dxa"/>
            <w:shd w:val="clear" w:color="auto" w:fill="auto"/>
            <w:hideMark/>
          </w:tcPr>
          <w:p w14:paraId="6DD6EA59" w14:textId="77777777" w:rsidR="00F25418" w:rsidRPr="00F25418" w:rsidRDefault="00F25418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Risk Ratio (M-H, Random, 95% CI)</w:t>
            </w:r>
          </w:p>
        </w:tc>
      </w:tr>
      <w:tr w:rsidR="00EC2A7E" w:rsidRPr="00F25418" w14:paraId="302E9A9C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3154" w14:textId="0B64B255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4.1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3 mo., drug ≤24h, mixed surgical procedures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EF85435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57C35649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94FBE" w14:textId="6AD32AC1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81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BD210F9" w14:textId="2D175C36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0.78 [0.60, 1.01]</w:t>
            </w:r>
          </w:p>
        </w:tc>
        <w:tc>
          <w:tcPr>
            <w:tcW w:w="1985" w:type="dxa"/>
            <w:shd w:val="clear" w:color="auto" w:fill="auto"/>
            <w:hideMark/>
          </w:tcPr>
          <w:p w14:paraId="44E21439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0.68 [0.36, 1.30]</w:t>
            </w:r>
          </w:p>
        </w:tc>
      </w:tr>
      <w:tr w:rsidR="00EC2A7E" w:rsidRPr="00F25418" w14:paraId="598874F8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E2C97" w14:textId="311A11F7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4.2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moderate/severe pain at 3 mo., drug ≤24h, mixed surgical procedures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A314F21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50B5A09F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39CD3" w14:textId="421C12BE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62DFC282" w14:textId="55B51AD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0.41 [0.13, 1.27]</w:t>
            </w:r>
          </w:p>
        </w:tc>
        <w:tc>
          <w:tcPr>
            <w:tcW w:w="1985" w:type="dxa"/>
            <w:shd w:val="clear" w:color="auto" w:fill="auto"/>
            <w:hideMark/>
          </w:tcPr>
          <w:p w14:paraId="3D35F1C2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0.41 [0.13, 1.27]</w:t>
            </w:r>
          </w:p>
        </w:tc>
      </w:tr>
      <w:tr w:rsidR="00EC2A7E" w:rsidRPr="00F25418" w14:paraId="7F2550A8" w14:textId="77777777" w:rsidTr="002F785F">
        <w:trPr>
          <w:trHeight w:val="83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3199" w14:textId="502FF537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4.3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6 mo., drug ≤24h, mixed surgical procedures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00079CD1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3F17B66C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02395" w14:textId="4A07DAC4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0BBE256E" w14:textId="143401A7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C2A7E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0.43 [0.23, 0.80]</w:t>
            </w:r>
          </w:p>
        </w:tc>
        <w:tc>
          <w:tcPr>
            <w:tcW w:w="1985" w:type="dxa"/>
            <w:shd w:val="clear" w:color="auto" w:fill="auto"/>
            <w:hideMark/>
          </w:tcPr>
          <w:p w14:paraId="18AEA60F" w14:textId="77777777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C2A7E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0.43 [0.23, 0.80]</w:t>
            </w:r>
          </w:p>
        </w:tc>
      </w:tr>
      <w:tr w:rsidR="00EC2A7E" w:rsidRPr="00F25418" w14:paraId="695D8FD3" w14:textId="77777777" w:rsidTr="002F785F">
        <w:trPr>
          <w:trHeight w:val="83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3A9C" w14:textId="5ADF1991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4.4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moderate/severe pain at 6 mo., drug ≤24h, mixed surgical procedures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2995CFF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409172CF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B3C6" w14:textId="2A605F94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6EE56AD" w14:textId="13D1E2A6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0.53 [0.18, 1.51]</w:t>
            </w:r>
          </w:p>
        </w:tc>
        <w:tc>
          <w:tcPr>
            <w:tcW w:w="1985" w:type="dxa"/>
            <w:shd w:val="clear" w:color="auto" w:fill="auto"/>
            <w:hideMark/>
          </w:tcPr>
          <w:p w14:paraId="207FFEC5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0.52 [0.18, 1.52]</w:t>
            </w:r>
          </w:p>
        </w:tc>
      </w:tr>
      <w:tr w:rsidR="00EC2A7E" w:rsidRPr="00F25418" w14:paraId="640C8311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7DB3" w14:textId="3BE4C0AB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4.5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3 mo., breast surgery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4DA1306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0D187C3D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BE4F" w14:textId="4E3F8A74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75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F62E654" w14:textId="2E2D98FC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0.89 [0.68, 1.16]</w:t>
            </w:r>
          </w:p>
        </w:tc>
        <w:tc>
          <w:tcPr>
            <w:tcW w:w="1985" w:type="dxa"/>
            <w:shd w:val="clear" w:color="auto" w:fill="auto"/>
            <w:hideMark/>
          </w:tcPr>
          <w:p w14:paraId="102B313C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0.80 [0.43, 1.50]</w:t>
            </w:r>
          </w:p>
        </w:tc>
      </w:tr>
      <w:tr w:rsidR="00EC2A7E" w:rsidRPr="00F25418" w14:paraId="3F32471E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0CD3" w14:textId="51C036AA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4.6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moderate/severe pain at 3 mo., breast surgery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42B1D8D6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3BD86FF2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DC849" w14:textId="76AF6E3C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794B6775" w14:textId="4F5BB078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0.41 [0.13, 1.27]</w:t>
            </w:r>
          </w:p>
        </w:tc>
        <w:tc>
          <w:tcPr>
            <w:tcW w:w="1985" w:type="dxa"/>
            <w:shd w:val="clear" w:color="auto" w:fill="auto"/>
            <w:hideMark/>
          </w:tcPr>
          <w:p w14:paraId="5CCCFDD2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0.41 [0.13, 1.27]</w:t>
            </w:r>
          </w:p>
        </w:tc>
      </w:tr>
      <w:tr w:rsidR="00EC2A7E" w:rsidRPr="00F25418" w14:paraId="18E2B72F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1DF9" w14:textId="55FDE9BA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4.7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any pain at 6 mo., breast surgery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388D854A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283F4BB0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C3BDE" w14:textId="4324FBCB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1F4776AE" w14:textId="59494015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C2A7E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0.43 [0.23, 0.80]</w:t>
            </w:r>
          </w:p>
        </w:tc>
        <w:tc>
          <w:tcPr>
            <w:tcW w:w="1985" w:type="dxa"/>
            <w:shd w:val="clear" w:color="auto" w:fill="auto"/>
            <w:hideMark/>
          </w:tcPr>
          <w:p w14:paraId="13A0BF97" w14:textId="77777777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EC2A7E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0.43 [0.23, 0.80]</w:t>
            </w:r>
          </w:p>
        </w:tc>
      </w:tr>
      <w:tr w:rsidR="00EC2A7E" w:rsidRPr="00F25418" w14:paraId="53EB963D" w14:textId="77777777" w:rsidTr="00EC2A7E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49CF" w14:textId="08FC79D6" w:rsidR="00EC2A7E" w:rsidRPr="00EC2A7E" w:rsidRDefault="002F785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 xml:space="preserve">4.8 </w:t>
            </w:r>
            <w:r w:rsidR="00EC2A7E"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Prevalence of moderate/severe pain at 6 mo., breast surgery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560E6BD4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hideMark/>
          </w:tcPr>
          <w:p w14:paraId="024B97DC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21F57" w14:textId="7CDC684B" w:rsidR="00EC2A7E" w:rsidRPr="00EC2A7E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C2A7E">
              <w:rPr>
                <w:rFonts w:ascii="Arial" w:eastAsia="Calibri" w:hAnsi="Arial" w:cs="Arial"/>
                <w:color w:val="000000" w:themeColor="text1"/>
                <w:kern w:val="24"/>
                <w:sz w:val="22"/>
                <w:szCs w:val="22"/>
                <w:lang w:val="en-CA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hideMark/>
          </w:tcPr>
          <w:p w14:paraId="290D7F5B" w14:textId="3E01B679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0.53 [0.18, 1.51]</w:t>
            </w:r>
          </w:p>
        </w:tc>
        <w:tc>
          <w:tcPr>
            <w:tcW w:w="1985" w:type="dxa"/>
            <w:shd w:val="clear" w:color="auto" w:fill="auto"/>
            <w:hideMark/>
          </w:tcPr>
          <w:p w14:paraId="05DB94E4" w14:textId="77777777" w:rsidR="00EC2A7E" w:rsidRPr="00F25418" w:rsidRDefault="00EC2A7E" w:rsidP="00EC2A7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25418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0.52 [0.18, 1.52]</w:t>
            </w:r>
          </w:p>
        </w:tc>
      </w:tr>
    </w:tbl>
    <w:p w14:paraId="51CEFB90" w14:textId="77777777" w:rsidR="00F25418" w:rsidRPr="00FC0F15" w:rsidRDefault="00F25418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6C6026B7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798771AE" w14:textId="77777777" w:rsidR="009034D8" w:rsidRDefault="009034D8">
      <w:pPr>
        <w:rPr>
          <w:rFonts w:ascii="Arial" w:hAnsi="Arial" w:cs="Arial"/>
          <w:b/>
          <w:color w:val="000000" w:themeColor="text1"/>
          <w:lang w:val="en-CA"/>
        </w:rPr>
      </w:pPr>
    </w:p>
    <w:p w14:paraId="4FA74485" w14:textId="77777777" w:rsidR="004E53D9" w:rsidRDefault="004E53D9">
      <w:pPr>
        <w:rPr>
          <w:rFonts w:ascii="Arial" w:hAnsi="Arial" w:cs="Arial"/>
          <w:b/>
          <w:color w:val="000000" w:themeColor="text1"/>
          <w:lang w:val="en-CA"/>
        </w:rPr>
      </w:pPr>
      <w:r>
        <w:rPr>
          <w:rFonts w:ascii="Arial" w:hAnsi="Arial" w:cs="Arial"/>
          <w:b/>
          <w:color w:val="000000" w:themeColor="text1"/>
          <w:lang w:val="en-CA"/>
        </w:rPr>
        <w:br w:type="page"/>
      </w:r>
      <w:bookmarkStart w:id="0" w:name="_GoBack"/>
      <w:bookmarkEnd w:id="0"/>
    </w:p>
    <w:p w14:paraId="3FBA2D45" w14:textId="34F900FA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lastRenderedPageBreak/>
        <w:t>Analysis 4.1. IV lidocaine versus placebo comparisons, prevalence of any pain at 3 months (drug administration ≤ 24 hours)</w:t>
      </w:r>
    </w:p>
    <w:p w14:paraId="64679465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74B4C8D8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6F0C422" wp14:editId="2DA11BDA">
            <wp:extent cx="8229600" cy="3901440"/>
            <wp:effectExtent l="0" t="0" r="0" b="101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04B9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07E40999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</w:p>
    <w:p w14:paraId="5250E4A2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70C0"/>
          <w:lang w:val="en-CA"/>
        </w:rPr>
      </w:pPr>
    </w:p>
    <w:p w14:paraId="04600195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70C0"/>
          <w:lang w:val="en-CA"/>
        </w:rPr>
      </w:pPr>
    </w:p>
    <w:p w14:paraId="722965BA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39307E0B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4.2. IV lidocaine versus placebo comparisons, prevalence of moderate/severe pain at 3 months (drug administration ≤ 24 hours)</w:t>
      </w:r>
    </w:p>
    <w:p w14:paraId="14602E03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48D1DD8A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8B64953" wp14:editId="2427A170">
            <wp:extent cx="8229600" cy="2438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D6AB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7134284C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4.3. IV lidocaine versus placebo comparisons, prevalence of any pain at 6 months (drug administration ≤ 24 hours)</w:t>
      </w:r>
    </w:p>
    <w:p w14:paraId="78FAE511" w14:textId="77777777" w:rsidR="00FC0F15" w:rsidRPr="00FC0F15" w:rsidRDefault="00FC0F15" w:rsidP="00FC0F15">
      <w:pPr>
        <w:jc w:val="center"/>
        <w:outlineLvl w:val="0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 xml:space="preserve"> </w:t>
      </w:r>
    </w:p>
    <w:p w14:paraId="4C32A7F3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F690694" wp14:editId="1B2E1AC8">
            <wp:extent cx="8229600" cy="243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E8F9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1D336E2D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59168665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4.4. IV lidocaine versus placebo comparisons, prevalence of moderate/severe pain at 6 months (drug administration ≤ 24 hours)</w:t>
      </w:r>
    </w:p>
    <w:p w14:paraId="502EA68F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28B89BEF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2C63B47" wp14:editId="19DCFDB8">
            <wp:extent cx="8229600" cy="2438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ED73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1B9C3583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4.5. IV lidocaine versus placebo comparisons, prevalence of any pain at 3 months (breast surgery)</w:t>
      </w:r>
    </w:p>
    <w:p w14:paraId="52BDA92C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510FDADE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4DFE3709" wp14:editId="2C924124">
            <wp:extent cx="8229600" cy="195072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6757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562555A3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715330AB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1F7F03E3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4.6. IV lidocaine versus placebo comparisons, prevalence of moderate/severe pain at 3 months (breast surgery)</w:t>
      </w:r>
    </w:p>
    <w:p w14:paraId="66C4E75D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2AECDB10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01D9D900" wp14:editId="1D667D17">
            <wp:extent cx="8229600" cy="1625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CD74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2982B069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15B67ABF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br w:type="page"/>
      </w:r>
    </w:p>
    <w:p w14:paraId="148FB99F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4.7. IV lidocaine versus placebo comparisons, prevalence of any pain at 6 months (breast surgery)</w:t>
      </w:r>
    </w:p>
    <w:p w14:paraId="68D0C022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2B67BB1C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  <w:r w:rsidRPr="00FC0F15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FD995A6" wp14:editId="594EFE49">
            <wp:extent cx="8229600" cy="1625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E415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2317DB56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654646AF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54129C9C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0000" w:themeColor="text1"/>
          <w:lang w:val="en-CA"/>
        </w:rPr>
      </w:pPr>
    </w:p>
    <w:p w14:paraId="690F023B" w14:textId="77777777" w:rsidR="00FC0F15" w:rsidRPr="00FC0F15" w:rsidRDefault="00FC0F15" w:rsidP="00FC0F15">
      <w:pPr>
        <w:jc w:val="center"/>
        <w:rPr>
          <w:rFonts w:ascii="Arial" w:hAnsi="Arial" w:cs="Arial"/>
          <w:b/>
        </w:rPr>
      </w:pPr>
      <w:r w:rsidRPr="00FC0F15">
        <w:rPr>
          <w:rFonts w:ascii="Arial" w:hAnsi="Arial" w:cs="Arial"/>
          <w:b/>
          <w:color w:val="000000" w:themeColor="text1"/>
          <w:lang w:val="en-CA"/>
        </w:rPr>
        <w:t>Analysis 4.8. IV lidocaine versus placebo comparisons, prevalence of moderate/severe pain at 6 months (breast surgery)</w:t>
      </w:r>
    </w:p>
    <w:p w14:paraId="7FD59168" w14:textId="77777777" w:rsidR="00FC0F15" w:rsidRPr="00FC0F15" w:rsidRDefault="00FC0F15" w:rsidP="00FC0F15">
      <w:pPr>
        <w:rPr>
          <w:rFonts w:ascii="Arial" w:hAnsi="Arial" w:cs="Arial"/>
          <w:b/>
        </w:rPr>
      </w:pPr>
    </w:p>
    <w:p w14:paraId="3F384C46" w14:textId="77777777" w:rsidR="00FC0F15" w:rsidRPr="00FC0F15" w:rsidRDefault="00FC0F15" w:rsidP="00FC0F15">
      <w:pPr>
        <w:jc w:val="center"/>
        <w:rPr>
          <w:rFonts w:ascii="Arial" w:hAnsi="Arial" w:cs="Arial"/>
          <w:b/>
        </w:rPr>
      </w:pPr>
      <w:r w:rsidRPr="00FC0F15">
        <w:rPr>
          <w:rFonts w:ascii="Arial" w:hAnsi="Arial" w:cs="Arial"/>
          <w:b/>
          <w:noProof/>
        </w:rPr>
        <w:drawing>
          <wp:inline distT="0" distB="0" distL="0" distR="0" wp14:anchorId="467E0F76" wp14:editId="6D23ECA5">
            <wp:extent cx="8229600" cy="1625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FF41" w14:textId="77777777" w:rsidR="00FC0F15" w:rsidRPr="00FC0F15" w:rsidRDefault="00FC0F15" w:rsidP="00FC0F15">
      <w:pPr>
        <w:rPr>
          <w:rFonts w:ascii="Arial" w:hAnsi="Arial" w:cs="Arial"/>
          <w:b/>
          <w:color w:val="000000" w:themeColor="text1"/>
          <w:lang w:val="en-CA"/>
        </w:rPr>
      </w:pPr>
    </w:p>
    <w:p w14:paraId="52975B0C" w14:textId="77777777" w:rsidR="00FC0F15" w:rsidRPr="00FC0F15" w:rsidRDefault="00FC0F15" w:rsidP="00FC0F15">
      <w:pPr>
        <w:jc w:val="center"/>
        <w:rPr>
          <w:rFonts w:ascii="Arial" w:hAnsi="Arial" w:cs="Arial"/>
          <w:b/>
          <w:color w:val="0070C0"/>
          <w:lang w:val="en-CA"/>
        </w:rPr>
      </w:pPr>
    </w:p>
    <w:p w14:paraId="138CADB5" w14:textId="77777777" w:rsidR="00FC0F15" w:rsidRPr="00FC0F15" w:rsidRDefault="00FC0F15" w:rsidP="00FC0F15">
      <w:pPr>
        <w:rPr>
          <w:rFonts w:ascii="Arial" w:hAnsi="Arial" w:cs="Arial"/>
          <w:b/>
        </w:rPr>
      </w:pPr>
    </w:p>
    <w:p w14:paraId="605422B8" w14:textId="31C7EDE8" w:rsidR="00AE6726" w:rsidRPr="00F2749B" w:rsidRDefault="00AE6726" w:rsidP="002244C4">
      <w:pPr>
        <w:outlineLvl w:val="0"/>
        <w:rPr>
          <w:rFonts w:asciiTheme="minorHAnsi" w:hAnsiTheme="minorHAnsi"/>
          <w:lang w:val="en-CA"/>
        </w:rPr>
      </w:pPr>
    </w:p>
    <w:sectPr w:rsidR="00AE6726" w:rsidRPr="00F2749B" w:rsidSect="002244C4">
      <w:footerReference w:type="even" r:id="rId15"/>
      <w:footerReference w:type="defaul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775BA" w14:textId="77777777" w:rsidR="00E54964" w:rsidRDefault="00E54964" w:rsidP="00A546FA">
      <w:r>
        <w:separator/>
      </w:r>
    </w:p>
  </w:endnote>
  <w:endnote w:type="continuationSeparator" w:id="0">
    <w:p w14:paraId="02A013C1" w14:textId="77777777" w:rsidR="00E54964" w:rsidRDefault="00E54964" w:rsidP="00A5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E71B2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98DC91" w14:textId="77777777" w:rsidR="00A546FA" w:rsidRDefault="00A546FA" w:rsidP="00A546F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CA735" w14:textId="77777777" w:rsidR="00A546FA" w:rsidRDefault="00A546FA" w:rsidP="00171F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496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BFD220" w14:textId="77777777" w:rsidR="00A546FA" w:rsidRDefault="00A546FA" w:rsidP="00A546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F8CE0" w14:textId="77777777" w:rsidR="00E54964" w:rsidRDefault="00E54964" w:rsidP="00A546FA">
      <w:r>
        <w:separator/>
      </w:r>
    </w:p>
  </w:footnote>
  <w:footnote w:type="continuationSeparator" w:id="0">
    <w:p w14:paraId="6BE81BF1" w14:textId="77777777" w:rsidR="00E54964" w:rsidRDefault="00E54964" w:rsidP="00A54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4E33"/>
    <w:multiLevelType w:val="multilevel"/>
    <w:tmpl w:val="8B5810D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3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22svrd3wpvaeerd975ftfndztpws9f5xde&quot;&gt;Gilron Cochrane Update&lt;record-ids&gt;&lt;item&gt;1&lt;/item&gt;&lt;item&gt;2&lt;/item&gt;&lt;item&gt;9&lt;/item&gt;&lt;item&gt;16&lt;/item&gt;&lt;item&gt;22&lt;/item&gt;&lt;item&gt;23&lt;/item&gt;&lt;item&gt;24&lt;/item&gt;&lt;item&gt;32&lt;/item&gt;&lt;item&gt;33&lt;/item&gt;&lt;item&gt;37&lt;/item&gt;&lt;item&gt;42&lt;/item&gt;&lt;item&gt;47&lt;/item&gt;&lt;item&gt;52&lt;/item&gt;&lt;item&gt;57&lt;/item&gt;&lt;item&gt;63&lt;/item&gt;&lt;item&gt;80&lt;/item&gt;&lt;item&gt;81&lt;/item&gt;&lt;item&gt;116&lt;/item&gt;&lt;item&gt;117&lt;/item&gt;&lt;item&gt;118&lt;/item&gt;&lt;item&gt;119&lt;/item&gt;&lt;item&gt;120&lt;/item&gt;&lt;item&gt;121&lt;/item&gt;&lt;item&gt;122&lt;/item&gt;&lt;/record-ids&gt;&lt;/item&gt;&lt;/Libraries&gt;"/>
  </w:docVars>
  <w:rsids>
    <w:rsidRoot w:val="00287509"/>
    <w:rsid w:val="00004FCA"/>
    <w:rsid w:val="000121A7"/>
    <w:rsid w:val="00022B45"/>
    <w:rsid w:val="00033211"/>
    <w:rsid w:val="0005528A"/>
    <w:rsid w:val="000724AA"/>
    <w:rsid w:val="0007475D"/>
    <w:rsid w:val="00097CE6"/>
    <w:rsid w:val="000C4D35"/>
    <w:rsid w:val="000C608E"/>
    <w:rsid w:val="000D5965"/>
    <w:rsid w:val="000F0A9F"/>
    <w:rsid w:val="000F54E9"/>
    <w:rsid w:val="00122DDC"/>
    <w:rsid w:val="00127BB2"/>
    <w:rsid w:val="001510E7"/>
    <w:rsid w:val="00152456"/>
    <w:rsid w:val="001554D8"/>
    <w:rsid w:val="00160250"/>
    <w:rsid w:val="00165F31"/>
    <w:rsid w:val="00177BC4"/>
    <w:rsid w:val="001A3295"/>
    <w:rsid w:val="001B49F8"/>
    <w:rsid w:val="001D0A55"/>
    <w:rsid w:val="001E53A9"/>
    <w:rsid w:val="001F5FF6"/>
    <w:rsid w:val="00202032"/>
    <w:rsid w:val="00210C26"/>
    <w:rsid w:val="00214295"/>
    <w:rsid w:val="002244C4"/>
    <w:rsid w:val="002270EC"/>
    <w:rsid w:val="002363CF"/>
    <w:rsid w:val="00243F8A"/>
    <w:rsid w:val="00251D82"/>
    <w:rsid w:val="00287509"/>
    <w:rsid w:val="00291CCA"/>
    <w:rsid w:val="002945AC"/>
    <w:rsid w:val="002965DB"/>
    <w:rsid w:val="002B078D"/>
    <w:rsid w:val="002C5D57"/>
    <w:rsid w:val="002F25E0"/>
    <w:rsid w:val="002F785F"/>
    <w:rsid w:val="00314EE3"/>
    <w:rsid w:val="00316254"/>
    <w:rsid w:val="0032224E"/>
    <w:rsid w:val="0032631A"/>
    <w:rsid w:val="00340076"/>
    <w:rsid w:val="00340E95"/>
    <w:rsid w:val="00361D62"/>
    <w:rsid w:val="00362022"/>
    <w:rsid w:val="003907D6"/>
    <w:rsid w:val="003926EE"/>
    <w:rsid w:val="00392C45"/>
    <w:rsid w:val="003A29BD"/>
    <w:rsid w:val="003D79DE"/>
    <w:rsid w:val="003E329D"/>
    <w:rsid w:val="003E5A1E"/>
    <w:rsid w:val="003F0BF1"/>
    <w:rsid w:val="003F53D9"/>
    <w:rsid w:val="00400112"/>
    <w:rsid w:val="004074A8"/>
    <w:rsid w:val="00413E51"/>
    <w:rsid w:val="00422310"/>
    <w:rsid w:val="00422A2A"/>
    <w:rsid w:val="00425025"/>
    <w:rsid w:val="00436CBC"/>
    <w:rsid w:val="00453341"/>
    <w:rsid w:val="00457298"/>
    <w:rsid w:val="00464426"/>
    <w:rsid w:val="00464B3E"/>
    <w:rsid w:val="0049259C"/>
    <w:rsid w:val="00493715"/>
    <w:rsid w:val="00495BD3"/>
    <w:rsid w:val="004B245A"/>
    <w:rsid w:val="004D6434"/>
    <w:rsid w:val="004E1A7E"/>
    <w:rsid w:val="004E53D9"/>
    <w:rsid w:val="005039FA"/>
    <w:rsid w:val="0051179A"/>
    <w:rsid w:val="00520439"/>
    <w:rsid w:val="005277D7"/>
    <w:rsid w:val="00563849"/>
    <w:rsid w:val="00582E34"/>
    <w:rsid w:val="005963B1"/>
    <w:rsid w:val="00597CB6"/>
    <w:rsid w:val="005A7D71"/>
    <w:rsid w:val="005B633B"/>
    <w:rsid w:val="005C0F7B"/>
    <w:rsid w:val="005D2CB0"/>
    <w:rsid w:val="005F134C"/>
    <w:rsid w:val="005F47A3"/>
    <w:rsid w:val="00607CF1"/>
    <w:rsid w:val="0062282C"/>
    <w:rsid w:val="0062733D"/>
    <w:rsid w:val="006576D7"/>
    <w:rsid w:val="0066515B"/>
    <w:rsid w:val="0067652C"/>
    <w:rsid w:val="00694D0E"/>
    <w:rsid w:val="006C109E"/>
    <w:rsid w:val="006C4FC5"/>
    <w:rsid w:val="006D751C"/>
    <w:rsid w:val="006E4102"/>
    <w:rsid w:val="006E539A"/>
    <w:rsid w:val="00715578"/>
    <w:rsid w:val="00720D6B"/>
    <w:rsid w:val="00754C28"/>
    <w:rsid w:val="00766DB4"/>
    <w:rsid w:val="007716E8"/>
    <w:rsid w:val="00773F46"/>
    <w:rsid w:val="00782685"/>
    <w:rsid w:val="00787264"/>
    <w:rsid w:val="0079156A"/>
    <w:rsid w:val="0079735E"/>
    <w:rsid w:val="007B070C"/>
    <w:rsid w:val="007C6140"/>
    <w:rsid w:val="007D29E1"/>
    <w:rsid w:val="007F6491"/>
    <w:rsid w:val="007F7D37"/>
    <w:rsid w:val="00804939"/>
    <w:rsid w:val="00806944"/>
    <w:rsid w:val="00811173"/>
    <w:rsid w:val="00816E36"/>
    <w:rsid w:val="00833396"/>
    <w:rsid w:val="008741A5"/>
    <w:rsid w:val="0088106C"/>
    <w:rsid w:val="0088549A"/>
    <w:rsid w:val="00894151"/>
    <w:rsid w:val="008A0845"/>
    <w:rsid w:val="008A1DBB"/>
    <w:rsid w:val="008A275D"/>
    <w:rsid w:val="008A4349"/>
    <w:rsid w:val="008C2620"/>
    <w:rsid w:val="008F614C"/>
    <w:rsid w:val="009034D8"/>
    <w:rsid w:val="00903854"/>
    <w:rsid w:val="009075D2"/>
    <w:rsid w:val="009359C4"/>
    <w:rsid w:val="00936C92"/>
    <w:rsid w:val="009459EE"/>
    <w:rsid w:val="0095527C"/>
    <w:rsid w:val="00973EA3"/>
    <w:rsid w:val="009824C3"/>
    <w:rsid w:val="00985008"/>
    <w:rsid w:val="009A392B"/>
    <w:rsid w:val="009B64C1"/>
    <w:rsid w:val="009C3CAF"/>
    <w:rsid w:val="009C48CC"/>
    <w:rsid w:val="009D1CD3"/>
    <w:rsid w:val="009E5F8C"/>
    <w:rsid w:val="00A05AF9"/>
    <w:rsid w:val="00A23EC1"/>
    <w:rsid w:val="00A267A2"/>
    <w:rsid w:val="00A34C67"/>
    <w:rsid w:val="00A538B9"/>
    <w:rsid w:val="00A546FA"/>
    <w:rsid w:val="00A54CD9"/>
    <w:rsid w:val="00A81085"/>
    <w:rsid w:val="00A835B6"/>
    <w:rsid w:val="00AA165B"/>
    <w:rsid w:val="00AC3F16"/>
    <w:rsid w:val="00AC4D4C"/>
    <w:rsid w:val="00AC6C50"/>
    <w:rsid w:val="00AD0BB9"/>
    <w:rsid w:val="00AD6888"/>
    <w:rsid w:val="00AE39F3"/>
    <w:rsid w:val="00AE6726"/>
    <w:rsid w:val="00AF4279"/>
    <w:rsid w:val="00AF70AF"/>
    <w:rsid w:val="00B02D87"/>
    <w:rsid w:val="00B10132"/>
    <w:rsid w:val="00B101EE"/>
    <w:rsid w:val="00B17838"/>
    <w:rsid w:val="00B4552A"/>
    <w:rsid w:val="00B71C65"/>
    <w:rsid w:val="00B72B79"/>
    <w:rsid w:val="00B7764C"/>
    <w:rsid w:val="00B805EA"/>
    <w:rsid w:val="00B83F3D"/>
    <w:rsid w:val="00B86FD7"/>
    <w:rsid w:val="00B900F6"/>
    <w:rsid w:val="00BA3122"/>
    <w:rsid w:val="00BA4E60"/>
    <w:rsid w:val="00BB6A3D"/>
    <w:rsid w:val="00BD5400"/>
    <w:rsid w:val="00BE47FE"/>
    <w:rsid w:val="00BE6EBA"/>
    <w:rsid w:val="00BF53E2"/>
    <w:rsid w:val="00C10105"/>
    <w:rsid w:val="00C41A18"/>
    <w:rsid w:val="00C43F40"/>
    <w:rsid w:val="00CB1C4C"/>
    <w:rsid w:val="00D01878"/>
    <w:rsid w:val="00D12CDB"/>
    <w:rsid w:val="00D50E71"/>
    <w:rsid w:val="00D6014C"/>
    <w:rsid w:val="00D74B52"/>
    <w:rsid w:val="00D92925"/>
    <w:rsid w:val="00DC55A7"/>
    <w:rsid w:val="00DF4961"/>
    <w:rsid w:val="00DF4C74"/>
    <w:rsid w:val="00E075A0"/>
    <w:rsid w:val="00E27B91"/>
    <w:rsid w:val="00E319D2"/>
    <w:rsid w:val="00E31B17"/>
    <w:rsid w:val="00E31DB0"/>
    <w:rsid w:val="00E3237D"/>
    <w:rsid w:val="00E54964"/>
    <w:rsid w:val="00E91FC8"/>
    <w:rsid w:val="00EB0875"/>
    <w:rsid w:val="00EB709A"/>
    <w:rsid w:val="00EC2A7E"/>
    <w:rsid w:val="00EC2AD2"/>
    <w:rsid w:val="00EC2DD8"/>
    <w:rsid w:val="00EC7847"/>
    <w:rsid w:val="00EE42D4"/>
    <w:rsid w:val="00EE5690"/>
    <w:rsid w:val="00EE79D8"/>
    <w:rsid w:val="00F209D9"/>
    <w:rsid w:val="00F25418"/>
    <w:rsid w:val="00F36745"/>
    <w:rsid w:val="00F509A3"/>
    <w:rsid w:val="00F67C1D"/>
    <w:rsid w:val="00F93E44"/>
    <w:rsid w:val="00F97833"/>
    <w:rsid w:val="00FA3215"/>
    <w:rsid w:val="00FB2643"/>
    <w:rsid w:val="00FC0F15"/>
    <w:rsid w:val="00FF0161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C8BD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7509"/>
    <w:rPr>
      <w:rFonts w:ascii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243F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3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B7764C"/>
    <w:rPr>
      <w:rFonts w:ascii="Helvetica" w:hAnsi="Helvetica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4644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4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426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42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426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2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26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34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6F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546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6F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546FA"/>
  </w:style>
  <w:style w:type="character" w:customStyle="1" w:styleId="Heading3Char">
    <w:name w:val="Heading 3 Char"/>
    <w:basedOn w:val="DefaultParagraphFont"/>
    <w:link w:val="Heading3"/>
    <w:uiPriority w:val="9"/>
    <w:rsid w:val="00243F8A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3F8A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243F8A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243F8A"/>
    <w:rPr>
      <w:rFonts w:ascii="Helvetica" w:hAnsi="Helvetica" w:hint="default"/>
      <w:sz w:val="11"/>
      <w:szCs w:val="11"/>
    </w:rPr>
  </w:style>
  <w:style w:type="paragraph" w:styleId="ListParagraph">
    <w:name w:val="List Paragraph"/>
    <w:basedOn w:val="Normal"/>
    <w:uiPriority w:val="34"/>
    <w:qFormat/>
    <w:rsid w:val="00243F8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43F8A"/>
  </w:style>
  <w:style w:type="paragraph" w:styleId="DocumentMap">
    <w:name w:val="Document Map"/>
    <w:basedOn w:val="Normal"/>
    <w:link w:val="DocumentMapChar"/>
    <w:uiPriority w:val="99"/>
    <w:semiHidden/>
    <w:unhideWhenUsed/>
    <w:rsid w:val="00243F8A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3F8A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43F8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D29E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rsid w:val="00340076"/>
    <w:pPr>
      <w:jc w:val="center"/>
    </w:pPr>
  </w:style>
  <w:style w:type="paragraph" w:customStyle="1" w:styleId="EndNoteBibliography">
    <w:name w:val="EndNote Bibliography"/>
    <w:basedOn w:val="Normal"/>
    <w:rsid w:val="0034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312</Words>
  <Characters>1779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Appendix G: IV Lidocaine Meta-analyses</vt:lpstr>
      <vt:lpstr>Analysis 4.1. IV lidocaine versus placebo comparisons, prevalence of any pain at</vt:lpstr>
      <vt:lpstr/>
      <vt:lpstr/>
      <vt:lpstr>Analysis 4.3. IV lidocaine versus placebo comparisons, prevalence of any pain at</vt:lpstr>
      <vt:lpstr/>
      <vt:lpstr/>
    </vt:vector>
  </TitlesOfParts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Carley</dc:creator>
  <cp:keywords/>
  <dc:description/>
  <cp:lastModifiedBy>Meg Carley</cp:lastModifiedBy>
  <cp:revision>7</cp:revision>
  <dcterms:created xsi:type="dcterms:W3CDTF">2020-11-24T14:30:00Z</dcterms:created>
  <dcterms:modified xsi:type="dcterms:W3CDTF">2021-03-23T16:28:00Z</dcterms:modified>
</cp:coreProperties>
</file>