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B5E8" w14:textId="16F03379" w:rsidR="005432B3" w:rsidRPr="009C6B18" w:rsidRDefault="001F45C3" w:rsidP="00CE6A5D">
      <w:pPr>
        <w:pStyle w:val="aa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73442656"/>
      <w:r w:rsidRPr="009C6B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Supplement: Additional Analysis</w:t>
      </w:r>
    </w:p>
    <w:bookmarkEnd w:id="0"/>
    <w:p w14:paraId="17F37430" w14:textId="1BAAA3FF" w:rsidR="00A25240" w:rsidRPr="009C6B18" w:rsidRDefault="00A25240" w:rsidP="00CE6A5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>Additional sensitivity analyses were performed, and results were presented below</w:t>
      </w:r>
      <w:r w:rsidR="0093038B" w:rsidRPr="009C6B18">
        <w:rPr>
          <w:rFonts w:ascii="Times New Roman" w:hAnsi="Times New Roman" w:cs="Times New Roman"/>
          <w:sz w:val="22"/>
          <w:szCs w:val="22"/>
        </w:rPr>
        <w:t>. Overall, all sensitivity analysis results are consistent with main results presented in the main text of our manuscript.</w:t>
      </w:r>
    </w:p>
    <w:p w14:paraId="53971946" w14:textId="77777777" w:rsidR="009C6B18" w:rsidRPr="009C6B18" w:rsidRDefault="00FE62C1" w:rsidP="009C6B18">
      <w:pPr>
        <w:pStyle w:val="aa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C6B18">
        <w:rPr>
          <w:rFonts w:ascii="Times New Roman" w:hAnsi="Times New Roman" w:cs="Times New Roman"/>
          <w:b/>
          <w:bCs/>
          <w:sz w:val="22"/>
          <w:szCs w:val="22"/>
        </w:rPr>
        <w:t>Sensitivity analysis for VAS</w:t>
      </w:r>
    </w:p>
    <w:p w14:paraId="405AEC79" w14:textId="77777777" w:rsidR="009C6B18" w:rsidRDefault="009C6B18" w:rsidP="009C6B18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E62C1" w:rsidRPr="009C6B18">
        <w:rPr>
          <w:rFonts w:ascii="Times New Roman" w:hAnsi="Times New Roman" w:cs="Times New Roman"/>
          <w:sz w:val="22"/>
          <w:szCs w:val="22"/>
        </w:rPr>
        <w:t xml:space="preserve">Added </w:t>
      </w:r>
      <w:r w:rsidR="00AF19D2" w:rsidRPr="009C6B18">
        <w:rPr>
          <w:rFonts w:ascii="Times New Roman" w:hAnsi="Times New Roman" w:cs="Times New Roman"/>
          <w:sz w:val="22"/>
          <w:szCs w:val="22"/>
        </w:rPr>
        <w:t>survival</w:t>
      </w:r>
      <w:r w:rsidR="00FE62C1" w:rsidRPr="009C6B18">
        <w:rPr>
          <w:rFonts w:ascii="Times New Roman" w:hAnsi="Times New Roman" w:cs="Times New Roman"/>
          <w:sz w:val="22"/>
          <w:szCs w:val="22"/>
        </w:rPr>
        <w:t xml:space="preserve"> days as an additional </w:t>
      </w:r>
      <w:r w:rsidR="00AF19D2" w:rsidRPr="009C6B18">
        <w:rPr>
          <w:rFonts w:ascii="Times New Roman" w:hAnsi="Times New Roman" w:cs="Times New Roman"/>
          <w:sz w:val="22"/>
          <w:szCs w:val="22"/>
        </w:rPr>
        <w:t xml:space="preserve">term of </w:t>
      </w:r>
      <w:r w:rsidR="009C54E2" w:rsidRPr="009C6B18">
        <w:rPr>
          <w:rFonts w:ascii="Times New Roman" w:hAnsi="Times New Roman" w:cs="Times New Roman"/>
          <w:sz w:val="22"/>
          <w:szCs w:val="22"/>
        </w:rPr>
        <w:t>linear mixed effects (LME)</w:t>
      </w:r>
      <w:r w:rsidR="00AF19D2" w:rsidRPr="009C6B18">
        <w:rPr>
          <w:rFonts w:ascii="Times New Roman" w:hAnsi="Times New Roman" w:cs="Times New Roman"/>
          <w:sz w:val="22"/>
          <w:szCs w:val="22"/>
        </w:rPr>
        <w:t xml:space="preserve"> model.</w:t>
      </w:r>
    </w:p>
    <w:p w14:paraId="17075C30" w14:textId="7B2EC73A" w:rsidR="000D027F" w:rsidRPr="009C6B18" w:rsidRDefault="00640216" w:rsidP="009C6B18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>Likelihood ratio test to compare model with the term of survival days compared to the model without term</w:t>
      </w:r>
      <w:r w:rsidR="00F6793C" w:rsidRPr="009C6B18">
        <w:rPr>
          <w:rFonts w:ascii="Times New Roman" w:hAnsi="Times New Roman" w:cs="Times New Roman"/>
          <w:sz w:val="22"/>
          <w:szCs w:val="22"/>
        </w:rPr>
        <w:t xml:space="preserve">: </w:t>
      </w:r>
      <w:r w:rsidR="00F6793C" w:rsidRPr="009C6B18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F6793C" w:rsidRPr="009C6B18">
        <w:rPr>
          <w:rFonts w:ascii="Times New Roman" w:hAnsi="Times New Roman" w:cs="Times New Roman"/>
          <w:sz w:val="22"/>
          <w:szCs w:val="22"/>
        </w:rPr>
        <w:t xml:space="preserve"> = 0.673, showing no difference between model fitness between these two models.</w:t>
      </w:r>
      <w:r w:rsidR="00174700" w:rsidRPr="009C6B18">
        <w:rPr>
          <w:rFonts w:ascii="Times New Roman" w:hAnsi="Times New Roman" w:cs="Times New Roman"/>
          <w:sz w:val="22"/>
          <w:szCs w:val="22"/>
        </w:rPr>
        <w:t xml:space="preserve"> Detailed pairwise comparison results are:</w:t>
      </w:r>
    </w:p>
    <w:tbl>
      <w:tblPr>
        <w:tblW w:w="83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675"/>
        <w:gridCol w:w="1780"/>
        <w:gridCol w:w="889"/>
        <w:gridCol w:w="917"/>
        <w:gridCol w:w="902"/>
        <w:gridCol w:w="798"/>
        <w:gridCol w:w="861"/>
      </w:tblGrid>
      <w:tr w:rsidR="00237649" w:rsidRPr="009C6B18" w14:paraId="5FE4D036" w14:textId="77777777" w:rsidTr="009C6B18">
        <w:trPr>
          <w:trHeight w:val="920"/>
          <w:tblHeader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424738" w14:textId="4637F1FE" w:rsidR="00237649" w:rsidRPr="009C6B18" w:rsidRDefault="00237649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Visit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B2F519" w14:textId="32687DB2" w:rsidR="00237649" w:rsidRPr="009C6B18" w:rsidRDefault="00237649" w:rsidP="00CF04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Systemic analgesic therapy alone (Control) 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71C469" w14:textId="01DC7B7F" w:rsidR="00237649" w:rsidRPr="009C6B18" w:rsidRDefault="00237649" w:rsidP="00CF04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Neurolytic splanchnic nerve block (Neurolysis) 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D20BF7" w14:textId="39328FFC" w:rsidR="00237649" w:rsidRPr="009C6B18" w:rsidRDefault="00237649" w:rsidP="002376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contrast</w:t>
            </w:r>
          </w:p>
          <w:p w14:paraId="1EE2B898" w14:textId="77777777" w:rsidR="00237649" w:rsidRPr="009C6B18" w:rsidRDefault="00237649" w:rsidP="002376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Control - Neurolysis</w:t>
            </w:r>
          </w:p>
          <w:p w14:paraId="4F5C4EBD" w14:textId="1E2A7B14" w:rsidR="00237649" w:rsidRPr="009C6B18" w:rsidRDefault="00237649" w:rsidP="002376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estimate lower.CL upper.CL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4576F6" w14:textId="1FEA8959" w:rsidR="00237649" w:rsidRPr="009C6B18" w:rsidRDefault="00237649" w:rsidP="000D027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F18E17" w14:textId="2B7E1916" w:rsidR="00237649" w:rsidRPr="009C6B18" w:rsidRDefault="00237649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Adj.</w:t>
            </w: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</w:t>
            </w:r>
          </w:p>
        </w:tc>
      </w:tr>
      <w:tr w:rsidR="00E36707" w:rsidRPr="009C6B18" w14:paraId="73378929" w14:textId="77777777" w:rsidTr="00E36707">
        <w:trPr>
          <w:trHeight w:val="347"/>
        </w:trPr>
        <w:tc>
          <w:tcPr>
            <w:tcW w:w="55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40CAA" w14:textId="7A340F8F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6CE2B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3.4 [3.2, 3.7] 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01D7E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2.8 [2.5, 3.1] </w:t>
            </w:r>
          </w:p>
        </w:tc>
        <w:tc>
          <w:tcPr>
            <w:tcW w:w="889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90451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0.7 </w:t>
            </w:r>
          </w:p>
        </w:tc>
        <w:tc>
          <w:tcPr>
            <w:tcW w:w="917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77829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0.3 </w:t>
            </w:r>
          </w:p>
        </w:tc>
        <w:tc>
          <w:tcPr>
            <w:tcW w:w="902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9837A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1.0 </w:t>
            </w:r>
          </w:p>
        </w:tc>
        <w:tc>
          <w:tcPr>
            <w:tcW w:w="798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5BD35" w14:textId="13389AC4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86496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&lt;0.001 </w:t>
            </w:r>
          </w:p>
        </w:tc>
      </w:tr>
      <w:tr w:rsidR="00E36707" w:rsidRPr="009C6B18" w14:paraId="6490F0F4" w14:textId="77777777" w:rsidTr="00E36707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5CC5A" w14:textId="7ADFE3D3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D663E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3.4 [3.2, 3.7]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858A6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2.9 [2.6, 3.1]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8DED7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0.6 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9AAAF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0.3 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5C77A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0.9 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26D3D" w14:textId="33E7ACCC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56F70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&lt;0.001 </w:t>
            </w:r>
          </w:p>
        </w:tc>
      </w:tr>
      <w:tr w:rsidR="00E36707" w:rsidRPr="009C6B18" w14:paraId="37DF74A6" w14:textId="77777777" w:rsidTr="00E36707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8B59B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BC38A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3.4 [3.2, 3.7]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962DD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 [2.7, 3.2]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275D7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0.5 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FA8C0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0.2 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999F4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0.7 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3F510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0.002 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D5556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0.016 </w:t>
            </w:r>
          </w:p>
        </w:tc>
      </w:tr>
      <w:tr w:rsidR="00E36707" w:rsidRPr="009C6B18" w14:paraId="370A8C35" w14:textId="77777777" w:rsidTr="00E36707">
        <w:trPr>
          <w:trHeight w:val="330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AC4D2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4 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D6ED3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3.4 [3.2, 3.7]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179E1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3.1 [2.8, 3.3]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B130E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0.4 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6DCC6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0.1 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065DB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0.7 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058CE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0.015 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B8CF0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0.120 </w:t>
            </w:r>
          </w:p>
        </w:tc>
      </w:tr>
      <w:tr w:rsidR="00E36707" w:rsidRPr="009C6B18" w14:paraId="33B91F7A" w14:textId="77777777" w:rsidTr="00E36707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1AFDC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5 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46642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3.4 [3.2, 3.7]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3DBEE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3.2 [2.9, 3.5]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08F35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0.3 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2AE0E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0.0 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C4C10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0.6 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F011D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0.097 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AA6AD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0.776 </w:t>
            </w:r>
          </w:p>
        </w:tc>
      </w:tr>
      <w:tr w:rsidR="00E36707" w:rsidRPr="009C6B18" w14:paraId="74D67684" w14:textId="77777777" w:rsidTr="00E36707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962FC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6 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74B50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3.5 [3.2, 3.7]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1403D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3.3 [3, 3.6]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AFE79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0.2 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123D3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-0.2 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83482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0.5 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35DC8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0.351 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1938E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&gt;0.999 </w:t>
            </w:r>
          </w:p>
        </w:tc>
      </w:tr>
      <w:tr w:rsidR="00E36707" w:rsidRPr="009C6B18" w14:paraId="4D6F042F" w14:textId="77777777" w:rsidTr="00E36707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D8E2D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7 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447A9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3.5 [3.2, 3.7]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E0D24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3.4 [3.1, 3.7]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7E738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0.1 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E3121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-0.3 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F740B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0.5 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36E2F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0.737 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6F702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&gt;0.999 </w:t>
            </w:r>
          </w:p>
        </w:tc>
      </w:tr>
      <w:tr w:rsidR="00E36707" w:rsidRPr="009C6B18" w14:paraId="4F74CECB" w14:textId="77777777" w:rsidTr="00E36707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04DAD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8 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0AE15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3.5 [3.2, 3.8]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31301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3.5 [3.1, 3.9]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4DA63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0.0 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AE9AB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-0.5 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34B64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0.4 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02859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0.897 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8C330" w14:textId="77777777" w:rsidR="000D027F" w:rsidRPr="009C6B18" w:rsidRDefault="000D027F" w:rsidP="000D0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&gt;0.999</w:t>
            </w:r>
          </w:p>
        </w:tc>
      </w:tr>
    </w:tbl>
    <w:p w14:paraId="5918212E" w14:textId="77777777" w:rsidR="0017258F" w:rsidRDefault="0017258F" w:rsidP="009C6B18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14:paraId="723ABC5A" w14:textId="36904E49" w:rsidR="009C6B18" w:rsidRDefault="009C6B18" w:rsidP="009C6B18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D25870" w:rsidRPr="009C6B18">
        <w:rPr>
          <w:rFonts w:ascii="Times New Roman" w:hAnsi="Times New Roman" w:cs="Times New Roman"/>
          <w:sz w:val="22"/>
          <w:szCs w:val="22"/>
        </w:rPr>
        <w:t xml:space="preserve">Added </w:t>
      </w:r>
      <w:r w:rsidR="00313F28" w:rsidRPr="009C6B18">
        <w:rPr>
          <w:rFonts w:ascii="Times New Roman" w:hAnsi="Times New Roman" w:cs="Times New Roman"/>
          <w:sz w:val="22"/>
          <w:szCs w:val="22"/>
        </w:rPr>
        <w:t>stage</w:t>
      </w:r>
      <w:r w:rsidR="00D25870" w:rsidRPr="009C6B18">
        <w:rPr>
          <w:rFonts w:ascii="Times New Roman" w:hAnsi="Times New Roman" w:cs="Times New Roman"/>
          <w:sz w:val="22"/>
          <w:szCs w:val="22"/>
        </w:rPr>
        <w:t xml:space="preserve"> as an additional term of linear mixed effects (LME) model. </w:t>
      </w:r>
    </w:p>
    <w:p w14:paraId="4F104B6E" w14:textId="62A3F8E3" w:rsidR="009C6B18" w:rsidRDefault="00E03FC5" w:rsidP="009C6B18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 xml:space="preserve">Likelihood ratio test to compare model with the term of survival days compared to the model without term: </w:t>
      </w:r>
      <w:r w:rsidRPr="009C6B18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9C6B18">
        <w:rPr>
          <w:rFonts w:ascii="Times New Roman" w:hAnsi="Times New Roman" w:cs="Times New Roman"/>
          <w:sz w:val="22"/>
          <w:szCs w:val="22"/>
        </w:rPr>
        <w:t xml:space="preserve"> = 0.470, showing no difference between model fitness between these two models.</w:t>
      </w:r>
      <w:r w:rsidR="00174700" w:rsidRPr="009C6B18">
        <w:rPr>
          <w:rFonts w:ascii="Times New Roman" w:hAnsi="Times New Roman" w:cs="Times New Roman"/>
          <w:sz w:val="22"/>
          <w:szCs w:val="22"/>
        </w:rPr>
        <w:t xml:space="preserve"> Detailed pairwise comparison results are:</w:t>
      </w:r>
    </w:p>
    <w:tbl>
      <w:tblPr>
        <w:tblW w:w="83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675"/>
        <w:gridCol w:w="1780"/>
        <w:gridCol w:w="889"/>
        <w:gridCol w:w="917"/>
        <w:gridCol w:w="902"/>
        <w:gridCol w:w="798"/>
        <w:gridCol w:w="861"/>
      </w:tblGrid>
      <w:tr w:rsidR="009C6B18" w:rsidRPr="009C6B18" w14:paraId="6E3CA1CD" w14:textId="77777777" w:rsidTr="0017258F">
        <w:trPr>
          <w:trHeight w:val="920"/>
          <w:tblHeader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01E5D3" w14:textId="77777777" w:rsidR="009C6B18" w:rsidRPr="009C6B18" w:rsidRDefault="009C6B18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Visit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DAADB0" w14:textId="77777777" w:rsidR="009C6B18" w:rsidRPr="009C6B18" w:rsidRDefault="009C6B18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Systemic analgesic therapy alone (Control) 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461133" w14:textId="77777777" w:rsidR="009C6B18" w:rsidRPr="009C6B18" w:rsidRDefault="009C6B18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Neurolytic splanchnic nerve block (Neurolysis) 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80ED0AF" w14:textId="77777777" w:rsidR="009C6B18" w:rsidRPr="009C6B18" w:rsidRDefault="009C6B18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contrast</w:t>
            </w:r>
          </w:p>
          <w:p w14:paraId="5B68867D" w14:textId="77777777" w:rsidR="009C6B18" w:rsidRPr="009C6B18" w:rsidRDefault="009C6B18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Control - Neurolysis</w:t>
            </w:r>
          </w:p>
          <w:p w14:paraId="53FC5D19" w14:textId="5EC07705" w:rsidR="009C6B18" w:rsidRPr="009C6B18" w:rsidRDefault="009C6B18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estimate lower.CL upper.CL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8C734F" w14:textId="77777777" w:rsidR="009C6B18" w:rsidRPr="009C6B18" w:rsidRDefault="009C6B18" w:rsidP="0017258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304E68" w14:textId="77777777" w:rsidR="009C6B18" w:rsidRPr="009C6B18" w:rsidRDefault="009C6B18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Adj.</w:t>
            </w: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</w:t>
            </w:r>
          </w:p>
        </w:tc>
      </w:tr>
      <w:tr w:rsidR="009C6B18" w:rsidRPr="009C6B18" w14:paraId="3ECE7011" w14:textId="77777777" w:rsidTr="0017258F">
        <w:trPr>
          <w:trHeight w:val="347"/>
        </w:trPr>
        <w:tc>
          <w:tcPr>
            <w:tcW w:w="55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83441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961FA" w14:textId="0D7040BD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3.5 [3.2, 3.7] 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08EC9" w14:textId="3A6253DB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2.8 [2.5, 3.1] </w:t>
            </w:r>
          </w:p>
        </w:tc>
        <w:tc>
          <w:tcPr>
            <w:tcW w:w="889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27C21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0.7 </w:t>
            </w:r>
          </w:p>
        </w:tc>
        <w:tc>
          <w:tcPr>
            <w:tcW w:w="917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0BFEE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0.3 </w:t>
            </w:r>
          </w:p>
        </w:tc>
        <w:tc>
          <w:tcPr>
            <w:tcW w:w="902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FBAF1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1.0 </w:t>
            </w:r>
          </w:p>
        </w:tc>
        <w:tc>
          <w:tcPr>
            <w:tcW w:w="798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39335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32210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&lt;0.001 </w:t>
            </w:r>
          </w:p>
        </w:tc>
      </w:tr>
      <w:tr w:rsidR="009C6B18" w:rsidRPr="009C6B18" w14:paraId="1FA2480F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E151F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CF625" w14:textId="1C86F0A1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3.5 [3.2, 3.7]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B9F8A" w14:textId="034934F1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2.9 [2.6, 3.1]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45085" w14:textId="27BA03CA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0.7 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1C607" w14:textId="207DB2D3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0.3 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6A780" w14:textId="2D1E9C64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1.0 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4B2BD" w14:textId="1FBD38F9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9E351" w14:textId="2F8D8C9E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9C6B18" w:rsidRPr="009C6B18" w14:paraId="46D43963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332AE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BFEC7" w14:textId="27209A0C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3.5 [3.2, 3.7]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9C94C" w14:textId="48423D25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 [2.8, 3.2]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C3A82" w14:textId="2CD2D91F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0.6 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D5528" w14:textId="4764108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0.3 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8C7C2" w14:textId="3E93CC5E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0.9 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42A5B" w14:textId="53CFB6C8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9A678" w14:textId="2001204D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9C6B18" w:rsidRPr="009C6B18" w14:paraId="169FE160" w14:textId="77777777" w:rsidTr="0017258F">
        <w:trPr>
          <w:trHeight w:val="330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A651A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4 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583FD" w14:textId="51B552FE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3.5 [3.2, 3.7]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5702E" w14:textId="3DF1712F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3.1 [2.8, 3.3]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D646F" w14:textId="619ED4E5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0.5 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2DA5A" w14:textId="13D02948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0.2 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F9B6B" w14:textId="45FE8F59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0.8 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A20DB" w14:textId="6AD4EFEA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B21E4" w14:textId="02C5539D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0.008 </w:t>
            </w:r>
          </w:p>
        </w:tc>
      </w:tr>
      <w:tr w:rsidR="009C6B18" w:rsidRPr="009C6B18" w14:paraId="1E554034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5E689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5 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9D443" w14:textId="14243382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3.5 [3.2, 3.7]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0D48D" w14:textId="5249DCE0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3.2 [2.9, 3.5]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6E044" w14:textId="1E1267AD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0.4 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66FA2" w14:textId="3F8D3EC1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0.1 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59F60" w14:textId="1CD44F78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0.7 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FF3B9" w14:textId="56259359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0.013 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5F5D8" w14:textId="648A86FB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0.104 </w:t>
            </w:r>
          </w:p>
        </w:tc>
      </w:tr>
      <w:tr w:rsidR="009C6B18" w:rsidRPr="009C6B18" w14:paraId="738DFED7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CD18C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6 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FCCB8" w14:textId="25F8ADC2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3.5 [3.2, 3.7]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D4EB1" w14:textId="2ADC228D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3.3 [3, 3.6]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09758" w14:textId="2F0AEBD0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0.3 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AF846" w14:textId="52CD846C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0.0 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3514D" w14:textId="7F82FF65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0.6 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2AF79" w14:textId="37E3E4AE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0.086 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266C8" w14:textId="79BA62E3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0.688 </w:t>
            </w:r>
          </w:p>
        </w:tc>
      </w:tr>
      <w:tr w:rsidR="009C6B18" w:rsidRPr="009C6B18" w14:paraId="7B3AE35A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67312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7 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941D8" w14:textId="096C7194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3.5 [3.2, 3.8]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FE02D" w14:textId="67BC9D93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3.4 [3.1, 3.7]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7D69F" w14:textId="406D047D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0.2 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1550D" w14:textId="31EC3CED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-0.2 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88B8B" w14:textId="052D1255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0.5 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E39B3" w14:textId="0043341D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0.318 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85894" w14:textId="136B5495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&gt;0.999 </w:t>
            </w:r>
          </w:p>
        </w:tc>
      </w:tr>
      <w:tr w:rsidR="009C6B18" w:rsidRPr="009C6B18" w14:paraId="1AE6E0B4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0FFBD" w14:textId="7777777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8 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FBBDD" w14:textId="7CB1C0F7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3.5 [3.2, 3.8]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7150E" w14:textId="49740CB6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3.5 [3.1, 3.9]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F9905" w14:textId="50FA18F2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0.1 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E340D" w14:textId="69C837BA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-0.3 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FAB78" w14:textId="6F50CD9A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0.5 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1DEC7" w14:textId="526B8280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0.683 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C5D5F" w14:textId="4AF3ADE8" w:rsidR="009C6B18" w:rsidRPr="009C6B18" w:rsidRDefault="009C6B18" w:rsidP="009C6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&gt;0.999 </w:t>
            </w:r>
          </w:p>
        </w:tc>
      </w:tr>
    </w:tbl>
    <w:p w14:paraId="681B852E" w14:textId="77777777" w:rsidR="00E03FC5" w:rsidRPr="009C6B18" w:rsidRDefault="00E03FC5" w:rsidP="001725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14:paraId="5DAC416D" w14:textId="77777777" w:rsidR="0017258F" w:rsidRDefault="0017258F" w:rsidP="001725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D25870" w:rsidRPr="009C6B18">
        <w:rPr>
          <w:rFonts w:ascii="Times New Roman" w:hAnsi="Times New Roman" w:cs="Times New Roman"/>
          <w:sz w:val="22"/>
          <w:szCs w:val="22"/>
        </w:rPr>
        <w:t>Single imputation using LOCF method</w:t>
      </w:r>
    </w:p>
    <w:p w14:paraId="66E0664F" w14:textId="48EA5854" w:rsidR="00C45734" w:rsidRPr="009C6B18" w:rsidRDefault="00E03FC5" w:rsidP="001725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 xml:space="preserve">Results from the LOCF imputed data showed </w:t>
      </w:r>
      <w:r w:rsidR="00403914" w:rsidRPr="009C6B18">
        <w:rPr>
          <w:rFonts w:ascii="Times New Roman" w:hAnsi="Times New Roman" w:cs="Times New Roman"/>
          <w:sz w:val="22"/>
          <w:szCs w:val="22"/>
        </w:rPr>
        <w:t>statistically</w:t>
      </w:r>
      <w:r w:rsidR="0085034A" w:rsidRPr="009C6B18">
        <w:rPr>
          <w:rFonts w:ascii="Times New Roman" w:hAnsi="Times New Roman" w:cs="Times New Roman"/>
          <w:sz w:val="22"/>
          <w:szCs w:val="22"/>
        </w:rPr>
        <w:t xml:space="preserve"> significant </w:t>
      </w:r>
      <w:r w:rsidRPr="009C6B18">
        <w:rPr>
          <w:rFonts w:ascii="Times New Roman" w:hAnsi="Times New Roman" w:cs="Times New Roman"/>
          <w:sz w:val="22"/>
          <w:szCs w:val="22"/>
        </w:rPr>
        <w:t>difference between the two study group</w:t>
      </w:r>
      <w:r w:rsidR="0026215C" w:rsidRPr="009C6B18">
        <w:rPr>
          <w:rFonts w:ascii="Times New Roman" w:hAnsi="Times New Roman" w:cs="Times New Roman"/>
          <w:sz w:val="22"/>
          <w:szCs w:val="22"/>
        </w:rPr>
        <w:t xml:space="preserve">s </w:t>
      </w:r>
      <w:r w:rsidRPr="009C6B18">
        <w:rPr>
          <w:rFonts w:ascii="Times New Roman" w:hAnsi="Times New Roman" w:cs="Times New Roman"/>
          <w:sz w:val="22"/>
          <w:szCs w:val="22"/>
        </w:rPr>
        <w:t>across all time points</w:t>
      </w:r>
      <w:r w:rsidR="00092E75" w:rsidRPr="009C6B18">
        <w:rPr>
          <w:rFonts w:ascii="Times New Roman" w:hAnsi="Times New Roman" w:cs="Times New Roman"/>
          <w:sz w:val="22"/>
          <w:szCs w:val="22"/>
        </w:rPr>
        <w:t xml:space="preserve"> [MD = 0.49, 95%</w:t>
      </w:r>
      <w:r w:rsidR="0017258F">
        <w:rPr>
          <w:rFonts w:ascii="Times New Roman" w:hAnsi="Times New Roman" w:cs="Times New Roman"/>
          <w:sz w:val="22"/>
          <w:szCs w:val="22"/>
        </w:rPr>
        <w:t xml:space="preserve"> </w:t>
      </w:r>
      <w:r w:rsidR="00092E75" w:rsidRPr="009C6B18">
        <w:rPr>
          <w:rFonts w:ascii="Times New Roman" w:hAnsi="Times New Roman" w:cs="Times New Roman"/>
          <w:sz w:val="22"/>
          <w:szCs w:val="22"/>
        </w:rPr>
        <w:t>CI = 0.15</w:t>
      </w:r>
      <w:r w:rsidR="0017258F">
        <w:rPr>
          <w:rFonts w:ascii="Times New Roman" w:hAnsi="Times New Roman" w:cs="Times New Roman"/>
          <w:sz w:val="22"/>
          <w:szCs w:val="22"/>
        </w:rPr>
        <w:t xml:space="preserve"> </w:t>
      </w:r>
      <w:r w:rsidR="00092E75" w:rsidRPr="009C6B18">
        <w:rPr>
          <w:rFonts w:ascii="Times New Roman" w:hAnsi="Times New Roman" w:cs="Times New Roman"/>
          <w:sz w:val="22"/>
          <w:szCs w:val="22"/>
        </w:rPr>
        <w:t>-</w:t>
      </w:r>
      <w:r w:rsidR="0017258F">
        <w:rPr>
          <w:rFonts w:ascii="Times New Roman" w:hAnsi="Times New Roman" w:cs="Times New Roman"/>
          <w:sz w:val="22"/>
          <w:szCs w:val="22"/>
        </w:rPr>
        <w:t xml:space="preserve"> </w:t>
      </w:r>
      <w:r w:rsidR="00092E75" w:rsidRPr="009C6B18">
        <w:rPr>
          <w:rFonts w:ascii="Times New Roman" w:hAnsi="Times New Roman" w:cs="Times New Roman"/>
          <w:sz w:val="22"/>
          <w:szCs w:val="22"/>
        </w:rPr>
        <w:t xml:space="preserve">0.84, </w:t>
      </w:r>
      <w:r w:rsidR="00092E75" w:rsidRPr="0017258F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092E75" w:rsidRPr="009C6B18">
        <w:rPr>
          <w:rFonts w:ascii="Times New Roman" w:hAnsi="Times New Roman" w:cs="Times New Roman"/>
          <w:sz w:val="22"/>
          <w:szCs w:val="22"/>
        </w:rPr>
        <w:t xml:space="preserve"> = 0.006]</w:t>
      </w:r>
      <w:r w:rsidRPr="009C6B18">
        <w:rPr>
          <w:rFonts w:ascii="Times New Roman" w:hAnsi="Times New Roman" w:cs="Times New Roman"/>
          <w:sz w:val="22"/>
          <w:szCs w:val="22"/>
        </w:rPr>
        <w:t>.</w:t>
      </w:r>
      <w:r w:rsidR="00C45734" w:rsidRPr="009C6B18">
        <w:rPr>
          <w:rFonts w:ascii="Times New Roman" w:hAnsi="Times New Roman" w:cs="Times New Roman"/>
          <w:sz w:val="22"/>
          <w:szCs w:val="22"/>
        </w:rPr>
        <w:t xml:space="preserve"> We also add the clinical stage into the LOCF model and used likelihood test to assess the model fitness between the two models, LR test </w:t>
      </w:r>
      <w:r w:rsidR="00C45734" w:rsidRPr="0017258F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C45734" w:rsidRPr="009C6B18">
        <w:rPr>
          <w:rFonts w:ascii="Times New Roman" w:hAnsi="Times New Roman" w:cs="Times New Roman"/>
          <w:sz w:val="22"/>
          <w:szCs w:val="22"/>
        </w:rPr>
        <w:t xml:space="preserve"> = 0.405</w:t>
      </w:r>
      <w:r w:rsidR="00862A81" w:rsidRPr="009C6B18">
        <w:rPr>
          <w:rFonts w:ascii="Times New Roman" w:hAnsi="Times New Roman" w:cs="Times New Roman"/>
          <w:sz w:val="22"/>
          <w:szCs w:val="22"/>
        </w:rPr>
        <w:t xml:space="preserve"> suggested that clinical stage shall not be included in final LOCF model</w:t>
      </w:r>
      <w:r w:rsidR="0096059D" w:rsidRPr="009C6B18">
        <w:rPr>
          <w:rFonts w:ascii="Times New Roman" w:hAnsi="Times New Roman" w:cs="Times New Roman"/>
          <w:sz w:val="22"/>
          <w:szCs w:val="22"/>
        </w:rPr>
        <w:t>.</w:t>
      </w:r>
      <w:r w:rsidR="006802D5">
        <w:rPr>
          <w:rFonts w:ascii="Times New Roman" w:hAnsi="Times New Roman" w:cs="Times New Roman"/>
          <w:sz w:val="22"/>
          <w:szCs w:val="22"/>
        </w:rPr>
        <w:t xml:space="preserve"> </w:t>
      </w:r>
      <w:r w:rsidR="006802D5" w:rsidRPr="009C6B18">
        <w:rPr>
          <w:rFonts w:ascii="Times New Roman" w:hAnsi="Times New Roman" w:cs="Times New Roman"/>
          <w:sz w:val="22"/>
          <w:szCs w:val="22"/>
        </w:rPr>
        <w:t>Detailed pairwise comparison results are:</w:t>
      </w:r>
    </w:p>
    <w:tbl>
      <w:tblPr>
        <w:tblW w:w="83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675"/>
        <w:gridCol w:w="1780"/>
        <w:gridCol w:w="889"/>
        <w:gridCol w:w="917"/>
        <w:gridCol w:w="902"/>
        <w:gridCol w:w="798"/>
        <w:gridCol w:w="861"/>
      </w:tblGrid>
      <w:tr w:rsidR="00F94CB4" w:rsidRPr="009C6B18" w14:paraId="3B596895" w14:textId="77777777" w:rsidTr="000C4763">
        <w:trPr>
          <w:trHeight w:val="920"/>
          <w:tblHeader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51DB0AB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Visit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0F5E45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Systemic analgesic therapy alone (Control) 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A06837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Neurolytic splanchnic nerve block (Neurolysis) 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CAD613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contrast</w:t>
            </w:r>
          </w:p>
          <w:p w14:paraId="47839DC6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Control - Neurolysis</w:t>
            </w:r>
          </w:p>
          <w:p w14:paraId="1F488CF9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estimate lower.CL upper.CL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54F058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95292C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Adj.</w:t>
            </w: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</w:t>
            </w:r>
          </w:p>
        </w:tc>
      </w:tr>
      <w:tr w:rsidR="00F94CB4" w:rsidRPr="009C6B18" w14:paraId="3141CEB0" w14:textId="77777777" w:rsidTr="000C4763">
        <w:trPr>
          <w:trHeight w:val="347"/>
        </w:trPr>
        <w:tc>
          <w:tcPr>
            <w:tcW w:w="55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DEFAC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087A1" w14:textId="42442405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[3.2, 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 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005ED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2.8 [2.5, 3.1] </w:t>
            </w:r>
          </w:p>
        </w:tc>
        <w:tc>
          <w:tcPr>
            <w:tcW w:w="889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03827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0.7 </w:t>
            </w:r>
          </w:p>
        </w:tc>
        <w:tc>
          <w:tcPr>
            <w:tcW w:w="917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70EF3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0.3 </w:t>
            </w:r>
          </w:p>
        </w:tc>
        <w:tc>
          <w:tcPr>
            <w:tcW w:w="902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577DD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1.0 </w:t>
            </w:r>
          </w:p>
        </w:tc>
        <w:tc>
          <w:tcPr>
            <w:tcW w:w="798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42F3B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4AB05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&lt;0.001 </w:t>
            </w:r>
          </w:p>
        </w:tc>
      </w:tr>
      <w:tr w:rsidR="00F94CB4" w:rsidRPr="009C6B18" w14:paraId="6A1CA703" w14:textId="77777777" w:rsidTr="000C4763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2F0C2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B0C82" w14:textId="2A18E24C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[3.2, 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B9C62" w14:textId="151E96CF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2.9 [2.6, 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B4E8B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0.6 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0F68D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0.3 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F40B6" w14:textId="710F7C30" w:rsidR="00F94CB4" w:rsidRPr="009C6B18" w:rsidRDefault="00BE26FF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</w:t>
            </w:r>
            <w:r w:rsidR="00F94CB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25683" w14:textId="3F21D7E0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DDBF9" w14:textId="6C8EDF49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94CB4" w:rsidRPr="009C6B18" w14:paraId="32229C40" w14:textId="77777777" w:rsidTr="000C4763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009D6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63838" w14:textId="028F71DF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[3.2, 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7C89B" w14:textId="0254BD8F" w:rsidR="00F94CB4" w:rsidRPr="009C6B18" w:rsidRDefault="0017275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2.9</w:t>
            </w:r>
            <w:r w:rsidR="00F94CB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F94CB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, 3.2]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7E3B5" w14:textId="0A990258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78B44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0.2 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69AEC" w14:textId="7749B2E6" w:rsidR="00F94CB4" w:rsidRPr="009C6B18" w:rsidRDefault="00BE26FF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</w:t>
            </w:r>
            <w:r w:rsidR="00F94CB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24D3E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0.002 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A0084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0.016 </w:t>
            </w:r>
          </w:p>
        </w:tc>
      </w:tr>
      <w:tr w:rsidR="00F94CB4" w:rsidRPr="009C6B18" w14:paraId="559F61A4" w14:textId="77777777" w:rsidTr="000C4763">
        <w:trPr>
          <w:trHeight w:val="330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103FC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4 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2D85B" w14:textId="0DA01239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[3.2, 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2CDA3" w14:textId="44F52EA2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[2.</w:t>
            </w:r>
            <w:r w:rsidR="000031F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, 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7B0FE" w14:textId="00A44932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DE4C1" w14:textId="27F08648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D89D7" w14:textId="625F4F01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DF31E" w14:textId="467D62E0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003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4A309" w14:textId="61E6A535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024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94CB4" w:rsidRPr="009C6B18" w14:paraId="302482C7" w14:textId="77777777" w:rsidTr="000C4763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1B475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5 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4CB37" w14:textId="678FDDE4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[3.2, 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4C73C" w14:textId="717F7121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[2.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, 3.</w:t>
            </w:r>
            <w:r w:rsidR="000031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C22DD" w14:textId="30D4B813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2387F" w14:textId="5CE7FF23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E5387" w14:textId="6917F680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73164" w14:textId="0B09A120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0.0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EB0E1" w14:textId="7EA30A84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064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94CB4" w:rsidRPr="009C6B18" w14:paraId="3D438B4F" w14:textId="77777777" w:rsidTr="000C4763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9DA5F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6 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B2C55" w14:textId="60A27743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3.5 [3.2, 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066BC" w14:textId="6FDC68D4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275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  <w:r w:rsidR="0017275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, 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7275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21A6E" w14:textId="6CBE485E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CC985" w14:textId="6150E8D6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BF22B" w14:textId="7629DFF6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64964" w14:textId="7CC6C969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017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A5F38" w14:textId="3494ED8D" w:rsidR="00F94CB4" w:rsidRPr="009C6B18" w:rsidRDefault="00BE26FF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0.136</w:t>
            </w:r>
            <w:r w:rsidR="00F94CB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94CB4" w:rsidRPr="009C6B18" w14:paraId="2037A00B" w14:textId="77777777" w:rsidTr="000C4763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436BB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7 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491DA" w14:textId="7710A68E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3.5 [3.2, 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C43F2" w14:textId="3819E0A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275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  <w:r w:rsidR="0017275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, 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7275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75608" w14:textId="0DA155FF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C56CF" w14:textId="255F2508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1E3D" w14:textId="7606C1F8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3D83C" w14:textId="708B2C8D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036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B59FA" w14:textId="5948029A" w:rsidR="00F94CB4" w:rsidRPr="009C6B18" w:rsidRDefault="00BE26FF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0.288</w:t>
            </w:r>
            <w:r w:rsidR="00F94CB4"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94CB4" w:rsidRPr="009C6B18" w14:paraId="7044A889" w14:textId="77777777" w:rsidTr="000C4763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37FC5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8 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95DC4" w14:textId="77777777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3.5 [3.2, 3.8]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F00B1" w14:textId="265BA55D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, 3.</w:t>
            </w:r>
            <w:r w:rsidR="0017275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A73FF" w14:textId="485C6AD1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0D47A" w14:textId="68F05D76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-0.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43A2B" w14:textId="1685D2B4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8420A" w14:textId="59AEF9CD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075</w:t>
            </w: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A38E0" w14:textId="5E5E2A4B" w:rsidR="00F94CB4" w:rsidRPr="009C6B18" w:rsidRDefault="00F94CB4" w:rsidP="000C47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E26FF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</w:tr>
    </w:tbl>
    <w:p w14:paraId="04641519" w14:textId="49C1DBC3" w:rsidR="00E03FC5" w:rsidRPr="009C6B18" w:rsidRDefault="00E03FC5" w:rsidP="00E03FC5">
      <w:pPr>
        <w:pStyle w:val="aa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1C2AA09" w14:textId="710D8190" w:rsidR="00530B84" w:rsidRPr="009C6B18" w:rsidRDefault="00530B84" w:rsidP="00530B84">
      <w:pPr>
        <w:pStyle w:val="aa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C6B1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 xml:space="preserve">Sensitivity analysis for </w:t>
      </w:r>
      <w:r w:rsidR="00553059" w:rsidRPr="009C6B1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MEQ</w:t>
      </w:r>
    </w:p>
    <w:p w14:paraId="2A340374" w14:textId="68724660" w:rsidR="0017258F" w:rsidRDefault="0017258F" w:rsidP="001725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17258F">
        <w:rPr>
          <w:rFonts w:ascii="Times New Roman" w:hAnsi="Times New Roman" w:cs="Times New Roman"/>
          <w:sz w:val="22"/>
          <w:szCs w:val="22"/>
        </w:rPr>
        <w:t>1.</w:t>
      </w:r>
      <w:r w:rsidR="00530B84" w:rsidRPr="009C6B18">
        <w:rPr>
          <w:rFonts w:ascii="Times New Roman" w:hAnsi="Times New Roman" w:cs="Times New Roman"/>
          <w:sz w:val="22"/>
          <w:szCs w:val="22"/>
        </w:rPr>
        <w:t xml:space="preserve">Added survival days as an additional term of linear mixed effects (LME) model. </w:t>
      </w:r>
    </w:p>
    <w:p w14:paraId="4CEC8A5C" w14:textId="3F998CD4" w:rsidR="002A61ED" w:rsidRDefault="002A61ED" w:rsidP="001725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 xml:space="preserve">Likelihood ratio test to compare model with the term of survival days compared to the model without term: </w:t>
      </w:r>
      <w:r w:rsidRPr="0017258F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9C6B18">
        <w:rPr>
          <w:rFonts w:ascii="Times New Roman" w:hAnsi="Times New Roman" w:cs="Times New Roman"/>
          <w:sz w:val="22"/>
          <w:szCs w:val="22"/>
        </w:rPr>
        <w:t xml:space="preserve"> = 0.796, showing no difference between model fitness between these two models. Detailed pairwise comparison results are:</w:t>
      </w:r>
    </w:p>
    <w:tbl>
      <w:tblPr>
        <w:tblW w:w="83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675"/>
        <w:gridCol w:w="1780"/>
        <w:gridCol w:w="889"/>
        <w:gridCol w:w="917"/>
        <w:gridCol w:w="902"/>
        <w:gridCol w:w="798"/>
        <w:gridCol w:w="861"/>
      </w:tblGrid>
      <w:tr w:rsidR="0017258F" w:rsidRPr="009C6B18" w14:paraId="5A362095" w14:textId="77777777" w:rsidTr="0017258F">
        <w:trPr>
          <w:trHeight w:val="920"/>
          <w:tblHeader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0A0F05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Visit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EF2E87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Systemic analgesic therapy alone (Control) 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D8A053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Neurolytic splanchnic nerve block (Neurolysis) 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8B5B3A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contrast</w:t>
            </w:r>
          </w:p>
          <w:p w14:paraId="4537C06C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Control - Neurolysis</w:t>
            </w:r>
          </w:p>
          <w:p w14:paraId="06DDCED9" w14:textId="18A2E2F8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estimate lower.CL upper.CL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55059F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C54D60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Adj.</w:t>
            </w: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</w:t>
            </w:r>
          </w:p>
        </w:tc>
      </w:tr>
      <w:tr w:rsidR="0017258F" w:rsidRPr="009C6B18" w14:paraId="4178F90A" w14:textId="77777777" w:rsidTr="0017258F">
        <w:trPr>
          <w:trHeight w:val="347"/>
        </w:trPr>
        <w:tc>
          <w:tcPr>
            <w:tcW w:w="55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CE39F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52F64" w14:textId="55624A4E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163.8 [150.4, 177.2] 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7E6FF" w14:textId="718FC92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67.</w:t>
            </w:r>
            <w:r w:rsidR="00E76B1D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[52.8, 82.7] </w:t>
            </w:r>
          </w:p>
        </w:tc>
        <w:tc>
          <w:tcPr>
            <w:tcW w:w="889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58C0C" w14:textId="7DAFF918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96.0 </w:t>
            </w:r>
          </w:p>
        </w:tc>
        <w:tc>
          <w:tcPr>
            <w:tcW w:w="917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A5FCE" w14:textId="44AD8C2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67.3 </w:t>
            </w:r>
          </w:p>
        </w:tc>
        <w:tc>
          <w:tcPr>
            <w:tcW w:w="902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A4B90" w14:textId="5955D323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124.8 </w:t>
            </w:r>
          </w:p>
        </w:tc>
        <w:tc>
          <w:tcPr>
            <w:tcW w:w="798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19219" w14:textId="03D80D5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ED186" w14:textId="186F772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48382FEE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6DC08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41239" w14:textId="002E923C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172.</w:t>
            </w:r>
            <w:r w:rsidR="00E76B1D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[159, 185.2]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BDD16" w14:textId="7FAB0090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88.5 [74</w:t>
            </w:r>
            <w:r w:rsidR="00E76B1D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, 103.1]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D80AB" w14:textId="6D15CA7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83.5 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DD446" w14:textId="25C6446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55.6 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54517" w14:textId="7558F3D3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111.4 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85E05" w14:textId="703B8FB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BB769" w14:textId="6D0E0D9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716762F9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38FCF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0C393" w14:textId="1566DBE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180.3 [167.4, 193.3]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BD444" w14:textId="28F9E22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109.3 [94.9, 123.7]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B03E8" w14:textId="6A6F6BF3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71.0 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18E88" w14:textId="75945B8A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43.4 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5DA89" w14:textId="33D17E32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98.7 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D9F87" w14:textId="23197A5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DA4C7" w14:textId="1D4DD17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3B8C86E1" w14:textId="77777777" w:rsidTr="0017258F">
        <w:trPr>
          <w:trHeight w:val="330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CCDE4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4 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358CD" w14:textId="24BE060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188.</w:t>
            </w:r>
            <w:r w:rsidR="00E76B1D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[175.6, 201.6]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29A6C" w14:textId="75ECC12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130.1 [115.6, 144.6]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AF513" w14:textId="56AF1E5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58.5 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8E3EB" w14:textId="1197C4F2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30.5 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C9EB1" w14:textId="56E29EB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86.5 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0AA91" w14:textId="0343EDA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C5457" w14:textId="25AEC26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2FB77179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F2BF3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5 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C452" w14:textId="651F703B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196.</w:t>
            </w:r>
            <w:r w:rsidR="00E76B1D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[183.7, 210</w:t>
            </w:r>
            <w:r w:rsidR="00E76B1D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95CBA" w14:textId="59B0FD28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150.9 [136</w:t>
            </w:r>
            <w:r w:rsidR="00E76B1D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, 165.8]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7045E" w14:textId="7DBDEE03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46.0 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F57DA" w14:textId="712DC7A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17.0 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A0788" w14:textId="361F0D1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75.0 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FD53C" w14:textId="1A2FCB20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416B2" w14:textId="2D2EA3AE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28A27EA7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8FB63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6 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0C2EE" w14:textId="71C0657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205.1 [191.6, 218.7]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3069F" w14:textId="6A9503D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171.7 [156.2, 187.1]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1B34A" w14:textId="3F6DB0E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33.4 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7FA32" w14:textId="2A3F0F1E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2.9 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6219C" w14:textId="6C0AFB20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64.0 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44885" w14:textId="4849390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0.018 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EF10E" w14:textId="032D91F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0.144 </w:t>
            </w:r>
          </w:p>
        </w:tc>
      </w:tr>
      <w:tr w:rsidR="0017258F" w:rsidRPr="009C6B18" w14:paraId="1E28323A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19AF7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7 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2EED0" w14:textId="2DFD543A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213.</w:t>
            </w:r>
            <w:r w:rsidR="00E76B1D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[199.3, 227.5]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08FC8" w14:textId="22EA0FC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192.5 [176.2, 208.7]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8CCFC" w14:textId="243814A3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20.9 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CDDE1" w14:textId="3D322FD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-11.7 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8BDA8" w14:textId="7FD40E8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53.5 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0A35B" w14:textId="2115F35B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0.667 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7C548" w14:textId="595E33D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&gt;0.999 </w:t>
            </w:r>
          </w:p>
        </w:tc>
      </w:tr>
      <w:tr w:rsidR="0017258F" w:rsidRPr="009C6B18" w14:paraId="76360E89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B9119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8 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A1E22" w14:textId="12535B8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221.6 [206.9, 236.4]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2E513" w14:textId="5E41833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213.2 [196.1, 230.4]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B0B3A" w14:textId="5C96BE30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8.4 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A9DB1" w14:textId="2B20F14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-26.6 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05F40" w14:textId="5A0EB4F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43.4 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2ECD3" w14:textId="30ADDA4B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1.000 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41493" w14:textId="3CD2638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&gt;0.999</w:t>
            </w:r>
          </w:p>
        </w:tc>
      </w:tr>
    </w:tbl>
    <w:p w14:paraId="3EC955C7" w14:textId="77777777" w:rsidR="002A61ED" w:rsidRPr="009C6B18" w:rsidRDefault="002A61ED" w:rsidP="002A61ED">
      <w:pPr>
        <w:pStyle w:val="aa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3693A43" w14:textId="77777777" w:rsidR="0017258F" w:rsidRDefault="0017258F" w:rsidP="001725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530B84" w:rsidRPr="009C6B18">
        <w:rPr>
          <w:rFonts w:ascii="Times New Roman" w:hAnsi="Times New Roman" w:cs="Times New Roman"/>
          <w:sz w:val="22"/>
          <w:szCs w:val="22"/>
        </w:rPr>
        <w:t xml:space="preserve">Added </w:t>
      </w:r>
      <w:r w:rsidR="008C0D11" w:rsidRPr="009C6B18">
        <w:rPr>
          <w:rFonts w:ascii="Times New Roman" w:hAnsi="Times New Roman" w:cs="Times New Roman"/>
          <w:sz w:val="22"/>
          <w:szCs w:val="22"/>
        </w:rPr>
        <w:t>stage</w:t>
      </w:r>
      <w:r w:rsidR="00530B84" w:rsidRPr="009C6B18">
        <w:rPr>
          <w:rFonts w:ascii="Times New Roman" w:hAnsi="Times New Roman" w:cs="Times New Roman"/>
          <w:sz w:val="22"/>
          <w:szCs w:val="22"/>
        </w:rPr>
        <w:t xml:space="preserve"> as an additional term of linear mixed effects (LME) model. </w:t>
      </w:r>
    </w:p>
    <w:p w14:paraId="6FAC666A" w14:textId="476B66FC" w:rsidR="0017258F" w:rsidRDefault="0049465D" w:rsidP="001725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 xml:space="preserve">Likelihood ratio test to compare model with the term of survival days compared to the model without term: </w:t>
      </w:r>
      <w:r w:rsidRPr="0017258F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9C6B18">
        <w:rPr>
          <w:rFonts w:ascii="Times New Roman" w:hAnsi="Times New Roman" w:cs="Times New Roman"/>
          <w:sz w:val="22"/>
          <w:szCs w:val="22"/>
        </w:rPr>
        <w:t xml:space="preserve"> = 0.098, showing no difference between model fitness between these two models. Detailed pairwise comparison results are:</w:t>
      </w:r>
    </w:p>
    <w:tbl>
      <w:tblPr>
        <w:tblW w:w="83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675"/>
        <w:gridCol w:w="1780"/>
        <w:gridCol w:w="889"/>
        <w:gridCol w:w="917"/>
        <w:gridCol w:w="902"/>
        <w:gridCol w:w="798"/>
        <w:gridCol w:w="861"/>
      </w:tblGrid>
      <w:tr w:rsidR="0017258F" w:rsidRPr="009C6B18" w14:paraId="13D83907" w14:textId="77777777" w:rsidTr="0017258F">
        <w:trPr>
          <w:trHeight w:val="920"/>
          <w:tblHeader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48BCA3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Visit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79A615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Systemic analgesic therapy alone (Control) 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E570E9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Neurolytic splanchnic nerve block (Neurolysis) 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296918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contrast</w:t>
            </w:r>
          </w:p>
          <w:p w14:paraId="52B19E60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Control - Neurolysis</w:t>
            </w:r>
          </w:p>
          <w:p w14:paraId="0315AEDB" w14:textId="6522269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estimate lower.CL upper.CL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E1C333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0A6BD8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Adj.</w:t>
            </w: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</w:t>
            </w:r>
          </w:p>
        </w:tc>
      </w:tr>
      <w:tr w:rsidR="0017258F" w:rsidRPr="009C6B18" w14:paraId="5FD7F1FB" w14:textId="77777777" w:rsidTr="0017258F">
        <w:trPr>
          <w:trHeight w:val="347"/>
        </w:trPr>
        <w:tc>
          <w:tcPr>
            <w:tcW w:w="55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0893F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E2F92" w14:textId="3886B282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166.7 [153.9, 179.5] 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3CD48" w14:textId="2E6C9FE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69.7 [56.4, 83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889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70371" w14:textId="6BC8210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97.0 </w:t>
            </w:r>
          </w:p>
        </w:tc>
        <w:tc>
          <w:tcPr>
            <w:tcW w:w="917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C0069" w14:textId="0E16083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68.7 </w:t>
            </w:r>
          </w:p>
        </w:tc>
        <w:tc>
          <w:tcPr>
            <w:tcW w:w="902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8875F" w14:textId="522B3A7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125.3 </w:t>
            </w:r>
          </w:p>
        </w:tc>
        <w:tc>
          <w:tcPr>
            <w:tcW w:w="798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E2F6F" w14:textId="4ED85AF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EB30F" w14:textId="79C216C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1BF80E79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B187A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6E88B" w14:textId="28EF2AA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175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[162.4, 187.5]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40FD0" w14:textId="1DF3403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90.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[77.4, 103.3]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F6704" w14:textId="15A2FDD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84.6 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FF718" w14:textId="34B18802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57.1 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72A43" w14:textId="496218FB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112.0 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D1E50" w14:textId="072E2688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0B1F7" w14:textId="2657B09E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48EC1B9E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00536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4A683" w14:textId="48918E2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183.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[170.8, 195.6]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4A46A" w14:textId="13088242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111.0 [98.1, 123.9]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45285" w14:textId="091A68C3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72.1 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E9440" w14:textId="6E13424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44.9 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A5695" w14:textId="559DCAE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99.4 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86B5E" w14:textId="6FA85BE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BDBCD" w14:textId="0E5E007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19023BFB" w14:textId="77777777" w:rsidTr="0017258F">
        <w:trPr>
          <w:trHeight w:val="330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C5591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4 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B5500" w14:textId="60107A9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191.4 [178.9, 203.9]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892C0" w14:textId="07C659E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131.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[118.5, 144.8]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2C0F8" w14:textId="1C4885B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59.7 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1AF41" w14:textId="456F010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32.1 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D1D31" w14:textId="5825513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87.3 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5ACB4" w14:textId="1345BFB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F4F4F" w14:textId="4CA3A3C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0913C473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3BB18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5 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D2FF5" w14:textId="5F73260A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199.6 [186.8, 212.4]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5923C" w14:textId="72FF79C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152.3 [138.7, 166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7E587" w14:textId="14FE99EA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47.3 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D752A" w14:textId="2B41C92C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18.6 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48F51" w14:textId="4E3A45E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75.9 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B0612" w14:textId="0D0DEF3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4ACBE" w14:textId="2455889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25848881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437EF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6 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2A297" w14:textId="7A61E56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207.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[194.6, 221.1]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461BC" w14:textId="71B651C3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173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[158.7, 187.3]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62BD5" w14:textId="49CB94C8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34.9 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C6F9C" w14:textId="7C183BA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4.6 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2765B" w14:textId="7E36CD80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65.1 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37439" w14:textId="3DA21AF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0.009 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E8F84" w14:textId="0A645E6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0.072 </w:t>
            </w:r>
          </w:p>
        </w:tc>
      </w:tr>
      <w:tr w:rsidR="0017258F" w:rsidRPr="009C6B18" w14:paraId="623FCC1C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596A0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7 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06932" w14:textId="5461607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216.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[202.2, 229.9]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05A50" w14:textId="6CEA686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193.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[178.4, 208.9]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57CEA" w14:textId="002F69D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22.4 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60349" w14:textId="2F51FD5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-9.9 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8DF09" w14:textId="2A7A3CBE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54.7 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13C1A" w14:textId="765FE470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0.535 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B9780" w14:textId="396B6748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&gt;0.999 </w:t>
            </w:r>
          </w:p>
        </w:tc>
      </w:tr>
      <w:tr w:rsidR="0017258F" w:rsidRPr="009C6B18" w14:paraId="5FEBE897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63A5E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8 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A0D13" w14:textId="6B064D1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224.3 [209.7, 238.9]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48572" w14:textId="5789AC9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214.3 [198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, 230.7]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01D7D" w14:textId="2EE6F7F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10.0 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80B4B" w14:textId="0DAB188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-24.8 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60FA4" w14:textId="42C2C95E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44.8 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2E6C9" w14:textId="20BC82C3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1.000 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C8F8D" w14:textId="1188756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&gt;0.999</w:t>
            </w:r>
          </w:p>
        </w:tc>
      </w:tr>
    </w:tbl>
    <w:p w14:paraId="422D6C87" w14:textId="77777777" w:rsidR="0049465D" w:rsidRPr="009C6B18" w:rsidRDefault="0049465D" w:rsidP="0049465D">
      <w:pPr>
        <w:pStyle w:val="aa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6D7B1C3" w14:textId="77777777" w:rsidR="0017258F" w:rsidRDefault="0017258F" w:rsidP="001725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530B84" w:rsidRPr="009C6B18">
        <w:rPr>
          <w:rFonts w:ascii="Times New Roman" w:hAnsi="Times New Roman" w:cs="Times New Roman"/>
          <w:sz w:val="22"/>
          <w:szCs w:val="22"/>
        </w:rPr>
        <w:t>Single imputation using LOCF method</w:t>
      </w:r>
    </w:p>
    <w:p w14:paraId="72962462" w14:textId="421EE6C3" w:rsidR="006364B6" w:rsidRDefault="0049465D" w:rsidP="001725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>Results from the LOCF imputed data showed statistically significant difference between the two study groups across all time points.</w:t>
      </w:r>
      <w:r w:rsidR="008616C0" w:rsidRPr="009C6B18">
        <w:rPr>
          <w:rFonts w:ascii="Times New Roman" w:hAnsi="Times New Roman" w:cs="Times New Roman"/>
          <w:sz w:val="22"/>
          <w:szCs w:val="22"/>
        </w:rPr>
        <w:t xml:space="preserve"> </w:t>
      </w:r>
      <w:r w:rsidR="00C45734" w:rsidRPr="009C6B18">
        <w:rPr>
          <w:rFonts w:ascii="Times New Roman" w:hAnsi="Times New Roman" w:cs="Times New Roman"/>
          <w:sz w:val="22"/>
          <w:szCs w:val="22"/>
        </w:rPr>
        <w:t xml:space="preserve">We also add the clinical stage into the LOCF model and used likelihood test to assess the model fitness between the two models, </w:t>
      </w:r>
      <w:r w:rsidR="00862A81" w:rsidRPr="009C6B18">
        <w:rPr>
          <w:rFonts w:ascii="Times New Roman" w:hAnsi="Times New Roman" w:cs="Times New Roman"/>
          <w:sz w:val="22"/>
          <w:szCs w:val="22"/>
        </w:rPr>
        <w:t xml:space="preserve">LR test </w:t>
      </w:r>
      <w:r w:rsidR="00C45734" w:rsidRPr="0017258F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C45734" w:rsidRPr="009C6B18">
        <w:rPr>
          <w:rFonts w:ascii="Times New Roman" w:hAnsi="Times New Roman" w:cs="Times New Roman"/>
          <w:sz w:val="22"/>
          <w:szCs w:val="22"/>
        </w:rPr>
        <w:t xml:space="preserve"> = 0.</w:t>
      </w:r>
      <w:r w:rsidR="005F76C1" w:rsidRPr="009C6B18">
        <w:rPr>
          <w:rFonts w:ascii="Times New Roman" w:hAnsi="Times New Roman" w:cs="Times New Roman"/>
          <w:sz w:val="22"/>
          <w:szCs w:val="22"/>
        </w:rPr>
        <w:t>003</w:t>
      </w:r>
      <w:r w:rsidR="00862A81" w:rsidRPr="009C6B18">
        <w:rPr>
          <w:rFonts w:ascii="Times New Roman" w:hAnsi="Times New Roman" w:cs="Times New Roman"/>
          <w:sz w:val="22"/>
          <w:szCs w:val="22"/>
        </w:rPr>
        <w:t xml:space="preserve"> suggested that </w:t>
      </w:r>
      <w:r w:rsidR="006364B6" w:rsidRPr="009C6B18">
        <w:rPr>
          <w:rFonts w:ascii="Times New Roman" w:hAnsi="Times New Roman" w:cs="Times New Roman"/>
          <w:sz w:val="22"/>
          <w:szCs w:val="22"/>
        </w:rPr>
        <w:t>clinical</w:t>
      </w:r>
      <w:r w:rsidR="004D4407" w:rsidRPr="009C6B18">
        <w:rPr>
          <w:rFonts w:ascii="Times New Roman" w:hAnsi="Times New Roman" w:cs="Times New Roman"/>
          <w:sz w:val="22"/>
          <w:szCs w:val="22"/>
        </w:rPr>
        <w:t xml:space="preserve"> stage shall be included in final LOCF model for MEQ.</w:t>
      </w:r>
      <w:r w:rsidR="006364B6" w:rsidRPr="009C6B18">
        <w:rPr>
          <w:rFonts w:ascii="Times New Roman" w:hAnsi="Times New Roman" w:cs="Times New Roman"/>
          <w:sz w:val="22"/>
          <w:szCs w:val="22"/>
        </w:rPr>
        <w:t xml:space="preserve"> </w:t>
      </w:r>
      <w:r w:rsidR="000C5C17" w:rsidRPr="009C6B18">
        <w:rPr>
          <w:rFonts w:ascii="Times New Roman" w:hAnsi="Times New Roman" w:cs="Times New Roman"/>
          <w:sz w:val="22"/>
          <w:szCs w:val="22"/>
        </w:rPr>
        <w:t>The conclusions are the same a</w:t>
      </w:r>
      <w:r w:rsidR="006364B6" w:rsidRPr="009C6B18">
        <w:rPr>
          <w:rFonts w:ascii="Times New Roman" w:hAnsi="Times New Roman" w:cs="Times New Roman"/>
          <w:sz w:val="22"/>
          <w:szCs w:val="22"/>
        </w:rPr>
        <w:t>nd detailed pairwise comparison results are:</w:t>
      </w:r>
    </w:p>
    <w:tbl>
      <w:tblPr>
        <w:tblW w:w="83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675"/>
        <w:gridCol w:w="1780"/>
        <w:gridCol w:w="889"/>
        <w:gridCol w:w="917"/>
        <w:gridCol w:w="902"/>
        <w:gridCol w:w="798"/>
        <w:gridCol w:w="861"/>
      </w:tblGrid>
      <w:tr w:rsidR="0017258F" w:rsidRPr="009C6B18" w14:paraId="7238F998" w14:textId="77777777" w:rsidTr="0017258F">
        <w:trPr>
          <w:trHeight w:val="920"/>
          <w:tblHeader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CB57D1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Visit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F4F1EC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Systemic analgesic therapy alone (Control) 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1F1D476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Neurolytic splanchnic nerve block (Neurolysis) 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57071A8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contrast</w:t>
            </w:r>
          </w:p>
          <w:p w14:paraId="35C51C1E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Control - Neurolysis</w:t>
            </w:r>
          </w:p>
          <w:p w14:paraId="65D46C75" w14:textId="112BAC7A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estimate lower.CL upper.CL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51C23C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9549B1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Adj.</w:t>
            </w: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</w:t>
            </w:r>
          </w:p>
        </w:tc>
      </w:tr>
      <w:tr w:rsidR="0017258F" w:rsidRPr="009C6B18" w14:paraId="6A3ABC01" w14:textId="77777777" w:rsidTr="0017258F">
        <w:trPr>
          <w:trHeight w:val="347"/>
        </w:trPr>
        <w:tc>
          <w:tcPr>
            <w:tcW w:w="55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C2473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EF65D" w14:textId="5FBA6CA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171.7 [156.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, 18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7.0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E3C88" w14:textId="085C1C7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76.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[60.8, 92.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889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4F2B7" w14:textId="50BC976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95.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030FE" w14:textId="6E0967F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76.1 </w:t>
            </w:r>
          </w:p>
        </w:tc>
        <w:tc>
          <w:tcPr>
            <w:tcW w:w="902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46A4D" w14:textId="79E754BC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114.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EC058" w14:textId="3493243C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5EEE6" w14:textId="53D6E80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496C1819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B5305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CCCCB" w14:textId="4129AFCE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176.5 [161.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, 191.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969C0" w14:textId="774A4BD2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86.4 [70.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, 101.9]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ADB12" w14:textId="784BBD42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90.1 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2FFCF" w14:textId="0CA8847E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71.</w:t>
            </w:r>
            <w:r w:rsidR="00DB219F" w:rsidRPr="009C6B18" w:rsidDel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C5980" w14:textId="37EF7E76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108.7 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27144" w14:textId="7647704E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041E0" w14:textId="55BE560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39C119FD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5C4F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32BC0" w14:textId="79D3408B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181.4 [166.5, 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196.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2318E" w14:textId="55E7CCBA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96.2 [80.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, 111.5]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3CF07" w14:textId="38A5D6A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85.2 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A3375" w14:textId="4D29CC9E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66.9 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4E944" w14:textId="579BA97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103.5 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5C6C5" w14:textId="4754133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75127" w14:textId="615479E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31E324CD" w14:textId="77777777" w:rsidTr="0017258F">
        <w:trPr>
          <w:trHeight w:val="330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ECA10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4 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AA8C6" w14:textId="1CC414A0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186.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[171.</w:t>
            </w:r>
            <w:r w:rsidR="00DB219F" w:rsidRPr="009C6B18" w:rsidDel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4, 201.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9690E" w14:textId="063409D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106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[90.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, 121.</w:t>
            </w:r>
            <w:r w:rsidR="00D47AD4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00F9B" w14:textId="2957F220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80.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39F20" w14:textId="2DF091B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62.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C6518" w14:textId="0112D60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98.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F14B8" w14:textId="60D713D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AD03A" w14:textId="0A8CFCCF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1229FF5B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79D3E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5 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84C62" w14:textId="61FB6702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191.1 [176.3, 205.9]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724FF" w14:textId="4E3888C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115.8 [100.6, 131.</w:t>
            </w:r>
            <w:r w:rsidR="00612A7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2F27F" w14:textId="69E3DDE2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75.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DE442" w14:textId="65C40BA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57.1 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A5D97" w14:textId="2CFFFCBB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93.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54ABE" w14:textId="4E624A50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1092E" w14:textId="03AC621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578CCE0E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61122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6 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C45B4" w14:textId="4A720F9C" w:rsidR="0017258F" w:rsidRPr="009C6B18" w:rsidRDefault="00DB219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="0017258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="0017258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[181.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="0017258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, 210.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="0017258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AEA13" w14:textId="50F5BC3B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125.6 [110.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, 140.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2B304" w14:textId="7E42FDA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70.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A91AB" w14:textId="6B099774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52.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33891" w14:textId="4B128A68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88.7 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DFEA6" w14:textId="7334D9B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EF655" w14:textId="7C63633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5E1EED35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9CB3F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7 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719C4" w14:textId="3A85DF70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200.8 [185.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, 215.9]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41A91" w14:textId="20809D80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135.4 [119.9, 150.9]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C0684" w14:textId="0126FB5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65.4 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2C7A1" w14:textId="4F83F9C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46.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11E83" w14:textId="1513057B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84.0 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C7C2E" w14:textId="363B73C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4BC77" w14:textId="7EF3A581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 </w:t>
            </w:r>
          </w:p>
        </w:tc>
      </w:tr>
      <w:tr w:rsidR="0017258F" w:rsidRPr="009C6B18" w14:paraId="37C0D884" w14:textId="77777777" w:rsidTr="0017258F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EEB22" w14:textId="77777777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8 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F723D" w14:textId="729DB169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205.7 [190.4, 22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E3D71" w14:textId="263F75D8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145.2 [129.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 xml:space="preserve">, 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] 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7E321" w14:textId="6B98AFCA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60.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142FB" w14:textId="5B9CCDCB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41.5 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3506D" w14:textId="298FD6DD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79.</w:t>
            </w:r>
            <w:r w:rsidR="00DB219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="00DB219F"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15D1C" w14:textId="354199DA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DCA26" w14:textId="27CC0A95" w:rsidR="0017258F" w:rsidRPr="009C6B18" w:rsidRDefault="0017258F" w:rsidP="001725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</w:rPr>
              <w:t>&lt;0.001</w:t>
            </w:r>
          </w:p>
        </w:tc>
      </w:tr>
    </w:tbl>
    <w:p w14:paraId="13503BC6" w14:textId="04FECAA0" w:rsidR="00C45734" w:rsidRPr="009C6B18" w:rsidRDefault="00C45734" w:rsidP="001725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14:paraId="50B6CCB4" w14:textId="5A528BDC" w:rsidR="00530B84" w:rsidRPr="009C6B18" w:rsidRDefault="00530B84" w:rsidP="00530B84">
      <w:pPr>
        <w:pStyle w:val="aa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C6B1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Sensitivity analysis for </w:t>
      </w:r>
      <w:r w:rsidR="00553059" w:rsidRPr="009C6B1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PCS</w:t>
      </w:r>
    </w:p>
    <w:p w14:paraId="0FD7F561" w14:textId="223E6B64" w:rsidR="00530B84" w:rsidRPr="009C6B18" w:rsidRDefault="0017258F" w:rsidP="001725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A</w:t>
      </w:r>
      <w:r w:rsidR="00530B84" w:rsidRPr="009C6B18">
        <w:rPr>
          <w:rFonts w:ascii="Times New Roman" w:hAnsi="Times New Roman" w:cs="Times New Roman"/>
          <w:sz w:val="22"/>
          <w:szCs w:val="22"/>
        </w:rPr>
        <w:t xml:space="preserve">dded survival days as an additional term of linear mixed effects (LME) model. </w:t>
      </w:r>
    </w:p>
    <w:p w14:paraId="30DCEBF5" w14:textId="1640B472" w:rsidR="00E827C6" w:rsidRDefault="000C6E7B" w:rsidP="0057246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 xml:space="preserve">Likelihood ratio test to compare model with the term of survival days compared to the model without term: </w:t>
      </w:r>
      <w:r w:rsidRPr="0057246D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9C6B18">
        <w:rPr>
          <w:rFonts w:ascii="Times New Roman" w:hAnsi="Times New Roman" w:cs="Times New Roman"/>
          <w:sz w:val="22"/>
          <w:szCs w:val="22"/>
        </w:rPr>
        <w:t xml:space="preserve"> = 0.380, showing no difference between model fitness between these two models. Detailed pairwise comparison results are:</w:t>
      </w:r>
    </w:p>
    <w:tbl>
      <w:tblPr>
        <w:tblW w:w="83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675"/>
        <w:gridCol w:w="1780"/>
        <w:gridCol w:w="889"/>
        <w:gridCol w:w="917"/>
        <w:gridCol w:w="902"/>
        <w:gridCol w:w="798"/>
        <w:gridCol w:w="861"/>
      </w:tblGrid>
      <w:tr w:rsidR="0057246D" w:rsidRPr="009C6B18" w14:paraId="00BF70AE" w14:textId="77777777" w:rsidTr="00141C4A">
        <w:trPr>
          <w:trHeight w:val="920"/>
          <w:tblHeader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3078D3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Visit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97FA17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Systemic analgesic therapy alone (Control) 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620A1C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Neurolytic splanchnic nerve block (Neurolysis) 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2AD87E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contrast</w:t>
            </w:r>
          </w:p>
          <w:p w14:paraId="36C05196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Control - Neurolysis</w:t>
            </w:r>
          </w:p>
          <w:p w14:paraId="0B06AC0E" w14:textId="7E5AA89C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estimate lower.CL upper.CL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035048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2BA0AB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Adj.</w:t>
            </w: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</w:t>
            </w:r>
          </w:p>
        </w:tc>
      </w:tr>
      <w:tr w:rsidR="0057246D" w:rsidRPr="009C6B18" w14:paraId="7AC3993B" w14:textId="77777777" w:rsidTr="00141C4A">
        <w:trPr>
          <w:trHeight w:val="347"/>
        </w:trPr>
        <w:tc>
          <w:tcPr>
            <w:tcW w:w="55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26B4C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B2345" w14:textId="0E32A844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30.1 [27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33.2]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4D925" w14:textId="486DF339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35.6 [32.2, 39.1]</w:t>
            </w:r>
          </w:p>
        </w:tc>
        <w:tc>
          <w:tcPr>
            <w:tcW w:w="889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B3A6E" w14:textId="411D18D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-5.5</w:t>
            </w:r>
          </w:p>
        </w:tc>
        <w:tc>
          <w:tcPr>
            <w:tcW w:w="917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D6D91" w14:textId="3E7818DB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-9.4</w:t>
            </w:r>
          </w:p>
        </w:tc>
        <w:tc>
          <w:tcPr>
            <w:tcW w:w="902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14B2F" w14:textId="607F8D12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-1.6</w:t>
            </w:r>
          </w:p>
        </w:tc>
        <w:tc>
          <w:tcPr>
            <w:tcW w:w="798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E3F7C" w14:textId="617A23E4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0.006</w:t>
            </w:r>
          </w:p>
        </w:tc>
        <w:tc>
          <w:tcPr>
            <w:tcW w:w="86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66A2A" w14:textId="49724B11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0.048</w:t>
            </w:r>
          </w:p>
        </w:tc>
      </w:tr>
      <w:tr w:rsidR="0057246D" w:rsidRPr="009C6B18" w14:paraId="44880D00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A73AE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4AECF" w14:textId="3D18A63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</w:t>
            </w:r>
            <w:r w:rsidR="00DB219F"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[27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32.8]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2F173" w14:textId="5CF726D6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34.4 [31.2, 37.6]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58FBB" w14:textId="398F2001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-4.5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7F9A9" w14:textId="1A042E99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-8.1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1A4A1" w14:textId="185DD284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-1.0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5A554" w14:textId="6001AF0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0.012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476A3" w14:textId="43B1515E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0.096</w:t>
            </w:r>
          </w:p>
        </w:tc>
      </w:tr>
      <w:tr w:rsidR="0057246D" w:rsidRPr="009C6B18" w14:paraId="041757E9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7A546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C33F6" w14:textId="75ADD4B6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29.6 [26.8, 32.4]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253CA" w14:textId="28C63B8F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33.1 [30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36.3]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523AF" w14:textId="70A0B168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-3.5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6A600" w14:textId="536AE535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-6.9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B1509" w14:textId="4B8B643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-0.1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2B53D" w14:textId="7C8A625F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0.041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FBD20" w14:textId="0CD4003D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0.328</w:t>
            </w:r>
          </w:p>
        </w:tc>
      </w:tr>
      <w:tr w:rsidR="0057246D" w:rsidRPr="009C6B18" w14:paraId="63D038F2" w14:textId="77777777" w:rsidTr="00141C4A">
        <w:trPr>
          <w:trHeight w:val="330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42CAF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4 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30166" w14:textId="57E7B716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[26.6, 32.1]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99F5C" w14:textId="6F67B489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31.9 [28.7, 35.1]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38F8C" w14:textId="4635FC9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-2.5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6C2E6" w14:textId="4D3C3586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-6.0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FF7F9" w14:textId="7F0ACDDE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90690" w14:textId="05D0FB65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0.151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DACF0" w14:textId="36FEA148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&gt;0.999</w:t>
            </w:r>
          </w:p>
        </w:tc>
      </w:tr>
      <w:tr w:rsidR="0057246D" w:rsidRPr="009C6B18" w14:paraId="320309AF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579E0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5 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157AD" w14:textId="7885DB09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[26.2, 32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D3E65" w14:textId="4230DE6F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30.6 [27.2, 34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F8B86" w14:textId="3FE6FB3F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-1.5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85D90" w14:textId="3AB3BD10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-5.4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A1488" w14:textId="7C062AA0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2.3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2A096" w14:textId="3926CCB5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0.422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78C03" w14:textId="1FC558FD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&gt;0.999</w:t>
            </w:r>
          </w:p>
        </w:tc>
      </w:tr>
      <w:tr w:rsidR="0057246D" w:rsidRPr="009C6B18" w14:paraId="4C0ED18C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75A10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6 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E955" w14:textId="67D20D08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28.8 [25.7, 32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253B2" w14:textId="004ADB6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[25.7, 33.1]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1AA35" w14:textId="4D1298FD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-0.6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B853A" w14:textId="2B5246F1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-4.8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2D0F7" w14:textId="387DE58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3.7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79E33" w14:textId="1853FA22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0.800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CD7C7" w14:textId="343560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&gt;0.999</w:t>
            </w:r>
          </w:p>
        </w:tc>
      </w:tr>
      <w:tr w:rsidR="0057246D" w:rsidRPr="009C6B18" w14:paraId="340F628B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9C332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7 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23F1E" w14:textId="52CFBCAF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  <w:r w:rsidR="00DB219F"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[25.1, 32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C0F61" w14:textId="06865D3F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28.1 [24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32.3]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6DFE4" w14:textId="06DB0F8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0.4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81DFF" w14:textId="2790F093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-4.5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39655" w14:textId="44471EA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5.4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AF46C" w14:textId="2656002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0.859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FC041" w14:textId="4E11D0AD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&gt;0.999</w:t>
            </w:r>
          </w:p>
        </w:tc>
      </w:tr>
      <w:tr w:rsidR="0057246D" w:rsidRPr="009C6B18" w14:paraId="1D971EAE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43BAC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8 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212C5" w14:textId="6BB3E950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28.3 [24.5, 32.1]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6EEE0" w14:textId="700AA170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</w:t>
            </w:r>
            <w:r w:rsidR="00DB219F"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[22.2, 31.6]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6E304" w14:textId="5B6438A9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1.4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FC98D" w14:textId="2C957ED8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-4.2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3E96F" w14:textId="12922A7F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7.0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F1E8B" w14:textId="7DD95139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0.614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37E75" w14:textId="533A3F69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&gt;0.999</w:t>
            </w:r>
          </w:p>
        </w:tc>
      </w:tr>
    </w:tbl>
    <w:p w14:paraId="47C30AE2" w14:textId="77777777" w:rsidR="00E827C6" w:rsidRPr="009C6B18" w:rsidRDefault="00E827C6" w:rsidP="0057246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14:paraId="704F8F21" w14:textId="5C6E6EA5" w:rsidR="000C6E7B" w:rsidRPr="009C6B18" w:rsidRDefault="0057246D" w:rsidP="0057246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530B84" w:rsidRPr="009C6B18">
        <w:rPr>
          <w:rFonts w:ascii="Times New Roman" w:hAnsi="Times New Roman" w:cs="Times New Roman"/>
          <w:sz w:val="22"/>
          <w:szCs w:val="22"/>
        </w:rPr>
        <w:t xml:space="preserve">Added </w:t>
      </w:r>
      <w:r w:rsidR="009C0EA3" w:rsidRPr="009C6B18">
        <w:rPr>
          <w:rFonts w:ascii="Times New Roman" w:hAnsi="Times New Roman" w:cs="Times New Roman"/>
          <w:sz w:val="22"/>
          <w:szCs w:val="22"/>
        </w:rPr>
        <w:t>stage</w:t>
      </w:r>
      <w:r w:rsidR="00530B84" w:rsidRPr="009C6B18">
        <w:rPr>
          <w:rFonts w:ascii="Times New Roman" w:hAnsi="Times New Roman" w:cs="Times New Roman"/>
          <w:sz w:val="22"/>
          <w:szCs w:val="22"/>
        </w:rPr>
        <w:t xml:space="preserve"> as an additional term of linear mixed effects (LME) model. </w:t>
      </w:r>
    </w:p>
    <w:p w14:paraId="7068531F" w14:textId="13978D28" w:rsidR="000C6E7B" w:rsidRDefault="000C6E7B" w:rsidP="0057246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>Likelihood ratio test to compare model with the term of survival days compared to the model without term: P = 0.059, showing no difference between model fitness between these two models. Detailed pairwise comparison results are:</w:t>
      </w:r>
    </w:p>
    <w:tbl>
      <w:tblPr>
        <w:tblW w:w="83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675"/>
        <w:gridCol w:w="1780"/>
        <w:gridCol w:w="889"/>
        <w:gridCol w:w="917"/>
        <w:gridCol w:w="902"/>
        <w:gridCol w:w="798"/>
        <w:gridCol w:w="861"/>
      </w:tblGrid>
      <w:tr w:rsidR="0057246D" w:rsidRPr="009C6B18" w14:paraId="2D775700" w14:textId="77777777" w:rsidTr="00141C4A">
        <w:trPr>
          <w:trHeight w:val="920"/>
          <w:tblHeader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7750EE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Visit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6864A6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Systemic analgesic therapy alone (Control) 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E9F1E5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Neurolytic splanchnic nerve block (Neurolysis) 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F1C3DF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contrast</w:t>
            </w:r>
          </w:p>
          <w:p w14:paraId="4FF40838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Control - Neurolysis</w:t>
            </w:r>
          </w:p>
          <w:p w14:paraId="5FEC2DC0" w14:textId="77036B6B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estimate lower.CL upper.CL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A3FDB0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4801BB" w14:textId="77777777" w:rsidR="0057246D" w:rsidRPr="009C6B18" w:rsidRDefault="0057246D" w:rsidP="0014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Adj.</w:t>
            </w:r>
            <w:r w:rsidRPr="009C6B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</w:t>
            </w:r>
          </w:p>
        </w:tc>
      </w:tr>
      <w:tr w:rsidR="0057246D" w:rsidRPr="009C6B18" w14:paraId="2AF96273" w14:textId="77777777" w:rsidTr="00141C4A">
        <w:trPr>
          <w:trHeight w:val="347"/>
        </w:trPr>
        <w:tc>
          <w:tcPr>
            <w:tcW w:w="55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17357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2B05E" w14:textId="62E03DCC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30.0 [27.1, 33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4BEE0" w14:textId="4FAF9B8B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36.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DB219F"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[33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39.2]</w:t>
            </w:r>
          </w:p>
        </w:tc>
        <w:tc>
          <w:tcPr>
            <w:tcW w:w="889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B37BE" w14:textId="7EF12629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-6.1</w:t>
            </w:r>
          </w:p>
        </w:tc>
        <w:tc>
          <w:tcPr>
            <w:tcW w:w="917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65FDA" w14:textId="579FCF8D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-9.9</w:t>
            </w:r>
          </w:p>
        </w:tc>
        <w:tc>
          <w:tcPr>
            <w:tcW w:w="902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7D561" w14:textId="3CA7F9F5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-2.2</w:t>
            </w:r>
          </w:p>
        </w:tc>
        <w:tc>
          <w:tcPr>
            <w:tcW w:w="798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1EA5E" w14:textId="3FEFF088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0.002</w:t>
            </w:r>
          </w:p>
        </w:tc>
        <w:tc>
          <w:tcPr>
            <w:tcW w:w="861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8E300" w14:textId="4B2DD0B0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0.016</w:t>
            </w:r>
          </w:p>
        </w:tc>
      </w:tr>
      <w:tr w:rsidR="0057246D" w:rsidRPr="009C6B18" w14:paraId="46D5F4F9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29B89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5B4BA" w14:textId="1EEEF492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29.7 [26.9, 32.5]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33B3C" w14:textId="50294D0B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34.8 [31.9, 37.7]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42358" w14:textId="579EC3F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-5.1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CC9CD" w14:textId="74723E7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-8.6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6875A" w14:textId="1E14B118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-1.6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36549" w14:textId="50F170C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0.004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14FF9" w14:textId="3F8BD901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0.032</w:t>
            </w:r>
          </w:p>
        </w:tc>
      </w:tr>
      <w:tr w:rsidR="0057246D" w:rsidRPr="009C6B18" w14:paraId="6A84E903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3D56B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F1F00" w14:textId="5B7D8E30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[26.7, 32.1]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4EE28" w14:textId="7AC4B68E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33.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  <w:r w:rsidR="00DB219F"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[30.7, 36.4]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1665A" w14:textId="6A2302C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-4.2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03ACD" w14:textId="10A5BF76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-7.5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C957A" w14:textId="6BD7EFFB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-0.8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F3C58" w14:textId="642FCCBC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0.015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AB956" w14:textId="3839BC4A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0.120</w:t>
            </w:r>
          </w:p>
        </w:tc>
      </w:tr>
      <w:tr w:rsidR="0057246D" w:rsidRPr="009C6B18" w14:paraId="518B3B46" w14:textId="77777777" w:rsidTr="00141C4A">
        <w:trPr>
          <w:trHeight w:val="330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C10F4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4 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31399" w14:textId="679C4DBC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[26.4, 31.8]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3757A" w14:textId="725F11B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32.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  <w:r w:rsidR="00DB219F"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[29.3, 35.2]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E9932" w14:textId="0B366464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-3.2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7DEC4" w14:textId="1F97C036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-6.7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9E99B" w14:textId="218E67E6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3C870" w14:textId="5060D796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0.067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D1E2B" w14:textId="385BEADD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0.536</w:t>
            </w:r>
          </w:p>
        </w:tc>
      </w:tr>
      <w:tr w:rsidR="0057246D" w:rsidRPr="009C6B18" w14:paraId="7C820D70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DDC98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5 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4B033" w14:textId="44379350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  <w:r w:rsidR="00DB219F"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[25.9, 31.6]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86D78" w14:textId="231B4B64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31.0 [27.8, 34.3]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C5F60" w14:textId="7DE941A8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-2.3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3A3FE" w14:textId="3427A182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-6.0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71100" w14:textId="158C31AE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1.5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42304" w14:textId="34C68E44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0.237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0073A" w14:textId="533CAE42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&gt;0.999</w:t>
            </w:r>
          </w:p>
        </w:tc>
      </w:tr>
      <w:tr w:rsidR="0057246D" w:rsidRPr="009C6B18" w14:paraId="7513A203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A8BEF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6 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7083E" w14:textId="6928014F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28.4 [25.3, 31.6]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42A1B" w14:textId="3EC72691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  <w:r w:rsidR="00DB219F"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[26.1, 33.4]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04A1E" w14:textId="4D40D775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-1.3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82190" w14:textId="67D7A4B1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-5.6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C61C9" w14:textId="6948D7A5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03902" w14:textId="67EAA52B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0.545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7C52A" w14:textId="3EC7B016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&gt;0.999</w:t>
            </w:r>
          </w:p>
        </w:tc>
      </w:tr>
      <w:tr w:rsidR="0057246D" w:rsidRPr="009C6B18" w14:paraId="0FB56153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B516B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7 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F20F5" w14:textId="791F4D9B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28.1 [24.7, 31.6]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01B7D" w14:textId="40F137B5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28.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  <w:r w:rsidR="00DB219F"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[24.4, 32.6]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B6500" w14:textId="5F4C8683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-0.4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E7BA2" w14:textId="16B315AB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-5.3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9A607" w14:textId="5C11282B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4.5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352E1" w14:textId="1AAAA2E3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0.884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F50A2" w14:textId="3298D435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&gt;0.999</w:t>
            </w:r>
          </w:p>
        </w:tc>
      </w:tr>
      <w:tr w:rsidR="0057246D" w:rsidRPr="009C6B18" w14:paraId="5C1493A4" w14:textId="77777777" w:rsidTr="00141C4A">
        <w:trPr>
          <w:trHeight w:val="347"/>
        </w:trPr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3540A" w14:textId="7777777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bCs/>
                <w:sz w:val="20"/>
                <w:szCs w:val="20"/>
              </w:rPr>
              <w:t>8 </w:t>
            </w:r>
          </w:p>
        </w:tc>
        <w:tc>
          <w:tcPr>
            <w:tcW w:w="1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BE7E3" w14:textId="00F2F319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27.8 [24</w:t>
            </w:r>
            <w:r w:rsidR="00DB21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31.6]</w:t>
            </w:r>
          </w:p>
        </w:tc>
        <w:tc>
          <w:tcPr>
            <w:tcW w:w="1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BCAA6" w14:textId="0364BF7B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27.2 [22.6, 31.9]</w:t>
            </w:r>
          </w:p>
        </w:tc>
        <w:tc>
          <w:tcPr>
            <w:tcW w:w="8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A44AE" w14:textId="3E65C9E1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0.6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9A327" w14:textId="7E8D4150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-5.0</w:t>
            </w:r>
          </w:p>
        </w:tc>
        <w:tc>
          <w:tcPr>
            <w:tcW w:w="9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4BDC6" w14:textId="4ED4667B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6.2</w:t>
            </w:r>
          </w:p>
        </w:tc>
        <w:tc>
          <w:tcPr>
            <w:tcW w:w="7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12E06" w14:textId="6B849EB7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0.837</w:t>
            </w:r>
          </w:p>
        </w:tc>
        <w:tc>
          <w:tcPr>
            <w:tcW w:w="8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F4E88" w14:textId="2D14C739" w:rsidR="0057246D" w:rsidRPr="009C6B18" w:rsidRDefault="0057246D" w:rsidP="00572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&gt;0.999</w:t>
            </w:r>
          </w:p>
        </w:tc>
      </w:tr>
    </w:tbl>
    <w:p w14:paraId="1EC5C60F" w14:textId="77777777" w:rsidR="00722BB6" w:rsidRPr="009C6B18" w:rsidRDefault="00722BB6" w:rsidP="0057246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14:paraId="585DB074" w14:textId="44E68B14" w:rsidR="00530B84" w:rsidRPr="009C6B18" w:rsidRDefault="00530B84" w:rsidP="00530B84">
      <w:pPr>
        <w:pStyle w:val="aa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C6B1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Sensitivity analysis for </w:t>
      </w:r>
      <w:r w:rsidR="00553059" w:rsidRPr="009C6B1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MCS</w:t>
      </w:r>
    </w:p>
    <w:p w14:paraId="1D4736FF" w14:textId="457435CC" w:rsidR="00530B84" w:rsidRPr="009C6B18" w:rsidRDefault="0057246D" w:rsidP="0057246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A</w:t>
      </w:r>
      <w:r w:rsidR="00530B84" w:rsidRPr="009C6B18">
        <w:rPr>
          <w:rFonts w:ascii="Times New Roman" w:hAnsi="Times New Roman" w:cs="Times New Roman"/>
          <w:sz w:val="22"/>
          <w:szCs w:val="22"/>
        </w:rPr>
        <w:t xml:space="preserve">dded survival days as an additional term of linear mixed effects (LME) model. </w:t>
      </w:r>
    </w:p>
    <w:p w14:paraId="007CA5FC" w14:textId="29FA17C6" w:rsidR="00722BB6" w:rsidRPr="009C6B18" w:rsidRDefault="00322FC7" w:rsidP="0057246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 xml:space="preserve">Likelihood ratio test to compare model with the term of survival days compared to the model without term: </w:t>
      </w:r>
      <w:r w:rsidRPr="0057246D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9C6B18">
        <w:rPr>
          <w:rFonts w:ascii="Times New Roman" w:hAnsi="Times New Roman" w:cs="Times New Roman"/>
          <w:sz w:val="22"/>
          <w:szCs w:val="22"/>
        </w:rPr>
        <w:t xml:space="preserve"> = 0.</w:t>
      </w:r>
      <w:r w:rsidR="00397DBD" w:rsidRPr="009C6B18">
        <w:rPr>
          <w:rFonts w:ascii="Times New Roman" w:hAnsi="Times New Roman" w:cs="Times New Roman"/>
          <w:sz w:val="22"/>
          <w:szCs w:val="22"/>
        </w:rPr>
        <w:t>37</w:t>
      </w:r>
      <w:r w:rsidR="00A77702">
        <w:rPr>
          <w:rFonts w:ascii="Times New Roman" w:hAnsi="Times New Roman" w:cs="Times New Roman"/>
          <w:sz w:val="22"/>
          <w:szCs w:val="22"/>
        </w:rPr>
        <w:t>6</w:t>
      </w:r>
      <w:r w:rsidRPr="009C6B18">
        <w:rPr>
          <w:rFonts w:ascii="Times New Roman" w:hAnsi="Times New Roman" w:cs="Times New Roman"/>
          <w:sz w:val="22"/>
          <w:szCs w:val="22"/>
        </w:rPr>
        <w:t xml:space="preserve">, showing no difference between model fitness between these two models. </w:t>
      </w:r>
    </w:p>
    <w:p w14:paraId="50159AD8" w14:textId="61537EB6" w:rsidR="00530B84" w:rsidRPr="009C6B18" w:rsidRDefault="0057246D" w:rsidP="0057246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530B84" w:rsidRPr="009C6B18">
        <w:rPr>
          <w:rFonts w:ascii="Times New Roman" w:hAnsi="Times New Roman" w:cs="Times New Roman"/>
          <w:sz w:val="22"/>
          <w:szCs w:val="22"/>
        </w:rPr>
        <w:t xml:space="preserve">Added </w:t>
      </w:r>
      <w:r w:rsidR="0015566B" w:rsidRPr="009C6B18">
        <w:rPr>
          <w:rFonts w:ascii="Times New Roman" w:hAnsi="Times New Roman" w:cs="Times New Roman"/>
          <w:sz w:val="22"/>
          <w:szCs w:val="22"/>
        </w:rPr>
        <w:t>stage</w:t>
      </w:r>
      <w:r w:rsidR="00530B84" w:rsidRPr="009C6B18">
        <w:rPr>
          <w:rFonts w:ascii="Times New Roman" w:hAnsi="Times New Roman" w:cs="Times New Roman"/>
          <w:sz w:val="22"/>
          <w:szCs w:val="22"/>
        </w:rPr>
        <w:t xml:space="preserve"> as an additional term of linear mixed effects (LME) model. </w:t>
      </w:r>
    </w:p>
    <w:p w14:paraId="13725BA8" w14:textId="593CE6B9" w:rsidR="00322FC7" w:rsidRDefault="00322FC7" w:rsidP="0057246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C6B18">
        <w:rPr>
          <w:rFonts w:ascii="Times New Roman" w:hAnsi="Times New Roman" w:cs="Times New Roman"/>
          <w:sz w:val="22"/>
          <w:szCs w:val="22"/>
        </w:rPr>
        <w:t xml:space="preserve">Likelihood ratio test to compare model with the term of survival days compared to the model without term: </w:t>
      </w:r>
      <w:r w:rsidRPr="0057246D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9C6B18">
        <w:rPr>
          <w:rFonts w:ascii="Times New Roman" w:hAnsi="Times New Roman" w:cs="Times New Roman"/>
          <w:sz w:val="22"/>
          <w:szCs w:val="22"/>
        </w:rPr>
        <w:t xml:space="preserve"> = 0.</w:t>
      </w:r>
      <w:r w:rsidR="00397DBD" w:rsidRPr="009C6B18">
        <w:rPr>
          <w:rFonts w:ascii="Times New Roman" w:hAnsi="Times New Roman" w:cs="Times New Roman"/>
          <w:sz w:val="22"/>
          <w:szCs w:val="22"/>
        </w:rPr>
        <w:t>185</w:t>
      </w:r>
      <w:r w:rsidRPr="009C6B18">
        <w:rPr>
          <w:rFonts w:ascii="Times New Roman" w:hAnsi="Times New Roman" w:cs="Times New Roman"/>
          <w:sz w:val="22"/>
          <w:szCs w:val="22"/>
        </w:rPr>
        <w:t>, showing no difference between model fitness between these two models.</w:t>
      </w:r>
    </w:p>
    <w:p w14:paraId="106C34FB" w14:textId="77777777" w:rsidR="0057246D" w:rsidRPr="009C6B18" w:rsidRDefault="0057246D" w:rsidP="0057246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14:paraId="64A4703A" w14:textId="663485D4" w:rsidR="00322FC7" w:rsidRPr="009C6B18" w:rsidRDefault="00E608D0" w:rsidP="00E608D0">
      <w:pPr>
        <w:pStyle w:val="aa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C6B18">
        <w:rPr>
          <w:rFonts w:ascii="Times New Roman" w:hAnsi="Times New Roman" w:cs="Times New Roman"/>
          <w:b/>
          <w:bCs/>
          <w:sz w:val="22"/>
          <w:szCs w:val="22"/>
        </w:rPr>
        <w:t>Survival Analysis: univariate log-rank test</w:t>
      </w:r>
    </w:p>
    <w:p w14:paraId="2437F51A" w14:textId="1809274A" w:rsidR="00530B84" w:rsidRPr="009C6B18" w:rsidRDefault="00E608D0" w:rsidP="00530B84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57246D">
        <w:rPr>
          <w:rFonts w:ascii="Times New Roman" w:hAnsi="Times New Roman" w:cs="Times New Roman"/>
          <w:sz w:val="22"/>
          <w:szCs w:val="22"/>
        </w:rPr>
        <w:lastRenderedPageBreak/>
        <w:t xml:space="preserve">The log-rank test came back with a </w:t>
      </w:r>
      <w:r w:rsidRPr="0057246D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57246D">
        <w:rPr>
          <w:rFonts w:ascii="Times New Roman" w:hAnsi="Times New Roman" w:cs="Times New Roman"/>
          <w:sz w:val="22"/>
          <w:szCs w:val="22"/>
        </w:rPr>
        <w:t xml:space="preserve"> = 0.06</w:t>
      </w:r>
      <w:r w:rsidR="00E352F3">
        <w:rPr>
          <w:rFonts w:ascii="Times New Roman" w:hAnsi="Times New Roman" w:cs="Times New Roman"/>
          <w:sz w:val="22"/>
          <w:szCs w:val="22"/>
        </w:rPr>
        <w:t>3</w:t>
      </w:r>
      <w:r w:rsidRPr="0057246D">
        <w:rPr>
          <w:rFonts w:ascii="Times New Roman" w:hAnsi="Times New Roman" w:cs="Times New Roman"/>
          <w:sz w:val="22"/>
          <w:szCs w:val="22"/>
        </w:rPr>
        <w:t xml:space="preserve">, which is different from our Cox model result. This is because we use the study center as clustering factor to account for the multi-center nature of this </w:t>
      </w:r>
      <w:r w:rsidR="0061455B" w:rsidRPr="0057246D">
        <w:rPr>
          <w:rFonts w:ascii="Times New Roman" w:hAnsi="Times New Roman" w:cs="Times New Roman"/>
          <w:sz w:val="22"/>
          <w:szCs w:val="22"/>
        </w:rPr>
        <w:t>study,</w:t>
      </w:r>
      <w:r w:rsidRPr="0057246D">
        <w:rPr>
          <w:rFonts w:ascii="Times New Roman" w:hAnsi="Times New Roman" w:cs="Times New Roman"/>
          <w:sz w:val="22"/>
          <w:szCs w:val="22"/>
        </w:rPr>
        <w:t xml:space="preserve"> but this factor is not included in the log-rank test. </w:t>
      </w:r>
      <w:r w:rsidR="00E1597A" w:rsidRPr="0057246D">
        <w:rPr>
          <w:rFonts w:ascii="Times New Roman" w:hAnsi="Times New Roman" w:cs="Times New Roman"/>
          <w:sz w:val="22"/>
          <w:szCs w:val="22"/>
        </w:rPr>
        <w:t>Therefore,</w:t>
      </w:r>
      <w:r w:rsidRPr="0057246D">
        <w:rPr>
          <w:rFonts w:ascii="Times New Roman" w:hAnsi="Times New Roman" w:cs="Times New Roman"/>
          <w:sz w:val="22"/>
          <w:szCs w:val="22"/>
        </w:rPr>
        <w:t xml:space="preserve"> we decided to move the log-rank test in this supplement and only present the Cox regression results in the main text.</w:t>
      </w:r>
      <w:r w:rsidR="00D46A28" w:rsidRPr="0057246D">
        <w:rPr>
          <w:rFonts w:ascii="Times New Roman" w:hAnsi="Times New Roman" w:cs="Times New Roman"/>
          <w:sz w:val="22"/>
          <w:szCs w:val="22"/>
        </w:rPr>
        <w:t xml:space="preserve"> We also performed sensitivity analysis to add center as a fixed factor instead of a clustering factor, and the result is consistent.</w:t>
      </w:r>
    </w:p>
    <w:sectPr w:rsidR="00530B84" w:rsidRPr="009C6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8B1F" w14:textId="77777777" w:rsidR="001F3944" w:rsidRDefault="001F3944" w:rsidP="00953441">
      <w:r>
        <w:separator/>
      </w:r>
    </w:p>
  </w:endnote>
  <w:endnote w:type="continuationSeparator" w:id="0">
    <w:p w14:paraId="0E153D61" w14:textId="77777777" w:rsidR="001F3944" w:rsidRDefault="001F3944" w:rsidP="0095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6C31" w14:textId="77777777" w:rsidR="001F3944" w:rsidRDefault="001F3944" w:rsidP="00953441">
      <w:r>
        <w:separator/>
      </w:r>
    </w:p>
  </w:footnote>
  <w:footnote w:type="continuationSeparator" w:id="0">
    <w:p w14:paraId="038BCB72" w14:textId="77777777" w:rsidR="001F3944" w:rsidRDefault="001F3944" w:rsidP="0095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6EB"/>
    <w:multiLevelType w:val="hybridMultilevel"/>
    <w:tmpl w:val="3E746D0A"/>
    <w:lvl w:ilvl="0" w:tplc="05087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4A21"/>
    <w:multiLevelType w:val="hybridMultilevel"/>
    <w:tmpl w:val="4EC09AE6"/>
    <w:lvl w:ilvl="0" w:tplc="3AE6F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69E4"/>
    <w:multiLevelType w:val="hybridMultilevel"/>
    <w:tmpl w:val="5DEA5FD4"/>
    <w:lvl w:ilvl="0" w:tplc="4FAA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FF76C0"/>
    <w:multiLevelType w:val="hybridMultilevel"/>
    <w:tmpl w:val="9A9A7CC8"/>
    <w:lvl w:ilvl="0" w:tplc="C9D8F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655ED5"/>
    <w:multiLevelType w:val="hybridMultilevel"/>
    <w:tmpl w:val="1A687588"/>
    <w:lvl w:ilvl="0" w:tplc="1B6A0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D85E68"/>
    <w:multiLevelType w:val="hybridMultilevel"/>
    <w:tmpl w:val="1EA651C0"/>
    <w:lvl w:ilvl="0" w:tplc="29A27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D6B1D"/>
    <w:multiLevelType w:val="hybridMultilevel"/>
    <w:tmpl w:val="33EAF4D8"/>
    <w:lvl w:ilvl="0" w:tplc="C5A49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5C371B"/>
    <w:multiLevelType w:val="hybridMultilevel"/>
    <w:tmpl w:val="425C2798"/>
    <w:lvl w:ilvl="0" w:tplc="DD861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F7ECE"/>
    <w:multiLevelType w:val="hybridMultilevel"/>
    <w:tmpl w:val="B6B034A8"/>
    <w:lvl w:ilvl="0" w:tplc="F40E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934F70"/>
    <w:multiLevelType w:val="hybridMultilevel"/>
    <w:tmpl w:val="EFBC818C"/>
    <w:lvl w:ilvl="0" w:tplc="A4503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DE3B67"/>
    <w:multiLevelType w:val="hybridMultilevel"/>
    <w:tmpl w:val="3A14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1F"/>
    <w:rsid w:val="0000113B"/>
    <w:rsid w:val="000031FC"/>
    <w:rsid w:val="000328C4"/>
    <w:rsid w:val="00092E75"/>
    <w:rsid w:val="000B78F4"/>
    <w:rsid w:val="000C5C17"/>
    <w:rsid w:val="000C6E7B"/>
    <w:rsid w:val="000D027F"/>
    <w:rsid w:val="001007EA"/>
    <w:rsid w:val="00103705"/>
    <w:rsid w:val="00123D0F"/>
    <w:rsid w:val="00145B17"/>
    <w:rsid w:val="0014688B"/>
    <w:rsid w:val="0014751B"/>
    <w:rsid w:val="00151DDD"/>
    <w:rsid w:val="0015566B"/>
    <w:rsid w:val="0017258F"/>
    <w:rsid w:val="00172754"/>
    <w:rsid w:val="00174700"/>
    <w:rsid w:val="001A1E75"/>
    <w:rsid w:val="001D0B1F"/>
    <w:rsid w:val="001F3944"/>
    <w:rsid w:val="001F45C3"/>
    <w:rsid w:val="00201EB3"/>
    <w:rsid w:val="00237649"/>
    <w:rsid w:val="0026215C"/>
    <w:rsid w:val="002A61ED"/>
    <w:rsid w:val="002A7554"/>
    <w:rsid w:val="002B4A1B"/>
    <w:rsid w:val="002C3527"/>
    <w:rsid w:val="002D0B52"/>
    <w:rsid w:val="002D33ED"/>
    <w:rsid w:val="00313F28"/>
    <w:rsid w:val="00322FC7"/>
    <w:rsid w:val="0036330A"/>
    <w:rsid w:val="0039706F"/>
    <w:rsid w:val="00397DBD"/>
    <w:rsid w:val="003C1D14"/>
    <w:rsid w:val="003E7B3A"/>
    <w:rsid w:val="003F2EE1"/>
    <w:rsid w:val="00403914"/>
    <w:rsid w:val="00430BF4"/>
    <w:rsid w:val="00434A0C"/>
    <w:rsid w:val="0049465D"/>
    <w:rsid w:val="004A136D"/>
    <w:rsid w:val="004D4407"/>
    <w:rsid w:val="004E297B"/>
    <w:rsid w:val="00521CE5"/>
    <w:rsid w:val="00530B84"/>
    <w:rsid w:val="005420E8"/>
    <w:rsid w:val="005432B3"/>
    <w:rsid w:val="00544DC7"/>
    <w:rsid w:val="00553059"/>
    <w:rsid w:val="0057246D"/>
    <w:rsid w:val="00583717"/>
    <w:rsid w:val="005C666B"/>
    <w:rsid w:val="005D210A"/>
    <w:rsid w:val="005F76C1"/>
    <w:rsid w:val="00612A72"/>
    <w:rsid w:val="0061455B"/>
    <w:rsid w:val="006364B6"/>
    <w:rsid w:val="00640216"/>
    <w:rsid w:val="00664469"/>
    <w:rsid w:val="006802D5"/>
    <w:rsid w:val="006D695E"/>
    <w:rsid w:val="007045A4"/>
    <w:rsid w:val="00722BB6"/>
    <w:rsid w:val="007748F9"/>
    <w:rsid w:val="007A074A"/>
    <w:rsid w:val="007D5414"/>
    <w:rsid w:val="0085034A"/>
    <w:rsid w:val="008616C0"/>
    <w:rsid w:val="00862A81"/>
    <w:rsid w:val="008C0D11"/>
    <w:rsid w:val="0093038B"/>
    <w:rsid w:val="00931B99"/>
    <w:rsid w:val="00953441"/>
    <w:rsid w:val="0096059D"/>
    <w:rsid w:val="009B35EA"/>
    <w:rsid w:val="009C0EA3"/>
    <w:rsid w:val="009C54E2"/>
    <w:rsid w:val="009C6B18"/>
    <w:rsid w:val="00A14B13"/>
    <w:rsid w:val="00A243E4"/>
    <w:rsid w:val="00A25240"/>
    <w:rsid w:val="00A62EE0"/>
    <w:rsid w:val="00A77702"/>
    <w:rsid w:val="00AD5E59"/>
    <w:rsid w:val="00AE6532"/>
    <w:rsid w:val="00AF19D2"/>
    <w:rsid w:val="00AF1C36"/>
    <w:rsid w:val="00B4168D"/>
    <w:rsid w:val="00B56225"/>
    <w:rsid w:val="00B71E8D"/>
    <w:rsid w:val="00BE26FF"/>
    <w:rsid w:val="00BF2972"/>
    <w:rsid w:val="00C45734"/>
    <w:rsid w:val="00C57F81"/>
    <w:rsid w:val="00CA67EB"/>
    <w:rsid w:val="00CD31E1"/>
    <w:rsid w:val="00CE6A5D"/>
    <w:rsid w:val="00CF04FF"/>
    <w:rsid w:val="00D1199D"/>
    <w:rsid w:val="00D213A6"/>
    <w:rsid w:val="00D224A9"/>
    <w:rsid w:val="00D25870"/>
    <w:rsid w:val="00D46A28"/>
    <w:rsid w:val="00D47AD4"/>
    <w:rsid w:val="00D742F7"/>
    <w:rsid w:val="00D90114"/>
    <w:rsid w:val="00DB219F"/>
    <w:rsid w:val="00DC2BCF"/>
    <w:rsid w:val="00DE5BFB"/>
    <w:rsid w:val="00E03FC5"/>
    <w:rsid w:val="00E1597A"/>
    <w:rsid w:val="00E20D0C"/>
    <w:rsid w:val="00E3320C"/>
    <w:rsid w:val="00E352F3"/>
    <w:rsid w:val="00E36707"/>
    <w:rsid w:val="00E530B8"/>
    <w:rsid w:val="00E608D0"/>
    <w:rsid w:val="00E72930"/>
    <w:rsid w:val="00E76B1D"/>
    <w:rsid w:val="00E827C6"/>
    <w:rsid w:val="00E94F56"/>
    <w:rsid w:val="00E95F1E"/>
    <w:rsid w:val="00EB1D5F"/>
    <w:rsid w:val="00F04152"/>
    <w:rsid w:val="00F25BF0"/>
    <w:rsid w:val="00F546DA"/>
    <w:rsid w:val="00F6793C"/>
    <w:rsid w:val="00F70365"/>
    <w:rsid w:val="00F94328"/>
    <w:rsid w:val="00F94CB4"/>
    <w:rsid w:val="00FA079D"/>
    <w:rsid w:val="00FE62C1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4B0DF"/>
  <w15:chartTrackingRefBased/>
  <w15:docId w15:val="{22C0B80B-DCF4-4E7A-8762-88DB7E1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4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441"/>
    <w:rPr>
      <w:sz w:val="18"/>
      <w:szCs w:val="18"/>
    </w:rPr>
  </w:style>
  <w:style w:type="character" w:styleId="a7">
    <w:name w:val="Emphasis"/>
    <w:basedOn w:val="a0"/>
    <w:uiPriority w:val="20"/>
    <w:qFormat/>
    <w:rsid w:val="005432B3"/>
    <w:rPr>
      <w:i/>
      <w:iCs/>
    </w:rPr>
  </w:style>
  <w:style w:type="character" w:styleId="a8">
    <w:name w:val="Strong"/>
    <w:basedOn w:val="a0"/>
    <w:uiPriority w:val="22"/>
    <w:qFormat/>
    <w:rsid w:val="005432B3"/>
    <w:rPr>
      <w:b/>
      <w:bCs/>
    </w:rPr>
  </w:style>
  <w:style w:type="character" w:customStyle="1" w:styleId="js-collapsible-content">
    <w:name w:val="js-collapsible-content"/>
    <w:basedOn w:val="a0"/>
    <w:rsid w:val="005432B3"/>
  </w:style>
  <w:style w:type="character" w:styleId="a9">
    <w:name w:val="Hyperlink"/>
    <w:basedOn w:val="a0"/>
    <w:uiPriority w:val="99"/>
    <w:semiHidden/>
    <w:unhideWhenUsed/>
    <w:rsid w:val="005432B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E6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03FC5"/>
  </w:style>
  <w:style w:type="paragraph" w:styleId="ab">
    <w:name w:val="List Paragraph"/>
    <w:basedOn w:val="a"/>
    <w:uiPriority w:val="34"/>
    <w:qFormat/>
    <w:rsid w:val="000C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道松</dc:creator>
  <cp:keywords/>
  <dc:description/>
  <cp:lastModifiedBy>道松</cp:lastModifiedBy>
  <cp:revision>153</cp:revision>
  <dcterms:created xsi:type="dcterms:W3CDTF">2021-03-31T14:58:00Z</dcterms:created>
  <dcterms:modified xsi:type="dcterms:W3CDTF">2021-06-01T06:02:00Z</dcterms:modified>
</cp:coreProperties>
</file>