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42" w:rsidRPr="00EE54A0" w:rsidRDefault="00F20942" w:rsidP="00F20942">
      <w:pPr>
        <w:spacing w:after="160" w:line="259" w:lineRule="auto"/>
        <w:rPr>
          <w:color w:val="000000" w:themeColor="text1"/>
        </w:rPr>
      </w:pPr>
      <w:r>
        <w:rPr>
          <w:b/>
          <w:color w:val="000000" w:themeColor="text1"/>
        </w:rPr>
        <w:t>Supplemental Table 5</w:t>
      </w:r>
      <w:r w:rsidRPr="00EE54A0">
        <w:rPr>
          <w:b/>
          <w:color w:val="000000" w:themeColor="text1"/>
        </w:rPr>
        <w:t>. Baseline, intraoperative and postoperative characteristics by site.</w:t>
      </w:r>
    </w:p>
    <w:tbl>
      <w:tblPr>
        <w:tblW w:w="0" w:type="auto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1336"/>
        <w:gridCol w:w="1287"/>
        <w:gridCol w:w="1443"/>
        <w:gridCol w:w="1530"/>
        <w:gridCol w:w="736"/>
      </w:tblGrid>
      <w:tr w:rsidR="00F20942" w:rsidRPr="00EE54A0" w:rsidTr="0061255C">
        <w:trPr>
          <w:trHeight w:val="144"/>
          <w:tblHeader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Factor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Total</w:t>
            </w: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br/>
              <w:t>(N=45</w:t>
            </w:r>
            <w:r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0</w:t>
            </w: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6)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D5183A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Children’s Health at</w:t>
            </w:r>
            <w:bookmarkStart w:id="0" w:name="_GoBack"/>
            <w:bookmarkEnd w:id="0"/>
            <w:r w:rsidR="00BC0416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 xml:space="preserve"> Dallas</w:t>
            </w:r>
            <w:r w:rsidR="00F20942"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br/>
              <w:t>(N=218</w:t>
            </w:r>
            <w:r w:rsidR="00F20942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2</w:t>
            </w:r>
            <w:r w:rsidR="00F20942"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BC0416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Cleveland Clinic</w:t>
            </w:r>
            <w:r w:rsidR="00F20942"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br/>
              <w:t>(N=23</w:t>
            </w:r>
            <w:r w:rsidR="00F20942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24</w:t>
            </w:r>
            <w:r w:rsidR="00F20942"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p-value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ASD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tcBorders>
              <w:top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AKI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499 (11.1)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395 (18.1)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104 (4.5)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0.44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AB1E9C" w:rsidRDefault="00F20942" w:rsidP="00F20942">
            <w:pPr>
              <w:spacing w:after="240"/>
              <w:rPr>
                <w:rFonts w:ascii="Times" w:hAnsi="Times" w:cs="Times"/>
                <w:b/>
                <w:bCs/>
                <w:color w:val="FF0000"/>
                <w:highlight w:val="yellow"/>
                <w:lang w:eastAsia="zh-CN"/>
              </w:rPr>
            </w:pPr>
            <w:r w:rsidRPr="00F20942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Lowest intraoperative MAP sustained for a cumulative of 5 minutes or more, mmHg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60 [53, 67]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63 [57, 70]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57 [50, 64]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0.69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Age, years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9.6 ± 5.8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8.9 ± 5.5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10.2 ± 6.0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0.22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Age group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0.35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&lt; 2 years old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706 (15.7)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326 (14.9)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380 (16.4)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2-6 years old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778 (17.3)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474 (21.7)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304 (13.1)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6-12 years old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1062 (23.6)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591 (27.1)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471 (20.3)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12-18 years old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1960 (43.5)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791 (36.3)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1169 (50.3)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Female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2080 (46.2)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960 (44.0)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1120 (48.2)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0.005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0.08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Weight, kg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37.7 ± 26.3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35.6 ± 25.2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39.7 ± 27.1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0.16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Baseline MAP, mmHg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79 ± 12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82 ± 11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77 ± 12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0.47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ASA status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0.47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I-II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1769 (39.3)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617 (28.3)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1152 (49.6)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III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2396 (53.2)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1357 (62.2)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1039 (44.7)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. IV-V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341 (7.6)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208 (9.5)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133 (5.7)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lastRenderedPageBreak/>
              <w:t>Race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0.22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  <w:lang w:eastAsia="zh-CN"/>
              </w:rPr>
              <w:t>. Black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604 (13.4)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356 (16.3)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248 (10.7)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  <w:lang w:eastAsia="zh-CN"/>
              </w:rPr>
              <w:t>. Other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742 (16.5)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415 (19.0)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327 (14.1)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  <w:lang w:eastAsia="zh-CN"/>
              </w:rPr>
              <w:t>. White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3160 (70.1)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1411 (64.7)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1749 (75.3)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Preoperative variables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Preoperative creatinine, mg/dl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0.50 [0.31, 0.67]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0.50 [0.30, 0.70]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0.51 [0.34, 0.67]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0.10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Preoperative hemoglobin, g/dl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12.0 [10.3, 13.4]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11.2 [9.7, 12.7]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12.6 [11.1, 13.8]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0.58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Preoperative sepsis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268 (5.9)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61 (2.8)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207 (8.9)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0.26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History of organ transplant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177 (3.9)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46 (2.1)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131 (5.6)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0.18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Preoperative tacrolimus use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114 (2.5)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51 (2.3)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63 (2.7)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0.420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0.02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Preoperative cyclosporine use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17 (0.38)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 (0.27)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 (0.47)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0.280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0.03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Preoperative Furosemide use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255 (5.7)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148 (6.8)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107 (4.6)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0.002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0.09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u w:val="single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  <w:u w:val="single"/>
              </w:rPr>
              <w:t>Preoperative comorbidity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 xml:space="preserve"> Congestive heart failure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27 (0.60)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17 (0.78)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10 (0.43)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0.130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0.05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lastRenderedPageBreak/>
              <w:t xml:space="preserve"> Valvular disease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64 (1.4)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34 (1.6)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30 (1.3)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0.450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0.02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 xml:space="preserve"> Pulmonary circulation disease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28 (0.62)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14 (0.64)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14 (0.60)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0.870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&lt;0.01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 xml:space="preserve"> Peripheral vascular disease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43 (0.95)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25 (1.1)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18 (0.77)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0.200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0.04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F20942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 xml:space="preserve"> Hypertension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highlight w:val="yellow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282 (6.3)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highlight w:val="yellow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195 (8.9)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highlight w:val="yellow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87 (3.7)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0.21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 xml:space="preserve"> Paralysis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405 (9.0)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140 (6.4)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265 (11.4)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0.18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 xml:space="preserve"> Other neurological disorders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717 (15.9)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231 (10.6)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486 (20.9)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0.29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 xml:space="preserve"> Chronic pulmonary disease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358 (7.9)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183 (8.4)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175 (7.5)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0.290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0.03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 xml:space="preserve"> Diabetes w/o chronic complications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53 (1.2)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25 (1.1)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28 (1.2)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0.850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&lt;0.01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 xml:space="preserve"> Hypothyroidism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91 (2.0)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36 (1.6)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55 (2.4)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0.087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0.05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>Liver disease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220 (4.9)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143 (6.6)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77 (3.3)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0.15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>Peptic ulcer Disease x bleeding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15 (0.33)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14 (0.64)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 (0.04)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0.10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>Lymphoma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110 (2.4)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64 (2.9)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46 (2.0)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0.038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0.06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>Metastatic cancer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157 (3.5)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103 (4.7)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54 (2.3)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0.13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>Solid tumor w/out metastasis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299 (6.6)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171 (7.8)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128 (5.5)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0.002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0.09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>Rheumatoid arthritis/collagen vas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28 (0.62)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13 (0.60)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15 (0.65)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0.830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&lt;0.01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proofErr w:type="spellStart"/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lastRenderedPageBreak/>
              <w:t>Coagulopthy</w:t>
            </w:r>
            <w:proofErr w:type="spellEnd"/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308 (6.8)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174 (8.0)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134 (5.8)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0.003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0.09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>Obesity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203 (4.5)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144 (6.6)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59 (2.5)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0.20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>Weight loss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499 (11.1)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388 (17.8)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111 (4.8)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0.42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>Fluid and electrolyte disorders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941 (20.9)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515 (23.6)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426 (18.3)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0.13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>Chronic blood loss anemia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106 (2.4)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75 (3.4)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31 (1.3)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0.14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i/>
                <w:color w:val="000000" w:themeColor="text1"/>
                <w:lang w:eastAsia="zh-CN"/>
              </w:rPr>
              <w:t>Deficiency Anemias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667 (14.8)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342 (15.7)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325 (14.0)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0.110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0.05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>Intraoperative variables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Norepinephrine, mg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0.00 [0.00, 0.00]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0.00 [0.00, 0.00]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0.00 [0.00, 0.00]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&lt;0.001</w:t>
            </w: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0.16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Phenylephrine, mg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0.00 [0.00, 0.00]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0.00 [0.00, 0.00]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0.00 [0.00, 0.01]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&lt;0.001</w:t>
            </w: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0.79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Ephedrine, mg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0.00 [0.00, 0.00]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0.00 [0.00, 0.00]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0.00 [0.00, 0.00]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&lt;0.001</w:t>
            </w: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0.33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Vasopressor use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672 (14.9)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15 (0.69)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657 (28.3)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0.85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pStyle w:val="ListParagraph"/>
              <w:ind w:firstLine="0"/>
              <w:contextualSpacing/>
              <w:jc w:val="left"/>
              <w:rPr>
                <w:rFonts w:ascii="Times" w:eastAsia="Times New Roman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eastAsia="Times New Roman" w:hAnsi="Times" w:cs="Times"/>
                <w:bCs/>
                <w:i/>
                <w:color w:val="000000" w:themeColor="text1"/>
                <w:lang w:eastAsia="zh-CN"/>
              </w:rPr>
              <w:t xml:space="preserve">Norepinephrine 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36 (0.80)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 (0.09)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34 (1.5)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0.16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pStyle w:val="ListParagraph"/>
              <w:ind w:firstLine="0"/>
              <w:contextualSpacing/>
              <w:jc w:val="left"/>
              <w:rPr>
                <w:rFonts w:ascii="Times" w:eastAsia="Times New Roman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eastAsia="Times New Roman" w:hAnsi="Times" w:cs="Times"/>
                <w:bCs/>
                <w:i/>
                <w:color w:val="000000" w:themeColor="text1"/>
                <w:lang w:eastAsia="zh-CN"/>
              </w:rPr>
              <w:t xml:space="preserve">Phenylephrine 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613 (13.6)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13 (0.60)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600 (25.8)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0.80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pStyle w:val="ListParagraph"/>
              <w:ind w:firstLine="0"/>
              <w:contextualSpacing/>
              <w:jc w:val="left"/>
              <w:rPr>
                <w:rFonts w:ascii="Times" w:eastAsia="Times New Roman" w:hAnsi="Times" w:cs="Times"/>
                <w:bCs/>
                <w:i/>
                <w:color w:val="000000" w:themeColor="text1"/>
                <w:lang w:eastAsia="zh-CN"/>
              </w:rPr>
            </w:pPr>
            <w:r w:rsidRPr="00EE54A0">
              <w:rPr>
                <w:rFonts w:ascii="Times" w:eastAsia="Times New Roman" w:hAnsi="Times" w:cs="Times"/>
                <w:bCs/>
                <w:i/>
                <w:color w:val="000000" w:themeColor="text1"/>
                <w:lang w:eastAsia="zh-CN"/>
              </w:rPr>
              <w:t xml:space="preserve">Ephedrine 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117 (2.6)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 (0.0)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117 (5.0)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0.33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Crystalloid, </w:t>
            </w:r>
            <w:r>
              <w:rPr>
                <w:rFonts w:ascii="Times" w:hAnsi="Times" w:cs="Times"/>
                <w:bCs/>
                <w:color w:val="000000" w:themeColor="text1"/>
              </w:rPr>
              <w:t>ml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675.0 [300.0, 1500.0]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400.0 [220.0, 800.0]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1100.0 [440.0, 2300.0]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0.75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  <w:lang w:eastAsia="zh-CN"/>
              </w:rPr>
              <w:lastRenderedPageBreak/>
              <w:t>Blood loss*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20.0 [5.0, 100.0]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10.0 [3.0, 50.0]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25.0 [5.0, 150.0]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0.41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Use of intravenous contrast material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189 (4.2)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186 (8.5)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 (0.13)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0.42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Ketorolac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485 (10.8)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167 (7.7)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318 (13.7)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0.20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Gentamycin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88 (2.0)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43 (2.0)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45 (1.9)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0.930</w:t>
            </w:r>
            <w:r>
              <w:rPr>
                <w:rFonts w:ascii="Times" w:hAnsi="Times" w:cs="Times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&lt;0.01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 xml:space="preserve"> Vancomycin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285 (6.3)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48 (2.2)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237 (10.2)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0.34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b/>
                <w:bCs/>
                <w:color w:val="000000" w:themeColor="text1"/>
              </w:rPr>
              <w:t>Emergent surgery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691 (15.3)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398 (18.2)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293 (12.6)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0.16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Surgery type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&lt;0.001</w:t>
            </w: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0.71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Miscellaneous diagnostic and therapeutic procedures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340 (7.5)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166 (7.6)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174 (7.5)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cardiovascular system</w:t>
            </w:r>
            <w:r>
              <w:rPr>
                <w:rFonts w:ascii="Times" w:hAnsi="Times" w:cs="Times"/>
                <w:bCs/>
                <w:color w:val="000000" w:themeColor="text1"/>
              </w:rPr>
              <w:t xml:space="preserve"> </w:t>
            </w:r>
            <w:r w:rsidRPr="00756078">
              <w:rPr>
                <w:rFonts w:ascii="Times" w:hAnsi="Times" w:cs="Times"/>
                <w:bCs/>
                <w:color w:val="000000" w:themeColor="text1"/>
                <w:vertAlign w:val="superscript"/>
              </w:rPr>
              <w:t>£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250 (5.5)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165 (7.6)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85 (3.7)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digestive system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1560 (34.6)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839 (38.5)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721 (31.0)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hemic and lymphatic system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254 (5.6)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193 (8.8)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61 (2.6)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integumentary system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244 (5.4)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167 (7.7)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77 (3.3)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musculoskeletal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568 (12.6)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128 (5.9)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440 (18.9)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lastRenderedPageBreak/>
              <w:t>Operations on the nervous system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853 (18.9)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240 (11.0)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613 (26.4)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respiratory system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169 (3.8)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112 (5.1)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57 (2.5)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Operations on the urinary system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86 (1.9)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64 (2.9)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22 (0.95)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Cs/>
                <w:color w:val="000000" w:themeColor="text1"/>
              </w:rPr>
              <w:t>Others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182 (4.0)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108 (4.9)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74 (3.2)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 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>Surgery duration, minutes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217 ± 156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168 ± 134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264 ± 161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&lt;0.001</w:t>
            </w: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0.65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F20942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Intraoperative TWA MAP, mmHg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F20942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color w:val="000000" w:themeColor="text1"/>
                <w:lang w:eastAsia="zh-CN"/>
              </w:rPr>
              <w:t>70 ± 11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F20942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color w:val="000000" w:themeColor="text1"/>
                <w:lang w:eastAsia="zh-CN"/>
              </w:rPr>
              <w:t>73 ± 10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F20942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color w:val="000000" w:themeColor="text1"/>
                <w:lang w:eastAsia="zh-CN"/>
              </w:rPr>
              <w:t>67 ± 11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&lt;0.001</w:t>
            </w: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0.58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F20942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  <w:t>Intraoperative mean MAP, mmHg</w:t>
            </w:r>
          </w:p>
        </w:tc>
        <w:tc>
          <w:tcPr>
            <w:tcW w:w="1336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F20942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color w:val="000000" w:themeColor="text1"/>
                <w:lang w:eastAsia="zh-CN"/>
              </w:rPr>
              <w:t>70 ± 11</w:t>
            </w:r>
          </w:p>
        </w:tc>
        <w:tc>
          <w:tcPr>
            <w:tcW w:w="12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F20942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color w:val="000000" w:themeColor="text1"/>
                <w:lang w:eastAsia="zh-CN"/>
              </w:rPr>
              <w:t>74 ± 10</w:t>
            </w:r>
          </w:p>
        </w:tc>
        <w:tc>
          <w:tcPr>
            <w:tcW w:w="1443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F20942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F20942">
              <w:rPr>
                <w:rFonts w:ascii="Times" w:hAnsi="Times" w:cs="Times"/>
                <w:color w:val="000000" w:themeColor="text1"/>
                <w:lang w:eastAsia="zh-CN"/>
              </w:rPr>
              <w:t>67 ± 11</w:t>
            </w:r>
          </w:p>
        </w:tc>
        <w:tc>
          <w:tcPr>
            <w:tcW w:w="1530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  <w:t>&lt;0.001</w:t>
            </w:r>
            <w:r w:rsidRPr="00EE54A0">
              <w:rPr>
                <w:rFonts w:ascii="Times" w:hAnsi="Times" w:cs="Times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color w:val="000000" w:themeColor="text1"/>
                <w:lang w:eastAsia="zh-CN"/>
              </w:rPr>
              <w:t>0.64</w:t>
            </w:r>
          </w:p>
        </w:tc>
      </w:tr>
      <w:tr w:rsidR="00F20942" w:rsidRPr="00EE54A0" w:rsidTr="0061255C">
        <w:trPr>
          <w:trHeight w:val="144"/>
        </w:trPr>
        <w:tc>
          <w:tcPr>
            <w:tcW w:w="2484" w:type="dxa"/>
            <w:tcBorders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b/>
                <w:bCs/>
                <w:color w:val="000000" w:themeColor="text1"/>
                <w:lang w:eastAsia="zh-CN"/>
              </w:rPr>
            </w:pPr>
            <w:r w:rsidRPr="00EE54A0">
              <w:rPr>
                <w:rFonts w:ascii="Times" w:hAnsi="Times" w:cs="Times"/>
                <w:b/>
                <w:bCs/>
                <w:color w:val="000000" w:themeColor="text1"/>
              </w:rPr>
              <w:t>Intraoperative BP measurement, arterial catheter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1224 (27.2)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331 (15.2)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893 (38.4)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jc w:val="center"/>
              <w:rPr>
                <w:rFonts w:ascii="Times" w:hAnsi="Times" w:cs="Times"/>
                <w:b/>
                <w:bCs/>
                <w:i/>
                <w:iCs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</w:rPr>
              <w:t>&lt;0.001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F20942" w:rsidRPr="00EE54A0" w:rsidRDefault="00F20942" w:rsidP="0061255C">
            <w:pPr>
              <w:spacing w:after="240"/>
              <w:rPr>
                <w:rFonts w:ascii="Times" w:hAnsi="Times" w:cs="Times"/>
                <w:color w:val="000000" w:themeColor="text1"/>
                <w:lang w:eastAsia="zh-CN"/>
              </w:rPr>
            </w:pPr>
            <w:r>
              <w:rPr>
                <w:rFonts w:ascii="Times" w:hAnsi="Times" w:cs="Times"/>
                <w:color w:val="000000"/>
              </w:rPr>
              <w:t>0.54</w:t>
            </w:r>
          </w:p>
        </w:tc>
      </w:tr>
    </w:tbl>
    <w:p w:rsidR="0055378F" w:rsidRDefault="00F20942" w:rsidP="00F20942">
      <w:pPr>
        <w:spacing w:after="160" w:line="259" w:lineRule="auto"/>
        <w:rPr>
          <w:rFonts w:ascii="Times" w:hAnsi="Times" w:cs="Times"/>
          <w:color w:val="000000" w:themeColor="text1"/>
          <w:sz w:val="18"/>
          <w:szCs w:val="18"/>
          <w:lang w:eastAsia="zh-CN"/>
        </w:rPr>
      </w:pPr>
      <w:r w:rsidRPr="00EE54A0">
        <w:rPr>
          <w:rFonts w:ascii="Times" w:hAnsi="Times" w:cs="Times"/>
          <w:color w:val="000000" w:themeColor="text1"/>
          <w:sz w:val="18"/>
          <w:szCs w:val="18"/>
          <w:lang w:eastAsia="zh-CN"/>
        </w:rPr>
        <w:t>Note: *Data not available for all subjects. Missing values: intrao</w:t>
      </w:r>
      <w:r>
        <w:rPr>
          <w:rFonts w:ascii="Times" w:hAnsi="Times" w:cs="Times"/>
          <w:color w:val="000000" w:themeColor="text1"/>
          <w:sz w:val="18"/>
          <w:szCs w:val="18"/>
          <w:lang w:eastAsia="zh-CN"/>
        </w:rPr>
        <w:t xml:space="preserve">perative blood loss = 654. ASD= </w:t>
      </w:r>
      <w:r w:rsidRPr="00EE54A0">
        <w:rPr>
          <w:rFonts w:ascii="Times" w:hAnsi="Times" w:cs="Times"/>
          <w:color w:val="000000" w:themeColor="text1"/>
          <w:sz w:val="18"/>
          <w:szCs w:val="18"/>
          <w:lang w:eastAsia="zh-CN"/>
        </w:rPr>
        <w:t>absolute standardized</w:t>
      </w:r>
      <w:r w:rsidRPr="00F20942">
        <w:rPr>
          <w:rFonts w:ascii="Times" w:hAnsi="Times" w:cs="Times"/>
          <w:color w:val="000000" w:themeColor="text1"/>
          <w:sz w:val="18"/>
          <w:szCs w:val="18"/>
          <w:lang w:eastAsia="zh-CN"/>
        </w:rPr>
        <w:t xml:space="preserve"> </w:t>
      </w:r>
      <w:r w:rsidRPr="00EE54A0">
        <w:rPr>
          <w:rFonts w:ascii="Times" w:hAnsi="Times" w:cs="Times"/>
          <w:color w:val="000000" w:themeColor="text1"/>
          <w:sz w:val="18"/>
          <w:szCs w:val="18"/>
          <w:lang w:eastAsia="zh-CN"/>
        </w:rPr>
        <w:t>difference</w:t>
      </w:r>
      <w:r>
        <w:rPr>
          <w:rFonts w:ascii="Times" w:hAnsi="Times" w:cs="Times"/>
          <w:color w:val="000000" w:themeColor="text1"/>
          <w:sz w:val="18"/>
          <w:szCs w:val="18"/>
          <w:lang w:eastAsia="zh-CN"/>
        </w:rPr>
        <w:t>; AKI= acute kidney injury; TWA= time-weighted average; MAP= mean arteria</w:t>
      </w:r>
      <w:r w:rsidR="0055378F">
        <w:rPr>
          <w:rFonts w:ascii="Times" w:hAnsi="Times" w:cs="Times"/>
          <w:color w:val="000000" w:themeColor="text1"/>
          <w:sz w:val="18"/>
          <w:szCs w:val="18"/>
          <w:lang w:eastAsia="zh-CN"/>
        </w:rPr>
        <w:t>l pressure; BP= blood pressure.</w:t>
      </w:r>
    </w:p>
    <w:p w:rsidR="00F20942" w:rsidRDefault="00F20942" w:rsidP="00F20942">
      <w:pPr>
        <w:spacing w:after="160" w:line="259" w:lineRule="auto"/>
        <w:rPr>
          <w:rFonts w:ascii="Times" w:hAnsi="Times" w:cs="Times"/>
          <w:color w:val="000000" w:themeColor="text1"/>
          <w:sz w:val="18"/>
          <w:szCs w:val="18"/>
          <w:lang w:eastAsia="zh-CN"/>
        </w:rPr>
      </w:pPr>
      <w:r w:rsidRPr="00EE54A0">
        <w:rPr>
          <w:rFonts w:ascii="Times" w:hAnsi="Times" w:cs="Times"/>
          <w:color w:val="000000" w:themeColor="text1"/>
          <w:sz w:val="18"/>
          <w:szCs w:val="18"/>
          <w:lang w:eastAsia="zh-CN"/>
        </w:rPr>
        <w:br/>
        <w:t>Statistics presented as Mean ± SD, Median [P25, P75], Median (min, max) or N (column %).</w:t>
      </w:r>
      <w:r w:rsidRPr="00EE54A0">
        <w:rPr>
          <w:rFonts w:ascii="Times" w:hAnsi="Times" w:cs="Times"/>
          <w:color w:val="000000" w:themeColor="text1"/>
          <w:sz w:val="18"/>
          <w:szCs w:val="18"/>
          <w:lang w:eastAsia="zh-CN"/>
        </w:rPr>
        <w:br/>
        <w:t>P values: a=ANOVA, b=Kruskal-Wallis test, c=Pearson's chi-square test, d=Fisher's Exact test.</w:t>
      </w:r>
    </w:p>
    <w:p w:rsidR="00F20942" w:rsidRDefault="00F20942" w:rsidP="00F20942">
      <w:pPr>
        <w:spacing w:after="160"/>
        <w:jc w:val="both"/>
        <w:rPr>
          <w:rFonts w:ascii="Times" w:hAnsi="Times" w:cs="Times"/>
          <w:bCs/>
          <w:color w:val="000000" w:themeColor="text1"/>
          <w:sz w:val="18"/>
          <w:szCs w:val="18"/>
        </w:rPr>
      </w:pPr>
      <w:r w:rsidRPr="00A7472E">
        <w:rPr>
          <w:rFonts w:ascii="Times" w:hAnsi="Times" w:cs="Times"/>
          <w:bCs/>
          <w:color w:val="000000" w:themeColor="text1"/>
          <w:sz w:val="18"/>
          <w:szCs w:val="18"/>
          <w:vertAlign w:val="superscript"/>
        </w:rPr>
        <w:t xml:space="preserve">£ </w:t>
      </w:r>
      <w:r w:rsidRPr="00A7472E">
        <w:rPr>
          <w:rFonts w:ascii="Times" w:hAnsi="Times" w:cs="Times"/>
          <w:bCs/>
          <w:color w:val="000000" w:themeColor="text1"/>
          <w:sz w:val="18"/>
          <w:szCs w:val="18"/>
        </w:rPr>
        <w:t>Operations on cardiovascular system included other vascular catheterization; not heart, peripheral vascular bypass, other vascular bypass and shunt; n</w:t>
      </w:r>
      <w:r>
        <w:rPr>
          <w:rFonts w:ascii="Times" w:hAnsi="Times" w:cs="Times"/>
          <w:bCs/>
          <w:color w:val="000000" w:themeColor="text1"/>
          <w:sz w:val="18"/>
          <w:szCs w:val="18"/>
        </w:rPr>
        <w:t>ot heart, hemodialysis, other operating room</w:t>
      </w:r>
      <w:r w:rsidRPr="00A7472E">
        <w:rPr>
          <w:rFonts w:ascii="Times" w:hAnsi="Times" w:cs="Times"/>
          <w:bCs/>
          <w:color w:val="000000" w:themeColor="text1"/>
          <w:sz w:val="18"/>
          <w:szCs w:val="18"/>
        </w:rPr>
        <w:t xml:space="preserve"> procedures on vessels of head and neck, embolectomy and endarte</w:t>
      </w:r>
      <w:r>
        <w:rPr>
          <w:rFonts w:ascii="Times" w:hAnsi="Times" w:cs="Times"/>
          <w:bCs/>
          <w:color w:val="000000" w:themeColor="text1"/>
          <w:sz w:val="18"/>
          <w:szCs w:val="18"/>
        </w:rPr>
        <w:t>rectomy of lower limbs, other operating room</w:t>
      </w:r>
      <w:r w:rsidRPr="00A7472E">
        <w:rPr>
          <w:rFonts w:ascii="Times" w:hAnsi="Times" w:cs="Times"/>
          <w:bCs/>
          <w:color w:val="000000" w:themeColor="text1"/>
          <w:sz w:val="18"/>
          <w:szCs w:val="18"/>
        </w:rPr>
        <w:t xml:space="preserve"> procedures on vessels other than head and neck, other diagnostic cardiovascu</w:t>
      </w:r>
      <w:r>
        <w:rPr>
          <w:rFonts w:ascii="Times" w:hAnsi="Times" w:cs="Times"/>
          <w:bCs/>
          <w:color w:val="000000" w:themeColor="text1"/>
          <w:sz w:val="18"/>
          <w:szCs w:val="18"/>
        </w:rPr>
        <w:t>lar procedures, and other non-operating room</w:t>
      </w:r>
      <w:r w:rsidRPr="00A7472E">
        <w:rPr>
          <w:rFonts w:ascii="Times" w:hAnsi="Times" w:cs="Times"/>
          <w:bCs/>
          <w:color w:val="000000" w:themeColor="text1"/>
          <w:sz w:val="18"/>
          <w:szCs w:val="18"/>
        </w:rPr>
        <w:t xml:space="preserve"> therapeutic cardiovascular procedures.</w:t>
      </w:r>
    </w:p>
    <w:p w:rsidR="00411A8B" w:rsidRPr="00F20942" w:rsidRDefault="00411A8B">
      <w:pPr>
        <w:rPr>
          <w:rFonts w:ascii="Times" w:hAnsi="Times" w:cs="Times"/>
          <w:bCs/>
          <w:color w:val="000000" w:themeColor="text1"/>
          <w:sz w:val="18"/>
          <w:szCs w:val="18"/>
        </w:rPr>
      </w:pPr>
    </w:p>
    <w:sectPr w:rsidR="00411A8B" w:rsidRPr="00F2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42"/>
    <w:rsid w:val="00411A8B"/>
    <w:rsid w:val="0055378F"/>
    <w:rsid w:val="00BC0416"/>
    <w:rsid w:val="00D5183A"/>
    <w:rsid w:val="00F2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77458-9589-46BD-927F-19C3A8E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F20942"/>
    <w:pPr>
      <w:spacing w:after="240" w:line="240" w:lineRule="auto"/>
      <w:ind w:left="720" w:firstLine="720"/>
      <w:jc w:val="both"/>
    </w:pPr>
    <w:rPr>
      <w:rFonts w:ascii="Arial" w:eastAsia="Arial Unicode MS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Chhabada, Surendrasingh</dc:creator>
  <cp:keywords/>
  <dc:description/>
  <cp:lastModifiedBy>Chhabada, Surendrasingh</cp:lastModifiedBy>
  <cp:revision>4</cp:revision>
  <dcterms:created xsi:type="dcterms:W3CDTF">2021-02-22T19:43:00Z</dcterms:created>
  <dcterms:modified xsi:type="dcterms:W3CDTF">2021-02-24T17:35:00Z</dcterms:modified>
</cp:coreProperties>
</file>