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8841"/>
      </w:tblGrid>
      <w:tr w:rsidR="004F65B1" w:rsidRPr="001E088D" w:rsidTr="00673B6B">
        <w:trPr>
          <w:jc w:val="center"/>
        </w:trPr>
        <w:tc>
          <w:tcPr>
            <w:tcW w:w="1977" w:type="dxa"/>
          </w:tcPr>
          <w:p w:rsidR="004F65B1" w:rsidRPr="001E088D" w:rsidRDefault="004F65B1" w:rsidP="004F65B1">
            <w:pPr>
              <w:pStyle w:val="Heading3"/>
            </w:pPr>
            <w:r w:rsidRPr="001E088D">
              <w:t>PURPOSE</w:t>
            </w:r>
          </w:p>
        </w:tc>
        <w:tc>
          <w:tcPr>
            <w:tcW w:w="8841" w:type="dxa"/>
          </w:tcPr>
          <w:p w:rsidR="001C5862" w:rsidRPr="00880F9F" w:rsidRDefault="001C5862" w:rsidP="00F97DF9">
            <w:pPr>
              <w:numPr>
                <w:ilvl w:val="0"/>
                <w:numId w:val="16"/>
              </w:numPr>
              <w:ind w:left="543" w:right="162"/>
              <w:rPr>
                <w:rFonts w:ascii="Arial" w:hAnsi="Arial" w:cs="Arial"/>
              </w:rPr>
            </w:pPr>
            <w:r w:rsidRPr="00880F9F">
              <w:rPr>
                <w:rFonts w:ascii="Arial" w:hAnsi="Arial" w:cs="Arial"/>
                <w:u w:val="single"/>
              </w:rPr>
              <w:t>Objectives</w:t>
            </w:r>
          </w:p>
          <w:p w:rsidR="00F87C3F" w:rsidRDefault="00F87C3F" w:rsidP="00F87C3F">
            <w:pPr>
              <w:numPr>
                <w:ilvl w:val="0"/>
                <w:numId w:val="21"/>
              </w:numPr>
              <w:ind w:right="162"/>
              <w:rPr>
                <w:rFonts w:ascii="Arial" w:hAnsi="Arial" w:cs="Arial"/>
              </w:rPr>
            </w:pPr>
            <w:r>
              <w:rPr>
                <w:rFonts w:ascii="Arial" w:hAnsi="Arial" w:cs="Arial"/>
              </w:rPr>
              <w:t>Safety:</w:t>
            </w:r>
          </w:p>
          <w:p w:rsidR="00F87C3F" w:rsidRPr="00880F9F" w:rsidRDefault="00F87C3F" w:rsidP="00F87C3F">
            <w:pPr>
              <w:ind w:left="543" w:right="162" w:hanging="360"/>
              <w:rPr>
                <w:rFonts w:ascii="Arial" w:hAnsi="Arial" w:cs="Arial"/>
              </w:rPr>
            </w:pPr>
            <w:r w:rsidRPr="00880F9F">
              <w:rPr>
                <w:rFonts w:ascii="Arial" w:hAnsi="Arial" w:cs="Arial"/>
              </w:rPr>
              <w:t>No increase in incidence of residual post-anesthesia muscle weakness as measured by:</w:t>
            </w:r>
          </w:p>
          <w:p w:rsidR="00F87C3F" w:rsidRPr="00880F9F" w:rsidRDefault="00F87C3F" w:rsidP="00F87C3F">
            <w:pPr>
              <w:ind w:left="543" w:right="162" w:hanging="360"/>
              <w:rPr>
                <w:rFonts w:ascii="Arial" w:hAnsi="Arial" w:cs="Arial"/>
              </w:rPr>
            </w:pPr>
            <w:r w:rsidRPr="00880F9F">
              <w:rPr>
                <w:rFonts w:ascii="Arial" w:hAnsi="Arial" w:cs="Arial"/>
              </w:rPr>
              <w:tab/>
              <w:t>(a) patients delivered to the PACU intubated</w:t>
            </w:r>
          </w:p>
          <w:p w:rsidR="00F87C3F" w:rsidRPr="00880F9F" w:rsidRDefault="00F87C3F" w:rsidP="00F87C3F">
            <w:pPr>
              <w:ind w:left="543" w:right="162" w:hanging="360"/>
              <w:rPr>
                <w:rFonts w:ascii="Arial" w:hAnsi="Arial" w:cs="Arial"/>
              </w:rPr>
            </w:pPr>
            <w:r w:rsidRPr="00880F9F">
              <w:rPr>
                <w:rFonts w:ascii="Arial" w:hAnsi="Arial" w:cs="Arial"/>
              </w:rPr>
              <w:tab/>
              <w:t>(b) patients in the PACU re-intubated</w:t>
            </w:r>
          </w:p>
          <w:p w:rsidR="004F65B1" w:rsidRPr="00880F9F" w:rsidRDefault="004F65B1" w:rsidP="00F87C3F">
            <w:pPr>
              <w:ind w:right="162"/>
              <w:rPr>
                <w:rFonts w:ascii="Arial" w:hAnsi="Arial" w:cs="Arial"/>
              </w:rPr>
            </w:pPr>
          </w:p>
        </w:tc>
      </w:tr>
      <w:tr w:rsidR="004F65B1" w:rsidRPr="001E088D" w:rsidTr="00673B6B">
        <w:trPr>
          <w:jc w:val="center"/>
        </w:trPr>
        <w:tc>
          <w:tcPr>
            <w:tcW w:w="1977" w:type="dxa"/>
          </w:tcPr>
          <w:p w:rsidR="004F65B1" w:rsidRPr="001E088D" w:rsidRDefault="004F65B1" w:rsidP="004F65B1">
            <w:pPr>
              <w:pStyle w:val="Heading3"/>
            </w:pPr>
            <w:r w:rsidRPr="001E088D">
              <w:t>POLICY</w:t>
            </w:r>
          </w:p>
        </w:tc>
        <w:tc>
          <w:tcPr>
            <w:tcW w:w="8841" w:type="dxa"/>
          </w:tcPr>
          <w:p w:rsidR="004F65B1" w:rsidRPr="00880F9F" w:rsidRDefault="00916F3B" w:rsidP="00F97DF9">
            <w:pPr>
              <w:pStyle w:val="Tabletext"/>
              <w:ind w:left="543" w:right="162" w:hanging="360"/>
              <w:rPr>
                <w:rFonts w:ascii="Arial" w:hAnsi="Arial" w:cs="Arial"/>
              </w:rPr>
            </w:pPr>
            <w:r w:rsidRPr="00880F9F">
              <w:rPr>
                <w:rFonts w:ascii="Arial" w:hAnsi="Arial" w:cs="Arial"/>
              </w:rPr>
              <w:t xml:space="preserve">Guidelines for the Use of Neuromuscular Blocking Drugs </w:t>
            </w:r>
          </w:p>
        </w:tc>
      </w:tr>
      <w:tr w:rsidR="00801112" w:rsidRPr="001E088D" w:rsidTr="00673B6B">
        <w:trPr>
          <w:jc w:val="center"/>
        </w:trPr>
        <w:tc>
          <w:tcPr>
            <w:tcW w:w="1977" w:type="dxa"/>
          </w:tcPr>
          <w:p w:rsidR="00801112" w:rsidRPr="001E088D" w:rsidRDefault="00801112" w:rsidP="004F65B1">
            <w:pPr>
              <w:pStyle w:val="Heading3"/>
            </w:pPr>
            <w:r w:rsidRPr="001E088D">
              <w:t>PROCEDURE OR GUIDELINES</w:t>
            </w:r>
          </w:p>
        </w:tc>
        <w:tc>
          <w:tcPr>
            <w:tcW w:w="8841" w:type="dxa"/>
          </w:tcPr>
          <w:p w:rsidR="004A0C14" w:rsidRPr="00880F9F" w:rsidRDefault="004A0C14" w:rsidP="00F97DF9">
            <w:pPr>
              <w:ind w:left="543" w:right="162" w:hanging="360"/>
              <w:rPr>
                <w:rFonts w:ascii="Arial" w:hAnsi="Arial" w:cs="Arial"/>
              </w:rPr>
            </w:pPr>
            <w:r w:rsidRPr="00880F9F">
              <w:rPr>
                <w:rFonts w:ascii="Arial" w:hAnsi="Arial" w:cs="Arial"/>
              </w:rPr>
              <w:t>A.</w:t>
            </w:r>
            <w:r w:rsidRPr="00880F9F">
              <w:rPr>
                <w:rFonts w:ascii="Arial" w:hAnsi="Arial" w:cs="Arial"/>
              </w:rPr>
              <w:tab/>
            </w:r>
            <w:r w:rsidRPr="000B02E6">
              <w:rPr>
                <w:rFonts w:ascii="Arial" w:hAnsi="Arial" w:cs="Arial"/>
                <w:b/>
              </w:rPr>
              <w:t>Linkage #1</w:t>
            </w:r>
            <w:r w:rsidRPr="00880F9F">
              <w:rPr>
                <w:rFonts w:ascii="Arial" w:hAnsi="Arial" w:cs="Arial"/>
              </w:rPr>
              <w:t xml:space="preserve">:  Objectives can be attained by identifying which subsets of patients require nondepolarizing neuromuscular relaxants (NDMR's) and by recognizing that varying levels of relaxation may be required depending on the case type. </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u w:val="single"/>
              </w:rPr>
              <w:t>Selection of Patients who Require No Neuromuscular Blockade</w:t>
            </w:r>
          </w:p>
          <w:p w:rsidR="004A0C14" w:rsidRPr="00880F9F" w:rsidRDefault="004A0C14" w:rsidP="00F97DF9">
            <w:pPr>
              <w:tabs>
                <w:tab w:val="left" w:pos="360"/>
              </w:tabs>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u w:val="single"/>
              </w:rPr>
              <w:t>Not Needed</w:t>
            </w:r>
            <w:r w:rsidRPr="00880F9F">
              <w:rPr>
                <w:rFonts w:ascii="Arial" w:hAnsi="Arial" w:cs="Arial"/>
              </w:rPr>
              <w:tab/>
            </w:r>
            <w:r w:rsidRPr="00880F9F">
              <w:rPr>
                <w:rFonts w:ascii="Arial" w:hAnsi="Arial" w:cs="Arial"/>
              </w:rPr>
              <w:tab/>
            </w:r>
            <w:r w:rsidRPr="00880F9F">
              <w:rPr>
                <w:rFonts w:ascii="Arial" w:hAnsi="Arial" w:cs="Arial"/>
                <w:u w:val="single"/>
              </w:rPr>
              <w:t>Intermittent</w:t>
            </w:r>
            <w:r w:rsidRPr="00880F9F">
              <w:rPr>
                <w:rFonts w:ascii="Arial" w:hAnsi="Arial" w:cs="Arial"/>
              </w:rPr>
              <w:tab/>
            </w:r>
            <w:r w:rsidRPr="00880F9F">
              <w:rPr>
                <w:rFonts w:ascii="Arial" w:hAnsi="Arial" w:cs="Arial"/>
              </w:rPr>
              <w:tab/>
            </w:r>
            <w:r w:rsidRPr="00880F9F">
              <w:rPr>
                <w:rFonts w:ascii="Arial" w:hAnsi="Arial" w:cs="Arial"/>
                <w:u w:val="single"/>
              </w:rPr>
              <w:t>Profound</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Integumentary</w:t>
            </w:r>
            <w:r w:rsidRPr="00880F9F">
              <w:rPr>
                <w:rFonts w:ascii="Arial" w:hAnsi="Arial" w:cs="Arial"/>
              </w:rPr>
              <w:tab/>
            </w:r>
            <w:r w:rsidRPr="00880F9F">
              <w:rPr>
                <w:rFonts w:ascii="Arial" w:hAnsi="Arial" w:cs="Arial"/>
              </w:rPr>
              <w:tab/>
              <w:t>Intra-abdom</w:t>
            </w:r>
            <w:r w:rsidRPr="00880F9F">
              <w:rPr>
                <w:rFonts w:ascii="Arial" w:hAnsi="Arial" w:cs="Arial"/>
              </w:rPr>
              <w:tab/>
            </w:r>
            <w:r w:rsidRPr="00880F9F">
              <w:rPr>
                <w:rFonts w:ascii="Arial" w:hAnsi="Arial" w:cs="Arial"/>
              </w:rPr>
              <w:tab/>
              <w:t>Open Eyes</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Breast</w:t>
            </w:r>
            <w:r w:rsidRPr="00880F9F">
              <w:rPr>
                <w:rFonts w:ascii="Arial" w:hAnsi="Arial" w:cs="Arial"/>
              </w:rPr>
              <w:tab/>
            </w:r>
            <w:r w:rsidRPr="00880F9F">
              <w:rPr>
                <w:rFonts w:ascii="Arial" w:hAnsi="Arial" w:cs="Arial"/>
              </w:rPr>
              <w:tab/>
            </w:r>
            <w:r w:rsidRPr="00880F9F">
              <w:rPr>
                <w:rFonts w:ascii="Arial" w:hAnsi="Arial" w:cs="Arial"/>
              </w:rPr>
              <w:tab/>
              <w:t>Intra-thoracic</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r>
            <w:r w:rsidRPr="00880F9F">
              <w:rPr>
                <w:rFonts w:ascii="Arial" w:hAnsi="Arial" w:cs="Arial"/>
              </w:rPr>
              <w:tab/>
            </w:r>
            <w:r w:rsidRPr="00880F9F">
              <w:rPr>
                <w:rFonts w:ascii="Arial" w:hAnsi="Arial" w:cs="Arial"/>
              </w:rPr>
              <w:tab/>
            </w:r>
            <w:r w:rsidRPr="00880F9F">
              <w:rPr>
                <w:rFonts w:ascii="Arial" w:hAnsi="Arial" w:cs="Arial"/>
              </w:rPr>
              <w:tab/>
            </w:r>
            <w:r w:rsidR="00F87C3F">
              <w:rPr>
                <w:rFonts w:ascii="Arial" w:hAnsi="Arial" w:cs="Arial"/>
              </w:rPr>
              <w:t xml:space="preserve">            </w:t>
            </w:r>
            <w:r w:rsidRPr="00880F9F">
              <w:rPr>
                <w:rFonts w:ascii="Arial" w:hAnsi="Arial" w:cs="Arial"/>
              </w:rPr>
              <w:t>Intracranial</w:t>
            </w:r>
          </w:p>
          <w:p w:rsidR="004A0C14" w:rsidRPr="00880F9F" w:rsidRDefault="004A0C14" w:rsidP="00F97DF9">
            <w:pPr>
              <w:ind w:left="543" w:right="162" w:hanging="360"/>
              <w:rPr>
                <w:rFonts w:ascii="Arial" w:hAnsi="Arial" w:cs="Arial"/>
              </w:rPr>
            </w:pPr>
          </w:p>
          <w:p w:rsidR="004A0C14" w:rsidRPr="00880F9F" w:rsidRDefault="004A0C14" w:rsidP="00F97DF9">
            <w:pPr>
              <w:ind w:left="543" w:right="162" w:hanging="360"/>
              <w:rPr>
                <w:rFonts w:ascii="Arial" w:hAnsi="Arial" w:cs="Arial"/>
              </w:rPr>
            </w:pPr>
            <w:r w:rsidRPr="00880F9F">
              <w:rPr>
                <w:rFonts w:ascii="Arial" w:hAnsi="Arial" w:cs="Arial"/>
              </w:rPr>
              <w:t>B.</w:t>
            </w:r>
            <w:r w:rsidRPr="00880F9F">
              <w:rPr>
                <w:rFonts w:ascii="Arial" w:hAnsi="Arial" w:cs="Arial"/>
              </w:rPr>
              <w:tab/>
            </w:r>
            <w:r w:rsidRPr="000B02E6">
              <w:rPr>
                <w:rFonts w:ascii="Arial" w:hAnsi="Arial" w:cs="Arial"/>
                <w:b/>
              </w:rPr>
              <w:t>Linkage #2</w:t>
            </w:r>
            <w:r w:rsidRPr="00880F9F">
              <w:rPr>
                <w:rFonts w:ascii="Arial" w:hAnsi="Arial" w:cs="Arial"/>
              </w:rPr>
              <w:t>:  Monitoring neuromuscular blockade optim</w:t>
            </w:r>
            <w:r w:rsidR="00F87C3F">
              <w:rPr>
                <w:rFonts w:ascii="Arial" w:hAnsi="Arial" w:cs="Arial"/>
              </w:rPr>
              <w:t xml:space="preserve">izes the </w:t>
            </w:r>
            <w:r w:rsidRPr="00880F9F">
              <w:rPr>
                <w:rFonts w:ascii="Arial" w:hAnsi="Arial" w:cs="Arial"/>
              </w:rPr>
              <w:t>safe use of NDMR's.  (1)</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u w:val="single"/>
              </w:rPr>
              <w:t>Principles of Monitoring</w:t>
            </w:r>
            <w:r w:rsidRPr="00880F9F">
              <w:rPr>
                <w:rFonts w:ascii="Arial" w:hAnsi="Arial" w:cs="Arial"/>
              </w:rPr>
              <w:t>:</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1)</w:t>
            </w:r>
            <w:r w:rsidRPr="00880F9F">
              <w:rPr>
                <w:rFonts w:ascii="Arial" w:hAnsi="Arial" w:cs="Arial"/>
              </w:rPr>
              <w:tab/>
              <w:t>Monitoring of thumb is preferred</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ulnar nerve at wrist</w:t>
            </w:r>
            <w:r w:rsidR="00265714">
              <w:rPr>
                <w:rFonts w:ascii="Arial" w:hAnsi="Arial" w:cs="Arial"/>
              </w:rPr>
              <w:t>; quantitative monitoring using an accelerometer is the gold standard and should be used in high risk situations.</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vis/palp assessment of thumb adduction</w:t>
            </w:r>
            <w:r w:rsidR="00265714">
              <w:rPr>
                <w:rFonts w:ascii="Arial" w:hAnsi="Arial" w:cs="Arial"/>
              </w:rPr>
              <w:t xml:space="preserve"> may be used</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lastRenderedPageBreak/>
              <w:tab/>
            </w:r>
            <w:r w:rsidRPr="00880F9F">
              <w:rPr>
                <w:rFonts w:ascii="Arial" w:hAnsi="Arial" w:cs="Arial"/>
              </w:rPr>
              <w:tab/>
              <w:t>train-of-four; counting twitches = train-of-four count</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T</w:t>
            </w:r>
            <w:r w:rsidRPr="00880F9F">
              <w:rPr>
                <w:rFonts w:ascii="Arial" w:hAnsi="Arial" w:cs="Arial"/>
                <w:position w:val="-4"/>
              </w:rPr>
              <w:t>1</w:t>
            </w:r>
            <w:r w:rsidRPr="00880F9F">
              <w:rPr>
                <w:rFonts w:ascii="Arial" w:hAnsi="Arial" w:cs="Arial"/>
              </w:rPr>
              <w:t>, T</w:t>
            </w:r>
            <w:r w:rsidRPr="00880F9F">
              <w:rPr>
                <w:rFonts w:ascii="Arial" w:hAnsi="Arial" w:cs="Arial"/>
                <w:position w:val="-4"/>
              </w:rPr>
              <w:t>2</w:t>
            </w:r>
            <w:r w:rsidRPr="00880F9F">
              <w:rPr>
                <w:rFonts w:ascii="Arial" w:hAnsi="Arial" w:cs="Arial"/>
              </w:rPr>
              <w:t>, T</w:t>
            </w:r>
            <w:r w:rsidRPr="00880F9F">
              <w:rPr>
                <w:rFonts w:ascii="Arial" w:hAnsi="Arial" w:cs="Arial"/>
                <w:position w:val="-4"/>
              </w:rPr>
              <w:t>3</w:t>
            </w:r>
            <w:r w:rsidRPr="00880F9F">
              <w:rPr>
                <w:rFonts w:ascii="Arial" w:hAnsi="Arial" w:cs="Arial"/>
              </w:rPr>
              <w:t>, T</w:t>
            </w:r>
            <w:r w:rsidRPr="00880F9F">
              <w:rPr>
                <w:rFonts w:ascii="Arial" w:hAnsi="Arial" w:cs="Arial"/>
                <w:position w:val="-4"/>
              </w:rPr>
              <w:t>4</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2)</w:t>
            </w:r>
            <w:r w:rsidRPr="00880F9F">
              <w:rPr>
                <w:rFonts w:ascii="Arial" w:hAnsi="Arial" w:cs="Arial"/>
              </w:rPr>
              <w:tab/>
              <w:t>Administration of MR should be based on clinical indications and guided by assessment of response to neuromuscular monitoring</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3)</w:t>
            </w:r>
            <w:r w:rsidRPr="00880F9F">
              <w:rPr>
                <w:rFonts w:ascii="Arial" w:hAnsi="Arial" w:cs="Arial"/>
              </w:rPr>
              <w:tab/>
              <w:t>Train-of-four checked prior to administration of NDMR (to detect prolonged response to succinylcholine)</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4)</w:t>
            </w:r>
            <w:r w:rsidRPr="00880F9F">
              <w:rPr>
                <w:rFonts w:ascii="Arial" w:hAnsi="Arial" w:cs="Arial"/>
              </w:rPr>
              <w:tab/>
              <w:t>Optimal relaxation (assuming adequate background anesthetic) = T</w:t>
            </w:r>
            <w:r w:rsidRPr="00880F9F">
              <w:rPr>
                <w:rFonts w:ascii="Arial" w:hAnsi="Arial" w:cs="Arial"/>
                <w:position w:val="-4"/>
              </w:rPr>
              <w:t>1</w:t>
            </w:r>
            <w:r w:rsidRPr="00880F9F">
              <w:rPr>
                <w:rFonts w:ascii="Arial" w:hAnsi="Arial" w:cs="Arial"/>
              </w:rPr>
              <w:t>-T</w:t>
            </w:r>
            <w:r w:rsidRPr="00880F9F">
              <w:rPr>
                <w:rFonts w:ascii="Arial" w:hAnsi="Arial" w:cs="Arial"/>
                <w:position w:val="-4"/>
              </w:rPr>
              <w:t>2</w:t>
            </w:r>
            <w:r w:rsidRPr="00880F9F">
              <w:rPr>
                <w:rFonts w:ascii="Arial" w:hAnsi="Arial" w:cs="Arial"/>
              </w:rPr>
              <w:t xml:space="preserve"> present in train-of-four count</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5)</w:t>
            </w:r>
            <w:r w:rsidRPr="00880F9F">
              <w:rPr>
                <w:rFonts w:ascii="Arial" w:hAnsi="Arial" w:cs="Arial"/>
              </w:rPr>
              <w:tab/>
              <w:t>Knowledge of ED</w:t>
            </w:r>
            <w:r w:rsidRPr="00880F9F">
              <w:rPr>
                <w:rFonts w:ascii="Arial" w:hAnsi="Arial" w:cs="Arial"/>
                <w:position w:val="-4"/>
              </w:rPr>
              <w:t>95</w:t>
            </w:r>
            <w:r w:rsidRPr="00880F9F">
              <w:rPr>
                <w:rFonts w:ascii="Arial" w:hAnsi="Arial" w:cs="Arial"/>
              </w:rPr>
              <w:t xml:space="preserve"> (anesthesia background dependent)</w:t>
            </w:r>
          </w:p>
          <w:p w:rsidR="004A0C14" w:rsidRPr="00880F9F" w:rsidRDefault="004A0C14" w:rsidP="00F97DF9">
            <w:pPr>
              <w:ind w:left="543" w:right="162" w:hanging="360"/>
              <w:rPr>
                <w:rFonts w:ascii="Arial" w:hAnsi="Arial" w:cs="Arial"/>
              </w:rPr>
            </w:pPr>
            <w:r w:rsidRPr="00880F9F">
              <w:rPr>
                <w:rFonts w:ascii="Arial" w:hAnsi="Arial" w:cs="Arial"/>
              </w:rPr>
              <w:tab/>
              <w:t>onset time</w:t>
            </w:r>
          </w:p>
          <w:p w:rsidR="004A0C14" w:rsidRPr="00880F9F" w:rsidRDefault="004A0C14" w:rsidP="00F97DF9">
            <w:pPr>
              <w:ind w:left="543" w:right="162" w:hanging="360"/>
              <w:rPr>
                <w:rFonts w:ascii="Arial" w:hAnsi="Arial" w:cs="Arial"/>
              </w:rPr>
            </w:pPr>
            <w:r w:rsidRPr="00880F9F">
              <w:rPr>
                <w:rFonts w:ascii="Arial" w:hAnsi="Arial" w:cs="Arial"/>
              </w:rPr>
              <w:tab/>
              <w:t>duration</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6)</w:t>
            </w:r>
            <w:r w:rsidRPr="00880F9F">
              <w:rPr>
                <w:rFonts w:ascii="Arial" w:hAnsi="Arial" w:cs="Arial"/>
              </w:rPr>
              <w:tab/>
              <w:t>The deeper the block, the tougher it is to antagonize (s</w:t>
            </w:r>
            <w:r w:rsidR="00266F50">
              <w:rPr>
                <w:rFonts w:ascii="Arial" w:hAnsi="Arial" w:cs="Arial"/>
              </w:rPr>
              <w:t xml:space="preserve">ee antagonism algorithm, Table </w:t>
            </w:r>
            <w:r w:rsidRPr="00880F9F">
              <w:rPr>
                <w:rFonts w:ascii="Arial" w:hAnsi="Arial" w:cs="Arial"/>
              </w:rPr>
              <w:t>2)</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T</w:t>
            </w:r>
            <w:r w:rsidRPr="00880F9F">
              <w:rPr>
                <w:rFonts w:ascii="Arial" w:hAnsi="Arial" w:cs="Arial"/>
                <w:position w:val="-4"/>
              </w:rPr>
              <w:t>0</w:t>
            </w:r>
            <w:r w:rsidRPr="00880F9F">
              <w:rPr>
                <w:rFonts w:ascii="Arial" w:hAnsi="Arial" w:cs="Arial"/>
              </w:rPr>
              <w:t xml:space="preserve"> = unantagonizable block</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T</w:t>
            </w:r>
            <w:r w:rsidRPr="00880F9F">
              <w:rPr>
                <w:rFonts w:ascii="Arial" w:hAnsi="Arial" w:cs="Arial"/>
                <w:position w:val="-4"/>
              </w:rPr>
              <w:t>1</w:t>
            </w:r>
            <w:r w:rsidRPr="00880F9F">
              <w:rPr>
                <w:rFonts w:ascii="Arial" w:hAnsi="Arial" w:cs="Arial"/>
              </w:rPr>
              <w:t xml:space="preserve"> only = antagonizable but difficul</w:t>
            </w:r>
            <w:r w:rsidR="00265714">
              <w:rPr>
                <w:rFonts w:ascii="Arial" w:hAnsi="Arial" w:cs="Arial"/>
              </w:rPr>
              <w:t xml:space="preserve">t, drug dependent </w:t>
            </w:r>
            <w:r w:rsidRPr="00880F9F">
              <w:rPr>
                <w:rFonts w:ascii="Arial" w:hAnsi="Arial" w:cs="Arial"/>
              </w:rPr>
              <w:t>and takes 12-20 min</w:t>
            </w:r>
            <w:r w:rsidR="00265714">
              <w:rPr>
                <w:rFonts w:ascii="Arial" w:hAnsi="Arial" w:cs="Arial"/>
              </w:rPr>
              <w:t xml:space="preserve"> or longer</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T</w:t>
            </w:r>
            <w:r w:rsidRPr="00880F9F">
              <w:rPr>
                <w:rFonts w:ascii="Arial" w:hAnsi="Arial" w:cs="Arial"/>
                <w:position w:val="-4"/>
              </w:rPr>
              <w:t>1</w:t>
            </w:r>
            <w:r w:rsidRPr="00880F9F">
              <w:rPr>
                <w:rFonts w:ascii="Arial" w:hAnsi="Arial" w:cs="Arial"/>
              </w:rPr>
              <w:t>, T</w:t>
            </w:r>
            <w:r w:rsidRPr="00880F9F">
              <w:rPr>
                <w:rFonts w:ascii="Arial" w:hAnsi="Arial" w:cs="Arial"/>
                <w:position w:val="-4"/>
              </w:rPr>
              <w:t>2</w:t>
            </w:r>
            <w:r w:rsidRPr="00880F9F">
              <w:rPr>
                <w:rFonts w:ascii="Arial" w:hAnsi="Arial" w:cs="Arial"/>
              </w:rPr>
              <w:t xml:space="preserve"> present = </w:t>
            </w:r>
            <w:r w:rsidR="00265714">
              <w:rPr>
                <w:rFonts w:ascii="Arial" w:hAnsi="Arial" w:cs="Arial"/>
              </w:rPr>
              <w:t xml:space="preserve">not readily </w:t>
            </w:r>
            <w:r w:rsidRPr="00880F9F">
              <w:rPr>
                <w:rFonts w:ascii="Arial" w:hAnsi="Arial" w:cs="Arial"/>
              </w:rPr>
              <w:t>antagonizable</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T</w:t>
            </w:r>
            <w:r w:rsidRPr="00880F9F">
              <w:rPr>
                <w:rFonts w:ascii="Arial" w:hAnsi="Arial" w:cs="Arial"/>
                <w:position w:val="-4"/>
              </w:rPr>
              <w:t>1</w:t>
            </w:r>
            <w:r w:rsidRPr="00880F9F">
              <w:rPr>
                <w:rFonts w:ascii="Arial" w:hAnsi="Arial" w:cs="Arial"/>
              </w:rPr>
              <w:t>, T</w:t>
            </w:r>
            <w:r w:rsidRPr="00880F9F">
              <w:rPr>
                <w:rFonts w:ascii="Arial" w:hAnsi="Arial" w:cs="Arial"/>
                <w:position w:val="-4"/>
              </w:rPr>
              <w:t>2</w:t>
            </w:r>
            <w:r w:rsidRPr="00880F9F">
              <w:rPr>
                <w:rFonts w:ascii="Arial" w:hAnsi="Arial" w:cs="Arial"/>
              </w:rPr>
              <w:t>, T</w:t>
            </w:r>
            <w:r w:rsidRPr="00880F9F">
              <w:rPr>
                <w:rFonts w:ascii="Arial" w:hAnsi="Arial" w:cs="Arial"/>
                <w:position w:val="-4"/>
              </w:rPr>
              <w:t>3</w:t>
            </w:r>
            <w:r w:rsidRPr="00880F9F">
              <w:rPr>
                <w:rFonts w:ascii="Arial" w:hAnsi="Arial" w:cs="Arial"/>
              </w:rPr>
              <w:t xml:space="preserve"> or T</w:t>
            </w:r>
            <w:r w:rsidRPr="00880F9F">
              <w:rPr>
                <w:rFonts w:ascii="Arial" w:hAnsi="Arial" w:cs="Arial"/>
                <w:position w:val="-4"/>
              </w:rPr>
              <w:t>1</w:t>
            </w:r>
            <w:r w:rsidRPr="00880F9F">
              <w:rPr>
                <w:rFonts w:ascii="Arial" w:hAnsi="Arial" w:cs="Arial"/>
              </w:rPr>
              <w:t>, T</w:t>
            </w:r>
            <w:r w:rsidRPr="00880F9F">
              <w:rPr>
                <w:rFonts w:ascii="Arial" w:hAnsi="Arial" w:cs="Arial"/>
                <w:position w:val="-4"/>
              </w:rPr>
              <w:t>2</w:t>
            </w:r>
            <w:r w:rsidRPr="00880F9F">
              <w:rPr>
                <w:rFonts w:ascii="Arial" w:hAnsi="Arial" w:cs="Arial"/>
              </w:rPr>
              <w:t>, T</w:t>
            </w:r>
            <w:r w:rsidRPr="00880F9F">
              <w:rPr>
                <w:rFonts w:ascii="Arial" w:hAnsi="Arial" w:cs="Arial"/>
                <w:position w:val="-4"/>
              </w:rPr>
              <w:t xml:space="preserve">3, </w:t>
            </w:r>
            <w:r w:rsidRPr="00880F9F">
              <w:rPr>
                <w:rFonts w:ascii="Arial" w:hAnsi="Arial" w:cs="Arial"/>
              </w:rPr>
              <w:t>T</w:t>
            </w:r>
            <w:r w:rsidRPr="00880F9F">
              <w:rPr>
                <w:rFonts w:ascii="Arial" w:hAnsi="Arial" w:cs="Arial"/>
                <w:position w:val="-4"/>
              </w:rPr>
              <w:t>4</w:t>
            </w:r>
            <w:r w:rsidR="00265714">
              <w:rPr>
                <w:rFonts w:ascii="Arial" w:hAnsi="Arial" w:cs="Arial"/>
              </w:rPr>
              <w:t xml:space="preserve"> present = best situation</w:t>
            </w:r>
            <w:r w:rsidRPr="00880F9F">
              <w:rPr>
                <w:rFonts w:ascii="Arial" w:hAnsi="Arial" w:cs="Arial"/>
              </w:rPr>
              <w:t xml:space="preserve"> antagonizable</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7)</w:t>
            </w:r>
            <w:r w:rsidRPr="00880F9F">
              <w:rPr>
                <w:rFonts w:ascii="Arial" w:hAnsi="Arial" w:cs="Arial"/>
              </w:rPr>
              <w:tab/>
              <w:t>Detecting adequate reversal is difficult</w:t>
            </w:r>
            <w:r w:rsidR="00F87C3F">
              <w:rPr>
                <w:rFonts w:ascii="Arial" w:hAnsi="Arial" w:cs="Arial"/>
              </w:rPr>
              <w:t>:</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 xml:space="preserve">measured train-of-four best &gt; DBS "no fade" &gt; train-of-four "no fade"... others unreliable.  </w:t>
            </w:r>
            <w:r w:rsidR="00265714">
              <w:rPr>
                <w:rFonts w:ascii="Arial" w:hAnsi="Arial" w:cs="Arial"/>
              </w:rPr>
              <w:t>C</w:t>
            </w:r>
            <w:r w:rsidRPr="00880F9F">
              <w:rPr>
                <w:rFonts w:ascii="Arial" w:hAnsi="Arial" w:cs="Arial"/>
              </w:rPr>
              <w:t>linical criteria</w:t>
            </w:r>
            <w:r w:rsidR="00265714">
              <w:rPr>
                <w:rFonts w:ascii="Arial" w:hAnsi="Arial" w:cs="Arial"/>
              </w:rPr>
              <w:t xml:space="preserve"> such as </w:t>
            </w:r>
            <w:r w:rsidRPr="00880F9F">
              <w:rPr>
                <w:rFonts w:ascii="Arial" w:hAnsi="Arial" w:cs="Arial"/>
              </w:rPr>
              <w:t xml:space="preserve">sustained head-lift x 5 sec </w:t>
            </w:r>
            <w:r w:rsidR="00265714">
              <w:rPr>
                <w:rFonts w:ascii="Arial" w:hAnsi="Arial" w:cs="Arial"/>
              </w:rPr>
              <w:t>or sustained hand grasp x 5 sec are unreliable</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C.</w:t>
            </w:r>
            <w:r w:rsidRPr="00880F9F">
              <w:rPr>
                <w:rFonts w:ascii="Arial" w:hAnsi="Arial" w:cs="Arial"/>
              </w:rPr>
              <w:tab/>
            </w:r>
            <w:r w:rsidRPr="000B02E6">
              <w:rPr>
                <w:rFonts w:ascii="Arial" w:hAnsi="Arial" w:cs="Arial"/>
                <w:b/>
              </w:rPr>
              <w:t>Linkage #3</w:t>
            </w:r>
            <w:r w:rsidRPr="00880F9F">
              <w:rPr>
                <w:rFonts w:ascii="Arial" w:hAnsi="Arial" w:cs="Arial"/>
              </w:rPr>
              <w:t xml:space="preserve">:  Dosing of NDMR's </w:t>
            </w:r>
            <w:r w:rsidR="000B02E6">
              <w:rPr>
                <w:rFonts w:ascii="Arial" w:hAnsi="Arial" w:cs="Arial"/>
              </w:rPr>
              <w:t xml:space="preserve">is based on formula. </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u w:val="single"/>
              </w:rPr>
              <w:t>Principles of Dosing</w:t>
            </w:r>
            <w:r w:rsidRPr="00880F9F">
              <w:rPr>
                <w:rFonts w:ascii="Arial" w:hAnsi="Arial" w:cs="Arial"/>
              </w:rPr>
              <w:t>:</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1)</w:t>
            </w:r>
            <w:r w:rsidRPr="00880F9F">
              <w:rPr>
                <w:rFonts w:ascii="Arial" w:hAnsi="Arial" w:cs="Arial"/>
              </w:rPr>
              <w:tab/>
              <w:t>Need to know ED</w:t>
            </w:r>
            <w:r w:rsidRPr="00880F9F">
              <w:rPr>
                <w:rFonts w:ascii="Arial" w:hAnsi="Arial" w:cs="Arial"/>
                <w:position w:val="-4"/>
              </w:rPr>
              <w:t>95</w:t>
            </w:r>
            <w:r w:rsidRPr="00880F9F">
              <w:rPr>
                <w:rFonts w:ascii="Arial" w:hAnsi="Arial" w:cs="Arial"/>
              </w:rPr>
              <w:t>, onset time, dura</w:t>
            </w:r>
            <w:r w:rsidR="000B02E6">
              <w:rPr>
                <w:rFonts w:ascii="Arial" w:hAnsi="Arial" w:cs="Arial"/>
              </w:rPr>
              <w:t xml:space="preserve">tion of relaxation (Cis = 0.05 mg/kg; Roc </w:t>
            </w:r>
            <w:r w:rsidR="000B02E6">
              <w:rPr>
                <w:rFonts w:ascii="Arial" w:hAnsi="Arial" w:cs="Arial"/>
              </w:rPr>
              <w:lastRenderedPageBreak/>
              <w:t>=0.30 mg/kg)</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2)</w:t>
            </w:r>
            <w:r w:rsidRPr="00880F9F">
              <w:rPr>
                <w:rFonts w:ascii="Arial" w:hAnsi="Arial" w:cs="Arial"/>
              </w:rPr>
              <w:tab/>
              <w:t>Know when relaxation is needed (see B above)!</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3)</w:t>
            </w:r>
            <w:r w:rsidRPr="00880F9F">
              <w:rPr>
                <w:rFonts w:ascii="Arial" w:hAnsi="Arial" w:cs="Arial"/>
              </w:rPr>
              <w:tab/>
              <w:t>Give ED</w:t>
            </w:r>
            <w:r w:rsidRPr="00880F9F">
              <w:rPr>
                <w:rFonts w:ascii="Arial" w:hAnsi="Arial" w:cs="Arial"/>
                <w:position w:val="-4"/>
              </w:rPr>
              <w:t>95</w:t>
            </w:r>
            <w:r w:rsidR="000B02E6">
              <w:rPr>
                <w:rFonts w:ascii="Arial" w:hAnsi="Arial" w:cs="Arial"/>
              </w:rPr>
              <w:t xml:space="preserve"> x 2</w:t>
            </w:r>
            <w:r w:rsidRPr="00880F9F">
              <w:rPr>
                <w:rFonts w:ascii="Arial" w:hAnsi="Arial" w:cs="Arial"/>
              </w:rPr>
              <w:t xml:space="preserve"> initially (assuming patient already intubated using sux)</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4)</w:t>
            </w:r>
            <w:r w:rsidRPr="00880F9F">
              <w:rPr>
                <w:rFonts w:ascii="Arial" w:hAnsi="Arial" w:cs="Arial"/>
              </w:rPr>
              <w:tab/>
              <w:t>Wait duration of onset time, check train-of-four count</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5)</w:t>
            </w:r>
            <w:r w:rsidRPr="00880F9F">
              <w:rPr>
                <w:rFonts w:ascii="Arial" w:hAnsi="Arial" w:cs="Arial"/>
              </w:rPr>
              <w:tab/>
              <w:t>If train-of-four count &gt; 2 at onset time dose ED</w:t>
            </w:r>
            <w:r w:rsidRPr="00880F9F">
              <w:rPr>
                <w:rFonts w:ascii="Arial" w:hAnsi="Arial" w:cs="Arial"/>
                <w:position w:val="-4"/>
              </w:rPr>
              <w:t>95</w:t>
            </w:r>
            <w:r w:rsidRPr="00880F9F">
              <w:rPr>
                <w:rFonts w:ascii="Arial" w:hAnsi="Arial" w:cs="Arial"/>
              </w:rPr>
              <w:t xml:space="preserve"> x 1 again</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6)</w:t>
            </w:r>
            <w:r w:rsidRPr="00880F9F">
              <w:rPr>
                <w:rFonts w:ascii="Arial" w:hAnsi="Arial" w:cs="Arial"/>
              </w:rPr>
              <w:tab/>
              <w:t>Titrate drug to therapeutic window (</w:t>
            </w:r>
            <w:r w:rsidR="000B02E6">
              <w:rPr>
                <w:rFonts w:ascii="Arial" w:hAnsi="Arial" w:cs="Arial"/>
              </w:rPr>
              <w:t xml:space="preserve">0 - </w:t>
            </w:r>
            <w:r w:rsidRPr="00880F9F">
              <w:rPr>
                <w:rFonts w:ascii="Arial" w:hAnsi="Arial" w:cs="Arial"/>
              </w:rPr>
              <w:t>T</w:t>
            </w:r>
            <w:r w:rsidRPr="00880F9F">
              <w:rPr>
                <w:rFonts w:ascii="Arial" w:hAnsi="Arial" w:cs="Arial"/>
                <w:position w:val="-4"/>
              </w:rPr>
              <w:t>1</w:t>
            </w:r>
            <w:r w:rsidRPr="00880F9F">
              <w:rPr>
                <w:rFonts w:ascii="Arial" w:hAnsi="Arial" w:cs="Arial"/>
              </w:rPr>
              <w:t>-T</w:t>
            </w:r>
            <w:r w:rsidRPr="00880F9F">
              <w:rPr>
                <w:rFonts w:ascii="Arial" w:hAnsi="Arial" w:cs="Arial"/>
                <w:position w:val="-4"/>
              </w:rPr>
              <w:t>2</w:t>
            </w:r>
            <w:r w:rsidRPr="00880F9F">
              <w:rPr>
                <w:rFonts w:ascii="Arial" w:hAnsi="Arial" w:cs="Arial"/>
              </w:rPr>
              <w:t xml:space="preserve"> present only) during period of required relaxation</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7)</w:t>
            </w:r>
            <w:r w:rsidRPr="00880F9F">
              <w:rPr>
                <w:rFonts w:ascii="Arial" w:hAnsi="Arial" w:cs="Arial"/>
              </w:rPr>
              <w:tab/>
              <w:t>Allow as much recovery as possible prior to antagonism of block</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8)</w:t>
            </w:r>
            <w:r w:rsidRPr="00880F9F">
              <w:rPr>
                <w:rFonts w:ascii="Arial" w:hAnsi="Arial" w:cs="Arial"/>
              </w:rPr>
              <w:tab/>
              <w:t>Antagonize block with neostigmine 0.04-0.07 mg/kg</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rPr>
              <w:tab/>
              <w:t>glycopyrrolate 0.01 mg/kg</w:t>
            </w:r>
            <w:r w:rsidR="000B02E6">
              <w:rPr>
                <w:rFonts w:ascii="Arial" w:hAnsi="Arial" w:cs="Arial"/>
              </w:rPr>
              <w:t xml:space="preserve"> (see table 2)</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9)</w:t>
            </w:r>
            <w:r w:rsidRPr="00880F9F">
              <w:rPr>
                <w:rFonts w:ascii="Arial" w:hAnsi="Arial" w:cs="Arial"/>
              </w:rPr>
              <w:tab/>
              <w:t>Dosing principle:  when you have an unantagonizable block, the excess blood level of drug contributes to waste of drug</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10)</w:t>
            </w:r>
            <w:r w:rsidRPr="00880F9F">
              <w:rPr>
                <w:rFonts w:ascii="Arial" w:hAnsi="Arial" w:cs="Arial"/>
              </w:rPr>
              <w:tab/>
              <w:t>Use of volatile anesthetics reduce the requirement for neuromuscular blocking drugs in a dose-related fashion (1 MAC reduces ED</w:t>
            </w:r>
            <w:r w:rsidRPr="00880F9F">
              <w:rPr>
                <w:rFonts w:ascii="Arial" w:hAnsi="Arial" w:cs="Arial"/>
                <w:position w:val="-4"/>
              </w:rPr>
              <w:t>95</w:t>
            </w:r>
            <w:r w:rsidRPr="00880F9F">
              <w:rPr>
                <w:rFonts w:ascii="Arial" w:hAnsi="Arial" w:cs="Arial"/>
              </w:rPr>
              <w:t xml:space="preserve"> by approx 1/3)</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D.</w:t>
            </w:r>
            <w:r w:rsidRPr="00880F9F">
              <w:rPr>
                <w:rFonts w:ascii="Arial" w:hAnsi="Arial" w:cs="Arial"/>
              </w:rPr>
              <w:tab/>
            </w:r>
            <w:r w:rsidRPr="000B02E6">
              <w:rPr>
                <w:rFonts w:ascii="Arial" w:hAnsi="Arial" w:cs="Arial"/>
                <w:b/>
              </w:rPr>
              <w:t>Linkage #4</w:t>
            </w:r>
            <w:r w:rsidRPr="00880F9F">
              <w:rPr>
                <w:rFonts w:ascii="Arial" w:hAnsi="Arial" w:cs="Arial"/>
              </w:rPr>
              <w:t>:  Drug selection can be effectively guided by an al</w:t>
            </w:r>
            <w:r w:rsidR="000B02E6">
              <w:rPr>
                <w:rFonts w:ascii="Arial" w:hAnsi="Arial" w:cs="Arial"/>
              </w:rPr>
              <w:t>gorithm (see algorithm/ Table 1</w:t>
            </w:r>
            <w:r w:rsidRPr="00880F9F">
              <w:rPr>
                <w:rFonts w:ascii="Arial" w:hAnsi="Arial" w:cs="Arial"/>
              </w:rPr>
              <w:t>).</w:t>
            </w:r>
          </w:p>
          <w:p w:rsidR="004A0C14" w:rsidRPr="00880F9F" w:rsidRDefault="004A0C14" w:rsidP="00F97DF9">
            <w:pPr>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r>
            <w:r w:rsidRPr="00880F9F">
              <w:rPr>
                <w:rFonts w:ascii="Arial" w:hAnsi="Arial" w:cs="Arial"/>
                <w:u w:val="single"/>
              </w:rPr>
              <w:t>Drug Selection Criteria</w:t>
            </w:r>
          </w:p>
          <w:p w:rsidR="004A0C14" w:rsidRPr="00880F9F" w:rsidRDefault="004A0C14" w:rsidP="00F97DF9">
            <w:pPr>
              <w:tabs>
                <w:tab w:val="left" w:pos="360"/>
              </w:tabs>
              <w:ind w:left="543" w:right="162" w:hanging="360"/>
              <w:rPr>
                <w:rFonts w:ascii="Arial" w:hAnsi="Arial" w:cs="Arial"/>
              </w:rPr>
            </w:pPr>
          </w:p>
          <w:p w:rsidR="004A0C14" w:rsidRPr="00880F9F" w:rsidRDefault="004A0C14" w:rsidP="00F97DF9">
            <w:pPr>
              <w:ind w:left="543" w:right="162" w:hanging="360"/>
              <w:rPr>
                <w:rFonts w:ascii="Arial" w:hAnsi="Arial" w:cs="Arial"/>
              </w:rPr>
            </w:pPr>
            <w:r w:rsidRPr="00880F9F">
              <w:rPr>
                <w:rFonts w:ascii="Arial" w:hAnsi="Arial" w:cs="Arial"/>
              </w:rPr>
              <w:tab/>
              <w:t>General principle:  In the elderly, or those with impaired renal function, and/or complicated metabolic/electrolyte profile a drug which is independent of organ (kidney or liver) elimination is preferable (cisatracurium).</w:t>
            </w:r>
          </w:p>
          <w:p w:rsidR="004A0C14" w:rsidRPr="00880F9F" w:rsidRDefault="004A0C14" w:rsidP="00F97DF9">
            <w:pPr>
              <w:tabs>
                <w:tab w:val="left" w:pos="360"/>
              </w:tabs>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Background information:  Drug selection based on following criteria:</w:t>
            </w:r>
          </w:p>
          <w:p w:rsidR="004A0C14" w:rsidRPr="00880F9F" w:rsidRDefault="004A0C14" w:rsidP="00F97DF9">
            <w:pPr>
              <w:tabs>
                <w:tab w:val="left" w:pos="360"/>
              </w:tabs>
              <w:ind w:left="543" w:right="162" w:hanging="360"/>
              <w:rPr>
                <w:rFonts w:ascii="Arial" w:hAnsi="Arial" w:cs="Arial"/>
              </w:rPr>
            </w:pP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tab/>
              <w:t>1)</w:t>
            </w:r>
            <w:r w:rsidRPr="00880F9F">
              <w:rPr>
                <w:rFonts w:ascii="Arial" w:hAnsi="Arial" w:cs="Arial"/>
              </w:rPr>
              <w:tab/>
              <w:t>Patient criteria:</w:t>
            </w:r>
            <w:r w:rsidR="000B02E6">
              <w:rPr>
                <w:rFonts w:ascii="Arial" w:hAnsi="Arial" w:cs="Arial"/>
              </w:rPr>
              <w:t xml:space="preserve">  Age, renal function</w:t>
            </w:r>
          </w:p>
          <w:p w:rsidR="004A0C14" w:rsidRPr="00880F9F" w:rsidRDefault="004A0C14" w:rsidP="00F97DF9">
            <w:pPr>
              <w:tabs>
                <w:tab w:val="left" w:pos="360"/>
              </w:tabs>
              <w:ind w:left="543" w:right="162" w:hanging="360"/>
              <w:rPr>
                <w:rFonts w:ascii="Arial" w:hAnsi="Arial" w:cs="Arial"/>
              </w:rPr>
            </w:pPr>
            <w:r w:rsidRPr="00880F9F">
              <w:rPr>
                <w:rFonts w:ascii="Arial" w:hAnsi="Arial" w:cs="Arial"/>
              </w:rPr>
              <w:lastRenderedPageBreak/>
              <w:tab/>
              <w:t>2)</w:t>
            </w:r>
            <w:r w:rsidRPr="00880F9F">
              <w:rPr>
                <w:rFonts w:ascii="Arial" w:hAnsi="Arial" w:cs="Arial"/>
              </w:rPr>
              <w:tab/>
              <w:t>Indication of rapid sequen</w:t>
            </w:r>
            <w:r w:rsidR="000B02E6">
              <w:rPr>
                <w:rFonts w:ascii="Arial" w:hAnsi="Arial" w:cs="Arial"/>
              </w:rPr>
              <w:t xml:space="preserve">ce when sux contraindicated </w:t>
            </w:r>
          </w:p>
          <w:p w:rsidR="004A0C14" w:rsidRPr="00880F9F" w:rsidRDefault="004A0C14" w:rsidP="00F87C3F">
            <w:pPr>
              <w:tabs>
                <w:tab w:val="left" w:pos="360"/>
              </w:tabs>
              <w:ind w:left="543" w:right="162" w:hanging="360"/>
              <w:rPr>
                <w:rFonts w:ascii="Arial" w:hAnsi="Arial" w:cs="Arial"/>
              </w:rPr>
            </w:pPr>
            <w:r w:rsidRPr="00880F9F">
              <w:rPr>
                <w:rFonts w:ascii="Arial" w:hAnsi="Arial" w:cs="Arial"/>
              </w:rPr>
              <w:tab/>
              <w:t>3)</w:t>
            </w:r>
            <w:r w:rsidRPr="00880F9F">
              <w:rPr>
                <w:rFonts w:ascii="Arial" w:hAnsi="Arial" w:cs="Arial"/>
              </w:rPr>
              <w:tab/>
              <w:t>Case duration c</w:t>
            </w:r>
            <w:r w:rsidR="000B02E6">
              <w:rPr>
                <w:rFonts w:ascii="Arial" w:hAnsi="Arial" w:cs="Arial"/>
              </w:rPr>
              <w:t xml:space="preserve">riteria; includes wt. </w:t>
            </w:r>
          </w:p>
          <w:p w:rsidR="004A0C14" w:rsidRPr="00880F9F" w:rsidRDefault="00F87C3F" w:rsidP="00F97DF9">
            <w:pPr>
              <w:tabs>
                <w:tab w:val="left" w:pos="360"/>
              </w:tabs>
              <w:ind w:left="543" w:right="162" w:hanging="360"/>
              <w:rPr>
                <w:rFonts w:ascii="Arial" w:hAnsi="Arial" w:cs="Arial"/>
              </w:rPr>
            </w:pPr>
            <w:r>
              <w:rPr>
                <w:rFonts w:ascii="Arial" w:hAnsi="Arial" w:cs="Arial"/>
              </w:rPr>
              <w:tab/>
              <w:t>4</w:t>
            </w:r>
            <w:r w:rsidR="004A0C14" w:rsidRPr="00880F9F">
              <w:rPr>
                <w:rFonts w:ascii="Arial" w:hAnsi="Arial" w:cs="Arial"/>
              </w:rPr>
              <w:t>)</w:t>
            </w:r>
            <w:r w:rsidR="004A0C14" w:rsidRPr="00880F9F">
              <w:rPr>
                <w:rFonts w:ascii="Arial" w:hAnsi="Arial" w:cs="Arial"/>
              </w:rPr>
              <w:tab/>
              <w:t>Liver disease is not considered a clinically meaningful selection criteria.  If severe liver disease, cisatracurium is probably best.</w:t>
            </w:r>
          </w:p>
          <w:p w:rsidR="004A0C14" w:rsidRPr="00880F9F" w:rsidRDefault="00F87C3F" w:rsidP="00F97DF9">
            <w:pPr>
              <w:tabs>
                <w:tab w:val="left" w:pos="360"/>
              </w:tabs>
              <w:ind w:left="543" w:right="162" w:hanging="360"/>
              <w:rPr>
                <w:rFonts w:ascii="Arial" w:hAnsi="Arial" w:cs="Arial"/>
              </w:rPr>
            </w:pPr>
            <w:r>
              <w:rPr>
                <w:rFonts w:ascii="Arial" w:hAnsi="Arial" w:cs="Arial"/>
              </w:rPr>
              <w:tab/>
              <w:t>5</w:t>
            </w:r>
            <w:r w:rsidR="004A0C14" w:rsidRPr="00880F9F">
              <w:rPr>
                <w:rFonts w:ascii="Arial" w:hAnsi="Arial" w:cs="Arial"/>
              </w:rPr>
              <w:t>)</w:t>
            </w:r>
            <w:r w:rsidR="004A0C14" w:rsidRPr="00880F9F">
              <w:rPr>
                <w:rFonts w:ascii="Arial" w:hAnsi="Arial" w:cs="Arial"/>
              </w:rPr>
              <w:tab/>
              <w:t xml:space="preserve">Potential cardiovascular effects are not considered a clinically meaningful </w:t>
            </w:r>
            <w:r w:rsidR="004A0C14" w:rsidRPr="00880F9F">
              <w:rPr>
                <w:rFonts w:ascii="Arial" w:hAnsi="Arial" w:cs="Arial"/>
                <w:b/>
              </w:rPr>
              <w:t>drug selection</w:t>
            </w:r>
            <w:r w:rsidR="004A0C14" w:rsidRPr="00880F9F">
              <w:rPr>
                <w:rFonts w:ascii="Arial" w:hAnsi="Arial" w:cs="Arial"/>
              </w:rPr>
              <w:t xml:space="preserve"> criteria.  Please note however, it is an important dosing consideration.</w:t>
            </w:r>
          </w:p>
          <w:p w:rsidR="004A0C14" w:rsidRPr="00F87C3F" w:rsidRDefault="004A0C14" w:rsidP="00F87C3F">
            <w:pPr>
              <w:spacing w:before="120"/>
              <w:ind w:left="543" w:right="162" w:hanging="360"/>
              <w:rPr>
                <w:rFonts w:ascii="Arial" w:hAnsi="Arial" w:cs="Arial"/>
                <w:b/>
                <w:u w:val="single"/>
              </w:rPr>
            </w:pPr>
            <w:r w:rsidRPr="00880F9F">
              <w:rPr>
                <w:rFonts w:ascii="Arial" w:hAnsi="Arial" w:cs="Arial"/>
              </w:rPr>
              <w:tab/>
            </w:r>
          </w:p>
          <w:p w:rsidR="004A0C14" w:rsidRPr="00880F9F" w:rsidRDefault="004A0C14" w:rsidP="00F97DF9">
            <w:pPr>
              <w:ind w:left="543" w:right="162" w:hanging="360"/>
              <w:rPr>
                <w:rFonts w:ascii="Arial" w:hAnsi="Arial" w:cs="Arial"/>
              </w:rPr>
            </w:pPr>
            <w:r w:rsidRPr="00880F9F">
              <w:rPr>
                <w:rFonts w:ascii="Arial" w:hAnsi="Arial" w:cs="Arial"/>
              </w:rPr>
              <w:t>E.</w:t>
            </w:r>
            <w:r w:rsidRPr="00880F9F">
              <w:rPr>
                <w:rFonts w:ascii="Arial" w:hAnsi="Arial" w:cs="Arial"/>
              </w:rPr>
              <w:tab/>
            </w:r>
            <w:r w:rsidRPr="00880F9F">
              <w:rPr>
                <w:rFonts w:ascii="Arial" w:hAnsi="Arial" w:cs="Arial"/>
                <w:u w:val="single"/>
              </w:rPr>
              <w:t>General Drug Selection Guideline</w:t>
            </w:r>
            <w:r w:rsidRPr="00880F9F">
              <w:rPr>
                <w:rFonts w:ascii="Arial" w:hAnsi="Arial" w:cs="Arial"/>
              </w:rPr>
              <w:t>s:</w:t>
            </w:r>
          </w:p>
          <w:p w:rsidR="004A0C14" w:rsidRPr="00880F9F" w:rsidRDefault="00F87C3F" w:rsidP="00F87C3F">
            <w:pPr>
              <w:tabs>
                <w:tab w:val="left" w:pos="360"/>
              </w:tabs>
              <w:ind w:right="162"/>
              <w:rPr>
                <w:rFonts w:ascii="Arial" w:hAnsi="Arial" w:cs="Arial"/>
              </w:rPr>
            </w:pPr>
            <w:r>
              <w:rPr>
                <w:rFonts w:ascii="Arial" w:hAnsi="Arial" w:cs="Arial"/>
              </w:rPr>
              <w:t xml:space="preserve">  </w:t>
            </w:r>
            <w:r w:rsidR="004A0C14" w:rsidRPr="00880F9F">
              <w:rPr>
                <w:rFonts w:ascii="Arial" w:hAnsi="Arial" w:cs="Arial"/>
                <w:u w:val="single"/>
              </w:rPr>
              <w:t>Cisatracurium</w:t>
            </w:r>
            <w:r>
              <w:rPr>
                <w:rFonts w:ascii="Arial" w:hAnsi="Arial" w:cs="Arial"/>
              </w:rPr>
              <w:t xml:space="preserve"> </w:t>
            </w:r>
          </w:p>
          <w:p w:rsidR="004A0C14" w:rsidRPr="00880F9F" w:rsidRDefault="004A0C14" w:rsidP="00F97DF9">
            <w:pPr>
              <w:numPr>
                <w:ilvl w:val="0"/>
                <w:numId w:val="19"/>
              </w:numPr>
              <w:ind w:left="543" w:right="162"/>
              <w:rPr>
                <w:rFonts w:ascii="Arial" w:hAnsi="Arial" w:cs="Arial"/>
              </w:rPr>
            </w:pPr>
            <w:r w:rsidRPr="00880F9F">
              <w:rPr>
                <w:rFonts w:ascii="Arial" w:hAnsi="Arial" w:cs="Arial"/>
              </w:rPr>
              <w:t>presence of renal failure</w:t>
            </w:r>
          </w:p>
          <w:p w:rsidR="004A0C14" w:rsidRPr="00880F9F" w:rsidRDefault="004A0C14" w:rsidP="00F97DF9">
            <w:pPr>
              <w:numPr>
                <w:ilvl w:val="0"/>
                <w:numId w:val="19"/>
              </w:numPr>
              <w:ind w:left="543" w:right="162"/>
              <w:rPr>
                <w:rFonts w:ascii="Arial" w:hAnsi="Arial" w:cs="Arial"/>
              </w:rPr>
            </w:pPr>
            <w:r w:rsidRPr="00880F9F">
              <w:rPr>
                <w:rFonts w:ascii="Arial" w:hAnsi="Arial" w:cs="Arial"/>
              </w:rPr>
              <w:t>&gt; 70 years old</w:t>
            </w:r>
          </w:p>
          <w:p w:rsidR="004A0C14" w:rsidRPr="00880F9F" w:rsidRDefault="004A0C14" w:rsidP="00F97DF9">
            <w:pPr>
              <w:numPr>
                <w:ilvl w:val="0"/>
                <w:numId w:val="19"/>
              </w:numPr>
              <w:ind w:left="543" w:right="162"/>
              <w:rPr>
                <w:rFonts w:ascii="Arial" w:hAnsi="Arial" w:cs="Arial"/>
              </w:rPr>
            </w:pPr>
            <w:r w:rsidRPr="00880F9F">
              <w:rPr>
                <w:rFonts w:ascii="Arial" w:hAnsi="Arial" w:cs="Arial"/>
              </w:rPr>
              <w:t>when complete reversal of NMB is absolutely essential at end of case</w:t>
            </w:r>
          </w:p>
          <w:p w:rsidR="004A0C14" w:rsidRPr="00880F9F" w:rsidRDefault="004A0C14" w:rsidP="00F97DF9">
            <w:pPr>
              <w:numPr>
                <w:ilvl w:val="12"/>
                <w:numId w:val="0"/>
              </w:numPr>
              <w:ind w:left="543" w:right="162" w:hanging="360"/>
              <w:rPr>
                <w:rFonts w:ascii="Arial" w:hAnsi="Arial" w:cs="Arial"/>
              </w:rPr>
            </w:pPr>
            <w:r w:rsidRPr="00880F9F">
              <w:rPr>
                <w:rFonts w:ascii="Arial" w:hAnsi="Arial" w:cs="Arial"/>
              </w:rPr>
              <w:t>e.g. full stomach, morbid obesity, difficult airway, etc. (see chart #1)</w:t>
            </w:r>
          </w:p>
          <w:p w:rsidR="004A0C14" w:rsidRPr="00880F9F" w:rsidRDefault="004A0C14" w:rsidP="00F97DF9">
            <w:pPr>
              <w:numPr>
                <w:ilvl w:val="0"/>
                <w:numId w:val="19"/>
              </w:numPr>
              <w:ind w:left="543" w:right="162"/>
              <w:rPr>
                <w:rFonts w:ascii="Arial" w:hAnsi="Arial" w:cs="Arial"/>
              </w:rPr>
            </w:pPr>
            <w:r w:rsidRPr="00880F9F">
              <w:rPr>
                <w:rFonts w:ascii="Arial" w:hAnsi="Arial" w:cs="Arial"/>
              </w:rPr>
              <w:t>duration of case 35</w:t>
            </w:r>
            <w:r w:rsidR="000B02E6">
              <w:rPr>
                <w:rFonts w:ascii="Arial" w:hAnsi="Arial" w:cs="Arial"/>
              </w:rPr>
              <w:t xml:space="preserve">-60 or more </w:t>
            </w:r>
            <w:r w:rsidRPr="00880F9F">
              <w:rPr>
                <w:rFonts w:ascii="Arial" w:hAnsi="Arial" w:cs="Arial"/>
              </w:rPr>
              <w:t>minutes</w:t>
            </w:r>
          </w:p>
          <w:p w:rsidR="004A0C14" w:rsidRPr="00880F9F" w:rsidRDefault="004A0C14" w:rsidP="00F87C3F">
            <w:pPr>
              <w:ind w:right="162"/>
              <w:rPr>
                <w:rFonts w:ascii="Arial" w:hAnsi="Arial" w:cs="Arial"/>
              </w:rPr>
            </w:pPr>
          </w:p>
          <w:p w:rsidR="004A0C14" w:rsidRPr="00880F9F" w:rsidRDefault="004A0C14" w:rsidP="00F97DF9">
            <w:pPr>
              <w:ind w:left="543" w:right="162" w:hanging="360"/>
              <w:rPr>
                <w:rFonts w:ascii="Arial" w:hAnsi="Arial" w:cs="Arial"/>
              </w:rPr>
            </w:pPr>
            <w:r w:rsidRPr="00880F9F">
              <w:rPr>
                <w:rFonts w:ascii="Arial" w:hAnsi="Arial" w:cs="Arial"/>
                <w:u w:val="single"/>
              </w:rPr>
              <w:t>Rocuronium</w:t>
            </w:r>
            <w:r w:rsidR="00F87C3F">
              <w:rPr>
                <w:rFonts w:ascii="Arial" w:hAnsi="Arial" w:cs="Arial"/>
              </w:rPr>
              <w:t xml:space="preserve"> </w:t>
            </w:r>
          </w:p>
          <w:p w:rsidR="004A0C14" w:rsidRDefault="000B02E6" w:rsidP="00F97DF9">
            <w:pPr>
              <w:numPr>
                <w:ilvl w:val="0"/>
                <w:numId w:val="20"/>
              </w:numPr>
              <w:ind w:left="543" w:right="162"/>
              <w:rPr>
                <w:rFonts w:ascii="Arial" w:hAnsi="Arial" w:cs="Arial"/>
              </w:rPr>
            </w:pPr>
            <w:r>
              <w:rPr>
                <w:rFonts w:ascii="Arial" w:hAnsi="Arial" w:cs="Arial"/>
              </w:rPr>
              <w:t xml:space="preserve">for rapid onset </w:t>
            </w:r>
            <w:r w:rsidR="004A0C14" w:rsidRPr="00880F9F">
              <w:rPr>
                <w:rFonts w:ascii="Arial" w:hAnsi="Arial" w:cs="Arial"/>
              </w:rPr>
              <w:t>when succinylcholine is contraindicated</w:t>
            </w:r>
          </w:p>
          <w:p w:rsidR="000B02E6" w:rsidRPr="00880F9F" w:rsidRDefault="000B02E6" w:rsidP="00F97DF9">
            <w:pPr>
              <w:numPr>
                <w:ilvl w:val="0"/>
                <w:numId w:val="20"/>
              </w:numPr>
              <w:ind w:left="543" w:right="162"/>
              <w:rPr>
                <w:rFonts w:ascii="Arial" w:hAnsi="Arial" w:cs="Arial"/>
              </w:rPr>
            </w:pPr>
            <w:r>
              <w:rPr>
                <w:rFonts w:ascii="Arial" w:hAnsi="Arial" w:cs="Arial"/>
              </w:rPr>
              <w:t>for short cases (give 0.35 mg/kg once)</w:t>
            </w:r>
          </w:p>
          <w:p w:rsidR="004A0C14" w:rsidRPr="00880F9F" w:rsidRDefault="004A0C14" w:rsidP="000B02E6">
            <w:pPr>
              <w:ind w:right="162"/>
              <w:rPr>
                <w:rFonts w:ascii="Arial" w:hAnsi="Arial" w:cs="Arial"/>
              </w:rPr>
            </w:pPr>
          </w:p>
          <w:p w:rsidR="004A0C14" w:rsidRPr="00880F9F" w:rsidRDefault="004A0C14" w:rsidP="00F97DF9">
            <w:pPr>
              <w:ind w:left="543" w:right="162" w:hanging="360"/>
              <w:rPr>
                <w:rFonts w:ascii="Arial" w:hAnsi="Arial" w:cs="Arial"/>
              </w:rPr>
            </w:pPr>
          </w:p>
          <w:p w:rsidR="004A0C14" w:rsidRPr="00880F9F" w:rsidRDefault="004A0C14" w:rsidP="00F97DF9">
            <w:pPr>
              <w:ind w:left="543" w:right="162" w:hanging="360"/>
              <w:rPr>
                <w:rFonts w:ascii="Arial" w:hAnsi="Arial" w:cs="Arial"/>
              </w:rPr>
            </w:pPr>
            <w:r w:rsidRPr="00880F9F">
              <w:rPr>
                <w:rFonts w:ascii="Arial" w:hAnsi="Arial" w:cs="Arial"/>
              </w:rPr>
              <w:t>F.</w:t>
            </w:r>
            <w:r w:rsidRPr="00880F9F">
              <w:rPr>
                <w:rFonts w:ascii="Arial" w:hAnsi="Arial" w:cs="Arial"/>
              </w:rPr>
              <w:tab/>
            </w:r>
            <w:r w:rsidRPr="000B02E6">
              <w:rPr>
                <w:rFonts w:ascii="Arial" w:hAnsi="Arial" w:cs="Arial"/>
                <w:b/>
              </w:rPr>
              <w:t>Linkage #5</w:t>
            </w:r>
            <w:r w:rsidRPr="00880F9F">
              <w:rPr>
                <w:rFonts w:ascii="Arial" w:hAnsi="Arial" w:cs="Arial"/>
              </w:rPr>
              <w:t xml:space="preserve"> Antagonism of Neuromuscular Blockade can be guided by algorithm </w:t>
            </w:r>
            <w:r w:rsidR="00266F50">
              <w:rPr>
                <w:rFonts w:ascii="Arial" w:hAnsi="Arial" w:cs="Arial"/>
              </w:rPr>
              <w:t xml:space="preserve">(see Table 2) </w:t>
            </w:r>
            <w:r w:rsidRPr="00880F9F">
              <w:rPr>
                <w:rFonts w:ascii="Arial" w:hAnsi="Arial" w:cs="Arial"/>
              </w:rPr>
              <w:t>following 6 basic principles:</w:t>
            </w:r>
          </w:p>
          <w:p w:rsidR="004A0C14" w:rsidRPr="00880F9F" w:rsidRDefault="004A0C14" w:rsidP="00F97DF9">
            <w:pPr>
              <w:ind w:left="543" w:right="162" w:hanging="360"/>
              <w:rPr>
                <w:rFonts w:ascii="Arial" w:hAnsi="Arial" w:cs="Arial"/>
              </w:rPr>
            </w:pPr>
            <w:r w:rsidRPr="00880F9F">
              <w:rPr>
                <w:rFonts w:ascii="Arial" w:hAnsi="Arial" w:cs="Arial"/>
              </w:rPr>
              <w:t>1)</w:t>
            </w:r>
            <w:r w:rsidRPr="00880F9F">
              <w:rPr>
                <w:rFonts w:ascii="Arial" w:hAnsi="Arial" w:cs="Arial"/>
              </w:rPr>
              <w:tab/>
              <w:t>No t</w:t>
            </w:r>
            <w:r w:rsidR="00BC373F">
              <w:rPr>
                <w:rFonts w:ascii="Arial" w:hAnsi="Arial" w:cs="Arial"/>
              </w:rPr>
              <w:t>witches present in the T.O.F. c</w:t>
            </w:r>
            <w:r w:rsidRPr="00880F9F">
              <w:rPr>
                <w:rFonts w:ascii="Arial" w:hAnsi="Arial" w:cs="Arial"/>
              </w:rPr>
              <w:t>ount represents an</w:t>
            </w:r>
            <w:r w:rsidR="000B02E6">
              <w:rPr>
                <w:rFonts w:ascii="Arial" w:hAnsi="Arial" w:cs="Arial"/>
              </w:rPr>
              <w:t>d unantagonizable block</w:t>
            </w:r>
          </w:p>
          <w:p w:rsidR="004A0C14" w:rsidRPr="00880F9F" w:rsidRDefault="004A0C14" w:rsidP="000B02E6">
            <w:pPr>
              <w:ind w:left="543" w:right="162" w:hanging="360"/>
              <w:rPr>
                <w:rFonts w:ascii="Arial" w:hAnsi="Arial" w:cs="Arial"/>
              </w:rPr>
            </w:pPr>
            <w:r w:rsidRPr="00880F9F">
              <w:rPr>
                <w:rFonts w:ascii="Arial" w:hAnsi="Arial" w:cs="Arial"/>
              </w:rPr>
              <w:t>2)</w:t>
            </w:r>
            <w:r w:rsidRPr="00880F9F">
              <w:rPr>
                <w:rFonts w:ascii="Arial" w:hAnsi="Arial" w:cs="Arial"/>
              </w:rPr>
              <w:tab/>
              <w:t>Deeper blocks (e.g. T</w:t>
            </w:r>
            <w:r w:rsidRPr="00880F9F">
              <w:rPr>
                <w:rFonts w:ascii="Arial" w:hAnsi="Arial" w:cs="Arial"/>
                <w:position w:val="-4"/>
              </w:rPr>
              <w:t>1</w:t>
            </w:r>
            <w:r w:rsidRPr="00880F9F">
              <w:rPr>
                <w:rFonts w:ascii="Arial" w:hAnsi="Arial" w:cs="Arial"/>
              </w:rPr>
              <w:t xml:space="preserve"> only present) are more difficult to antagonize than blocks where T</w:t>
            </w:r>
            <w:r w:rsidRPr="00880F9F">
              <w:rPr>
                <w:rFonts w:ascii="Arial" w:hAnsi="Arial" w:cs="Arial"/>
                <w:position w:val="-4"/>
              </w:rPr>
              <w:t>2</w:t>
            </w:r>
            <w:r w:rsidRPr="00880F9F">
              <w:rPr>
                <w:rFonts w:ascii="Arial" w:hAnsi="Arial" w:cs="Arial"/>
              </w:rPr>
              <w:t>, T</w:t>
            </w:r>
            <w:r w:rsidRPr="00880F9F">
              <w:rPr>
                <w:rFonts w:ascii="Arial" w:hAnsi="Arial" w:cs="Arial"/>
                <w:position w:val="-4"/>
              </w:rPr>
              <w:t>3</w:t>
            </w:r>
            <w:r w:rsidRPr="00880F9F">
              <w:rPr>
                <w:rFonts w:ascii="Arial" w:hAnsi="Arial" w:cs="Arial"/>
              </w:rPr>
              <w:t xml:space="preserve"> or T</w:t>
            </w:r>
            <w:r w:rsidRPr="00880F9F">
              <w:rPr>
                <w:rFonts w:ascii="Arial" w:hAnsi="Arial" w:cs="Arial"/>
                <w:position w:val="-4"/>
              </w:rPr>
              <w:t>4</w:t>
            </w:r>
            <w:r w:rsidRPr="00880F9F">
              <w:rPr>
                <w:rFonts w:ascii="Arial" w:hAnsi="Arial" w:cs="Arial"/>
              </w:rPr>
              <w:t xml:space="preserve"> twitches are pre</w:t>
            </w:r>
            <w:r w:rsidR="000B02E6">
              <w:rPr>
                <w:rFonts w:ascii="Arial" w:hAnsi="Arial" w:cs="Arial"/>
              </w:rPr>
              <w:t xml:space="preserve">sent in T.O.F. Count  </w:t>
            </w:r>
            <w:r w:rsidR="00265714">
              <w:rPr>
                <w:rFonts w:ascii="Arial" w:hAnsi="Arial" w:cs="Arial"/>
              </w:rPr>
              <w:t>T4 present with no fade is best</w:t>
            </w:r>
          </w:p>
          <w:p w:rsidR="004A0C14" w:rsidRPr="00880F9F" w:rsidRDefault="000B02E6" w:rsidP="00F97DF9">
            <w:pPr>
              <w:ind w:left="543" w:right="162" w:hanging="360"/>
              <w:rPr>
                <w:rFonts w:ascii="Arial" w:hAnsi="Arial" w:cs="Arial"/>
              </w:rPr>
            </w:pPr>
            <w:r>
              <w:rPr>
                <w:rFonts w:ascii="Arial" w:hAnsi="Arial" w:cs="Arial"/>
              </w:rPr>
              <w:t>3</w:t>
            </w:r>
            <w:r w:rsidR="004A0C14" w:rsidRPr="00880F9F">
              <w:rPr>
                <w:rFonts w:ascii="Arial" w:hAnsi="Arial" w:cs="Arial"/>
              </w:rPr>
              <w:t>)</w:t>
            </w:r>
            <w:r w:rsidR="004A0C14" w:rsidRPr="00880F9F">
              <w:rPr>
                <w:rFonts w:ascii="Arial" w:hAnsi="Arial" w:cs="Arial"/>
              </w:rPr>
              <w:tab/>
              <w:t xml:space="preserve">Neostigmine is more effective </w:t>
            </w:r>
            <w:r>
              <w:rPr>
                <w:rFonts w:ascii="Arial" w:hAnsi="Arial" w:cs="Arial"/>
              </w:rPr>
              <w:t xml:space="preserve">than edrophonium </w:t>
            </w:r>
            <w:r w:rsidR="004A0C14" w:rsidRPr="00880F9F">
              <w:rPr>
                <w:rFonts w:ascii="Arial" w:hAnsi="Arial" w:cs="Arial"/>
              </w:rPr>
              <w:t>in antagon</w:t>
            </w:r>
            <w:r>
              <w:rPr>
                <w:rFonts w:ascii="Arial" w:hAnsi="Arial" w:cs="Arial"/>
              </w:rPr>
              <w:t xml:space="preserve">izing deep blocks </w:t>
            </w:r>
          </w:p>
          <w:p w:rsidR="004A0C14" w:rsidRPr="00880F9F" w:rsidRDefault="00266F50" w:rsidP="00F97DF9">
            <w:pPr>
              <w:ind w:left="543" w:right="162" w:hanging="360"/>
              <w:rPr>
                <w:rFonts w:ascii="Arial" w:hAnsi="Arial" w:cs="Arial"/>
              </w:rPr>
            </w:pPr>
            <w:r>
              <w:rPr>
                <w:rFonts w:ascii="Arial" w:hAnsi="Arial" w:cs="Arial"/>
              </w:rPr>
              <w:lastRenderedPageBreak/>
              <w:t>4</w:t>
            </w:r>
            <w:r w:rsidR="00BC373F">
              <w:rPr>
                <w:rFonts w:ascii="Arial" w:hAnsi="Arial" w:cs="Arial"/>
              </w:rPr>
              <w:t>)</w:t>
            </w:r>
            <w:r w:rsidR="00BC373F">
              <w:rPr>
                <w:rFonts w:ascii="Arial" w:hAnsi="Arial" w:cs="Arial"/>
              </w:rPr>
              <w:tab/>
              <w:t>Adequate restoration of neuromuscular function occurs when the quantitative T.O.F. Ratio is &gt; 0.9. C</w:t>
            </w:r>
            <w:r w:rsidR="000B02E6">
              <w:rPr>
                <w:rFonts w:ascii="Arial" w:hAnsi="Arial" w:cs="Arial"/>
              </w:rPr>
              <w:t xml:space="preserve">linical </w:t>
            </w:r>
            <w:r w:rsidR="004A0C14" w:rsidRPr="00880F9F">
              <w:rPr>
                <w:rFonts w:ascii="Arial" w:hAnsi="Arial" w:cs="Arial"/>
              </w:rPr>
              <w:t>signs of adequate restoration of neuromusc</w:t>
            </w:r>
            <w:r w:rsidR="000B02E6">
              <w:rPr>
                <w:rFonts w:ascii="Arial" w:hAnsi="Arial" w:cs="Arial"/>
              </w:rPr>
              <w:t>ular function are</w:t>
            </w:r>
            <w:r w:rsidR="00265714">
              <w:rPr>
                <w:rFonts w:ascii="Arial" w:hAnsi="Arial" w:cs="Arial"/>
              </w:rPr>
              <w:t xml:space="preserve"> unreliable (</w:t>
            </w:r>
            <w:r w:rsidR="004A0C14" w:rsidRPr="00880F9F">
              <w:rPr>
                <w:rFonts w:ascii="Arial" w:hAnsi="Arial" w:cs="Arial"/>
              </w:rPr>
              <w:t>5-sec head</w:t>
            </w:r>
            <w:r w:rsidR="00265714">
              <w:rPr>
                <w:rFonts w:ascii="Arial" w:hAnsi="Arial" w:cs="Arial"/>
              </w:rPr>
              <w:t xml:space="preserve"> lift and 5-sec hand grasp)</w:t>
            </w:r>
          </w:p>
          <w:p w:rsidR="004A0C14" w:rsidRPr="00880F9F" w:rsidRDefault="00266F50" w:rsidP="00F97DF9">
            <w:pPr>
              <w:ind w:left="543" w:right="162" w:hanging="360"/>
              <w:rPr>
                <w:rFonts w:ascii="Arial" w:hAnsi="Arial" w:cs="Arial"/>
              </w:rPr>
            </w:pPr>
            <w:r>
              <w:rPr>
                <w:rFonts w:ascii="Arial" w:hAnsi="Arial" w:cs="Arial"/>
              </w:rPr>
              <w:t>5</w:t>
            </w:r>
            <w:r w:rsidR="004A0C14" w:rsidRPr="00880F9F">
              <w:rPr>
                <w:rFonts w:ascii="Arial" w:hAnsi="Arial" w:cs="Arial"/>
              </w:rPr>
              <w:t>)</w:t>
            </w:r>
            <w:r w:rsidR="004A0C14" w:rsidRPr="00880F9F">
              <w:rPr>
                <w:rFonts w:ascii="Arial" w:hAnsi="Arial" w:cs="Arial"/>
              </w:rPr>
              <w:tab/>
              <w:t xml:space="preserve">"No detectable fade” of DBS (Double Burst Stimulation) is the most reliable </w:t>
            </w:r>
            <w:r w:rsidR="00265714">
              <w:rPr>
                <w:rFonts w:ascii="Arial" w:hAnsi="Arial" w:cs="Arial"/>
              </w:rPr>
              <w:t xml:space="preserve">non-quantitative </w:t>
            </w:r>
            <w:r w:rsidR="004A0C14" w:rsidRPr="00880F9F">
              <w:rPr>
                <w:rFonts w:ascii="Arial" w:hAnsi="Arial" w:cs="Arial"/>
              </w:rPr>
              <w:t>twitch monitoring sign of adequate restoration of</w:t>
            </w:r>
            <w:r w:rsidR="000B02E6">
              <w:rPr>
                <w:rFonts w:ascii="Arial" w:hAnsi="Arial" w:cs="Arial"/>
              </w:rPr>
              <w:t xml:space="preserve"> neuromuscular function</w:t>
            </w:r>
          </w:p>
          <w:p w:rsidR="00801112" w:rsidRPr="00880F9F" w:rsidRDefault="00266F50" w:rsidP="00F97DF9">
            <w:pPr>
              <w:pStyle w:val="Tabletext"/>
              <w:ind w:left="543" w:right="162" w:hanging="360"/>
              <w:rPr>
                <w:rFonts w:ascii="Arial" w:hAnsi="Arial" w:cs="Arial"/>
              </w:rPr>
            </w:pPr>
            <w:r>
              <w:rPr>
                <w:rFonts w:ascii="Arial" w:hAnsi="Arial" w:cs="Arial"/>
              </w:rPr>
              <w:t>6</w:t>
            </w:r>
            <w:r w:rsidR="004A0C14" w:rsidRPr="00880F9F">
              <w:rPr>
                <w:rFonts w:ascii="Arial" w:hAnsi="Arial" w:cs="Arial"/>
              </w:rPr>
              <w:t>)</w:t>
            </w:r>
            <w:r w:rsidR="004A0C14" w:rsidRPr="00880F9F">
              <w:rPr>
                <w:rFonts w:ascii="Arial" w:hAnsi="Arial" w:cs="Arial"/>
              </w:rPr>
              <w:tab/>
              <w:t xml:space="preserve">Combining knowledge of # of twitches in T.O.F. Count present at time of reversal, the relaxant being antagonized and </w:t>
            </w:r>
            <w:r w:rsidR="004A0C14" w:rsidRPr="00880F9F">
              <w:rPr>
                <w:rFonts w:ascii="Arial" w:hAnsi="Arial" w:cs="Arial"/>
                <w:u w:val="single"/>
              </w:rPr>
              <w:t>time</w:t>
            </w:r>
            <w:r w:rsidR="004A0C14" w:rsidRPr="00880F9F">
              <w:rPr>
                <w:rFonts w:ascii="Arial" w:hAnsi="Arial" w:cs="Arial"/>
              </w:rPr>
              <w:t xml:space="preserve"> since reversal can enhance the accuracy of detecting adequate restoration of neuromuscular function</w:t>
            </w:r>
          </w:p>
        </w:tc>
      </w:tr>
      <w:tr w:rsidR="00801112" w:rsidRPr="001E088D" w:rsidTr="00673B6B">
        <w:trPr>
          <w:jc w:val="center"/>
        </w:trPr>
        <w:tc>
          <w:tcPr>
            <w:tcW w:w="1977" w:type="dxa"/>
          </w:tcPr>
          <w:p w:rsidR="00801112" w:rsidRPr="001E088D" w:rsidRDefault="00546C29" w:rsidP="004F65B1">
            <w:pPr>
              <w:pStyle w:val="Heading3"/>
            </w:pPr>
            <w:r>
              <w:lastRenderedPageBreak/>
              <w:t>DISCLAIMER</w:t>
            </w:r>
          </w:p>
        </w:tc>
        <w:tc>
          <w:tcPr>
            <w:tcW w:w="8841" w:type="dxa"/>
          </w:tcPr>
          <w:tbl>
            <w:tblPr>
              <w:tblW w:w="9360" w:type="dxa"/>
              <w:tblLayout w:type="fixed"/>
              <w:tblLook w:val="0000" w:firstRow="0" w:lastRow="0" w:firstColumn="0" w:lastColumn="0" w:noHBand="0" w:noVBand="0"/>
            </w:tblPr>
            <w:tblGrid>
              <w:gridCol w:w="8553"/>
              <w:gridCol w:w="807"/>
            </w:tblGrid>
            <w:tr w:rsidR="00546C29" w:rsidTr="00E16910">
              <w:tc>
                <w:tcPr>
                  <w:tcW w:w="9360" w:type="dxa"/>
                  <w:gridSpan w:val="2"/>
                  <w:shd w:val="clear" w:color="auto" w:fill="auto"/>
                </w:tcPr>
                <w:p w:rsidR="00546C29" w:rsidRPr="00880F9F" w:rsidRDefault="00546C29" w:rsidP="00F97DF9">
                  <w:pPr>
                    <w:ind w:left="543" w:right="162" w:hanging="360"/>
                    <w:jc w:val="center"/>
                    <w:rPr>
                      <w:rFonts w:ascii="Arial" w:hAnsi="Arial" w:cs="Arial"/>
                    </w:rPr>
                  </w:pPr>
                  <w:r w:rsidRPr="00880F9F">
                    <w:rPr>
                      <w:rFonts w:ascii="Arial" w:hAnsi="Arial" w:cs="Arial"/>
                    </w:rPr>
                    <w:t>Disclaimer</w:t>
                  </w:r>
                </w:p>
              </w:tc>
            </w:tr>
            <w:tr w:rsidR="00546C29" w:rsidRPr="00880F9F" w:rsidTr="00E16910">
              <w:trPr>
                <w:gridAfter w:val="1"/>
                <w:wAfter w:w="807" w:type="dxa"/>
              </w:trPr>
              <w:tc>
                <w:tcPr>
                  <w:tcW w:w="8553" w:type="dxa"/>
                  <w:shd w:val="clear" w:color="auto" w:fill="auto"/>
                </w:tcPr>
                <w:p w:rsidR="00546C29" w:rsidRPr="00880F9F" w:rsidRDefault="00546C29" w:rsidP="00E16910">
                  <w:pPr>
                    <w:ind w:right="162"/>
                    <w:jc w:val="both"/>
                    <w:rPr>
                      <w:rFonts w:ascii="Arial" w:hAnsi="Arial" w:cs="Arial"/>
                    </w:rPr>
                  </w:pPr>
                </w:p>
                <w:p w:rsidR="00546C29" w:rsidRPr="00880F9F" w:rsidRDefault="00546C29" w:rsidP="00E16910">
                  <w:pPr>
                    <w:ind w:right="162"/>
                    <w:jc w:val="both"/>
                    <w:rPr>
                      <w:rFonts w:ascii="Arial" w:hAnsi="Arial" w:cs="Arial"/>
                    </w:rPr>
                  </w:pPr>
                  <w:r w:rsidRPr="00880F9F">
                    <w:rPr>
                      <w:rFonts w:ascii="Arial" w:hAnsi="Arial" w:cs="Arial"/>
                    </w:rPr>
                    <w:t>Practice guidelines are systematically developed recommendations that can assist the practitioner and patient in making decisions about health care.  These recommendations may be adopted, modified, or rejected according to clinical needs and constraints.  Practice guidelines are not intended as standards or absolute requirements.  The use of practice guidelines cannot guarantee any specific outcome.  Practice guidelines are subject to periodic revision as warranted by the evolution of medical knowledge, technology, and practice.</w:t>
                  </w:r>
                </w:p>
                <w:p w:rsidR="00546C29" w:rsidRPr="00880F9F" w:rsidRDefault="00546C29" w:rsidP="00E16910">
                  <w:pPr>
                    <w:ind w:right="162"/>
                    <w:jc w:val="both"/>
                    <w:rPr>
                      <w:rFonts w:ascii="Arial" w:hAnsi="Arial" w:cs="Arial"/>
                    </w:rPr>
                  </w:pPr>
                </w:p>
                <w:p w:rsidR="00546C29" w:rsidRPr="00880F9F" w:rsidRDefault="00546C29" w:rsidP="00E16910">
                  <w:pPr>
                    <w:ind w:right="162"/>
                    <w:jc w:val="both"/>
                    <w:rPr>
                      <w:rFonts w:ascii="Arial" w:hAnsi="Arial" w:cs="Arial"/>
                    </w:rPr>
                  </w:pPr>
                  <w:r w:rsidRPr="00880F9F">
                    <w:rPr>
                      <w:rFonts w:ascii="Arial" w:hAnsi="Arial" w:cs="Arial"/>
                    </w:rPr>
                    <w:t>Any recipient or user of these practice guidelines acknowledge that he or she is responsible for reviewing and adapting the guidelines in a manner that is consistent with the needs and constraints of clinical practice and individual patient conditions.  Any recipient or user of these guidelines releases Virginia Mason Medical Center from any liability or claims associated with the use of these guidelines.</w:t>
                  </w:r>
                </w:p>
              </w:tc>
            </w:tr>
          </w:tbl>
          <w:p w:rsidR="00801112" w:rsidRPr="00880F9F" w:rsidRDefault="00801112" w:rsidP="00F97DF9">
            <w:pPr>
              <w:pStyle w:val="Tabletext"/>
              <w:ind w:left="543" w:right="162" w:hanging="360"/>
              <w:rPr>
                <w:rFonts w:ascii="Arial" w:hAnsi="Arial"/>
              </w:rPr>
            </w:pPr>
          </w:p>
        </w:tc>
      </w:tr>
      <w:tr w:rsidR="004F65B1" w:rsidRPr="001E088D" w:rsidTr="00673B6B">
        <w:trPr>
          <w:jc w:val="center"/>
        </w:trPr>
        <w:tc>
          <w:tcPr>
            <w:tcW w:w="1977" w:type="dxa"/>
          </w:tcPr>
          <w:p w:rsidR="004F65B1" w:rsidRPr="00880F9F" w:rsidRDefault="004F65B1" w:rsidP="00C632BE">
            <w:pPr>
              <w:pStyle w:val="Heading3"/>
              <w:rPr>
                <w:highlight w:val="yellow"/>
              </w:rPr>
            </w:pPr>
            <w:r w:rsidRPr="001E088D">
              <w:t xml:space="preserve">SPONSORING </w:t>
            </w:r>
          </w:p>
        </w:tc>
        <w:tc>
          <w:tcPr>
            <w:tcW w:w="8841" w:type="dxa"/>
          </w:tcPr>
          <w:p w:rsidR="004F65B1" w:rsidRPr="00880F9F" w:rsidRDefault="004A0C14" w:rsidP="00F97DF9">
            <w:pPr>
              <w:pStyle w:val="Tabletext"/>
              <w:ind w:left="543" w:right="162" w:hanging="360"/>
              <w:rPr>
                <w:rFonts w:ascii="Arial" w:hAnsi="Arial"/>
              </w:rPr>
            </w:pPr>
            <w:r w:rsidRPr="00880F9F">
              <w:rPr>
                <w:rFonts w:ascii="Arial" w:hAnsi="Arial"/>
              </w:rPr>
              <w:t>Anesthesiology Department</w:t>
            </w:r>
          </w:p>
        </w:tc>
      </w:tr>
      <w:tr w:rsidR="004F65B1" w:rsidRPr="001E088D" w:rsidTr="00673B6B">
        <w:trPr>
          <w:jc w:val="center"/>
        </w:trPr>
        <w:tc>
          <w:tcPr>
            <w:tcW w:w="1977" w:type="dxa"/>
          </w:tcPr>
          <w:p w:rsidR="004F65B1" w:rsidRPr="001E088D" w:rsidRDefault="00E16910" w:rsidP="004F65B1">
            <w:pPr>
              <w:pStyle w:val="Heading3"/>
            </w:pPr>
            <w:r>
              <w:t>ORIGINAL AUTHOR</w:t>
            </w:r>
          </w:p>
        </w:tc>
        <w:tc>
          <w:tcPr>
            <w:tcW w:w="8841" w:type="dxa"/>
          </w:tcPr>
          <w:p w:rsidR="004F65B1" w:rsidRPr="00880F9F" w:rsidRDefault="004A0C14" w:rsidP="00F97DF9">
            <w:pPr>
              <w:pStyle w:val="Tabletext"/>
              <w:ind w:left="543" w:right="162" w:hanging="360"/>
              <w:rPr>
                <w:rFonts w:ascii="Arial" w:hAnsi="Arial"/>
              </w:rPr>
            </w:pPr>
            <w:r w:rsidRPr="00880F9F">
              <w:rPr>
                <w:rFonts w:ascii="Arial" w:hAnsi="Arial"/>
              </w:rPr>
              <w:t>Stephen M. Rupp, MD</w:t>
            </w:r>
          </w:p>
        </w:tc>
      </w:tr>
      <w:tr w:rsidR="002B18BB" w:rsidRPr="001E088D" w:rsidTr="00673B6B">
        <w:trPr>
          <w:jc w:val="center"/>
        </w:trPr>
        <w:tc>
          <w:tcPr>
            <w:tcW w:w="1977" w:type="dxa"/>
          </w:tcPr>
          <w:p w:rsidR="002B18BB" w:rsidRPr="001E088D" w:rsidRDefault="002B18BB" w:rsidP="004F65B1">
            <w:pPr>
              <w:pStyle w:val="Heading3"/>
            </w:pPr>
            <w:r w:rsidRPr="001E088D">
              <w:t>GOVERN</w:t>
            </w:r>
            <w:r w:rsidR="00E16910">
              <w:t>ING AUTHORITY:</w:t>
            </w:r>
          </w:p>
        </w:tc>
        <w:tc>
          <w:tcPr>
            <w:tcW w:w="8841" w:type="dxa"/>
          </w:tcPr>
          <w:p w:rsidR="002B18BB" w:rsidRPr="00880F9F" w:rsidRDefault="004A0C14" w:rsidP="00F97DF9">
            <w:pPr>
              <w:pStyle w:val="Tabletext"/>
              <w:ind w:left="543" w:right="162" w:hanging="360"/>
              <w:rPr>
                <w:rFonts w:ascii="Arial" w:hAnsi="Arial"/>
              </w:rPr>
            </w:pPr>
            <w:r w:rsidRPr="00880F9F">
              <w:rPr>
                <w:rFonts w:ascii="Arial" w:hAnsi="Arial"/>
              </w:rPr>
              <w:t>Anesthesiology Department</w:t>
            </w:r>
          </w:p>
        </w:tc>
      </w:tr>
    </w:tbl>
    <w:p w:rsidR="008327C8" w:rsidRPr="001E088D" w:rsidRDefault="008327C8">
      <w:pPr>
        <w:pStyle w:val="bottom"/>
        <w:rPr>
          <w:rFonts w:ascii="Arial" w:hAnsi="Arial"/>
        </w:rPr>
      </w:pPr>
    </w:p>
    <w:p w:rsidR="004F65B1" w:rsidRPr="001E088D" w:rsidRDefault="004F65B1" w:rsidP="004F65B1">
      <w:pPr>
        <w:rPr>
          <w:rFonts w:ascii="Arial" w:hAnsi="Arial" w:cs="Arial"/>
          <w:b/>
          <w:bCs/>
        </w:rPr>
      </w:pPr>
      <w:r w:rsidRPr="001E088D">
        <w:rPr>
          <w:rFonts w:ascii="Arial" w:hAnsi="Arial" w:cs="Arial"/>
          <w:b/>
          <w:bCs/>
        </w:rPr>
        <w:t>APPROVING BODY and POLICY APPROVAL DATE:</w:t>
      </w:r>
    </w:p>
    <w:tbl>
      <w:tblPr>
        <w:tblW w:w="9738" w:type="dxa"/>
        <w:tblLayout w:type="fixed"/>
        <w:tblLook w:val="0000" w:firstRow="0" w:lastRow="0" w:firstColumn="0" w:lastColumn="0" w:noHBand="0" w:noVBand="0"/>
      </w:tblPr>
      <w:tblGrid>
        <w:gridCol w:w="4428"/>
        <w:gridCol w:w="5310"/>
      </w:tblGrid>
      <w:tr w:rsidR="004F65B1" w:rsidRPr="001E088D" w:rsidTr="001D31E1">
        <w:tc>
          <w:tcPr>
            <w:tcW w:w="4428" w:type="dxa"/>
            <w:tcBorders>
              <w:bottom w:val="single" w:sz="6" w:space="0" w:color="000000"/>
              <w:right w:val="single" w:sz="6" w:space="0" w:color="000000"/>
            </w:tcBorders>
          </w:tcPr>
          <w:p w:rsidR="004F65B1" w:rsidRPr="001E088D" w:rsidRDefault="004F65B1" w:rsidP="008F0F5A">
            <w:pPr>
              <w:rPr>
                <w:rFonts w:ascii="Arial" w:hAnsi="Arial" w:cs="Arial"/>
                <w:b/>
                <w:bCs/>
              </w:rPr>
            </w:pPr>
            <w:r w:rsidRPr="001E088D">
              <w:rPr>
                <w:rFonts w:ascii="Arial" w:hAnsi="Arial" w:cs="Arial"/>
                <w:b/>
                <w:bCs/>
              </w:rPr>
              <w:lastRenderedPageBreak/>
              <w:t>Approved by:</w:t>
            </w:r>
          </w:p>
        </w:tc>
        <w:tc>
          <w:tcPr>
            <w:tcW w:w="5310" w:type="dxa"/>
            <w:tcBorders>
              <w:left w:val="single" w:sz="6" w:space="0" w:color="000000"/>
              <w:bottom w:val="single" w:sz="6" w:space="0" w:color="000000"/>
            </w:tcBorders>
          </w:tcPr>
          <w:p w:rsidR="004F65B1" w:rsidRPr="001E088D" w:rsidRDefault="004F65B1" w:rsidP="008F0F5A">
            <w:pPr>
              <w:rPr>
                <w:rFonts w:ascii="Arial" w:hAnsi="Arial" w:cs="Arial"/>
                <w:b/>
                <w:bCs/>
              </w:rPr>
            </w:pPr>
            <w:r w:rsidRPr="001E088D">
              <w:rPr>
                <w:rFonts w:ascii="Arial" w:hAnsi="Arial" w:cs="Arial"/>
                <w:b/>
                <w:bCs/>
              </w:rPr>
              <w:t>Date:</w:t>
            </w:r>
          </w:p>
        </w:tc>
      </w:tr>
      <w:tr w:rsidR="004F65B1" w:rsidRPr="001E088D" w:rsidTr="001D31E1">
        <w:tc>
          <w:tcPr>
            <w:tcW w:w="4428" w:type="dxa"/>
            <w:tcBorders>
              <w:top w:val="single" w:sz="6" w:space="0" w:color="000000"/>
              <w:bottom w:val="single" w:sz="6" w:space="0" w:color="000000"/>
              <w:right w:val="single" w:sz="6" w:space="0" w:color="000000"/>
            </w:tcBorders>
          </w:tcPr>
          <w:p w:rsidR="004F65B1" w:rsidRPr="001E088D" w:rsidRDefault="00365869" w:rsidP="008F0F5A">
            <w:pPr>
              <w:rPr>
                <w:rFonts w:ascii="Arial" w:hAnsi="Arial" w:cs="Arial"/>
                <w:b/>
                <w:bCs/>
              </w:rPr>
            </w:pPr>
            <w:r>
              <w:rPr>
                <w:rFonts w:ascii="Arial" w:hAnsi="Arial" w:cs="Arial"/>
                <w:b/>
                <w:bCs/>
              </w:rPr>
              <w:t>Stephen M. Rupp, MD</w:t>
            </w:r>
          </w:p>
        </w:tc>
        <w:tc>
          <w:tcPr>
            <w:tcW w:w="5310" w:type="dxa"/>
            <w:tcBorders>
              <w:top w:val="single" w:sz="6" w:space="0" w:color="000000"/>
              <w:left w:val="single" w:sz="6" w:space="0" w:color="000000"/>
              <w:bottom w:val="single" w:sz="6" w:space="0" w:color="000000"/>
            </w:tcBorders>
          </w:tcPr>
          <w:p w:rsidR="004F65B1" w:rsidRPr="001E088D" w:rsidRDefault="004A0C14" w:rsidP="008F0F5A">
            <w:pPr>
              <w:rPr>
                <w:rFonts w:ascii="Arial" w:hAnsi="Arial" w:cs="Arial"/>
              </w:rPr>
            </w:pPr>
            <w:r>
              <w:rPr>
                <w:rFonts w:ascii="Arial" w:hAnsi="Arial" w:cs="Arial"/>
              </w:rPr>
              <w:t>October 1994</w:t>
            </w:r>
          </w:p>
        </w:tc>
      </w:tr>
      <w:tr w:rsidR="004F65B1" w:rsidRPr="001E088D" w:rsidTr="001D31E1">
        <w:tc>
          <w:tcPr>
            <w:tcW w:w="4428" w:type="dxa"/>
            <w:tcBorders>
              <w:top w:val="single" w:sz="6" w:space="0" w:color="000000"/>
              <w:bottom w:val="single" w:sz="6" w:space="0" w:color="000000"/>
              <w:right w:val="single" w:sz="6" w:space="0" w:color="000000"/>
            </w:tcBorders>
          </w:tcPr>
          <w:p w:rsidR="004F65B1" w:rsidRPr="001E088D" w:rsidRDefault="004F65B1" w:rsidP="008F0F5A">
            <w:pPr>
              <w:rPr>
                <w:rFonts w:ascii="Arial" w:hAnsi="Arial" w:cs="Arial"/>
                <w:b/>
                <w:bCs/>
              </w:rPr>
            </w:pPr>
          </w:p>
        </w:tc>
        <w:tc>
          <w:tcPr>
            <w:tcW w:w="5310" w:type="dxa"/>
            <w:tcBorders>
              <w:top w:val="single" w:sz="6" w:space="0" w:color="000000"/>
              <w:left w:val="single" w:sz="6" w:space="0" w:color="000000"/>
              <w:bottom w:val="single" w:sz="6" w:space="0" w:color="000000"/>
            </w:tcBorders>
          </w:tcPr>
          <w:p w:rsidR="004F65B1" w:rsidRPr="001E088D" w:rsidRDefault="004F65B1" w:rsidP="008F0F5A">
            <w:pPr>
              <w:rPr>
                <w:rFonts w:ascii="Arial" w:hAnsi="Arial" w:cs="Arial"/>
              </w:rPr>
            </w:pPr>
          </w:p>
        </w:tc>
      </w:tr>
      <w:tr w:rsidR="004A0C14" w:rsidRPr="001E088D" w:rsidTr="001D31E1">
        <w:tc>
          <w:tcPr>
            <w:tcW w:w="4428" w:type="dxa"/>
            <w:tcBorders>
              <w:top w:val="single" w:sz="6" w:space="0" w:color="000000"/>
              <w:bottom w:val="single" w:sz="6" w:space="0" w:color="000000"/>
              <w:right w:val="single" w:sz="6" w:space="0" w:color="000000"/>
            </w:tcBorders>
          </w:tcPr>
          <w:p w:rsidR="004A0C14" w:rsidRPr="001E088D" w:rsidRDefault="00245B44" w:rsidP="008F0F5A">
            <w:pPr>
              <w:rPr>
                <w:rFonts w:ascii="Arial" w:hAnsi="Arial" w:cs="Arial"/>
                <w:b/>
                <w:bCs/>
              </w:rPr>
            </w:pPr>
            <w:r>
              <w:rPr>
                <w:rFonts w:ascii="Arial" w:hAnsi="Arial" w:cs="Arial"/>
                <w:b/>
                <w:bCs/>
              </w:rPr>
              <w:t>Reviewed/</w:t>
            </w:r>
            <w:r w:rsidR="004A0C14">
              <w:rPr>
                <w:rFonts w:ascii="Arial" w:hAnsi="Arial" w:cs="Arial"/>
                <w:b/>
                <w:bCs/>
              </w:rPr>
              <w:t>Revised by:</w:t>
            </w:r>
          </w:p>
        </w:tc>
        <w:tc>
          <w:tcPr>
            <w:tcW w:w="5310" w:type="dxa"/>
            <w:tcBorders>
              <w:top w:val="single" w:sz="6" w:space="0" w:color="000000"/>
              <w:left w:val="single" w:sz="6" w:space="0" w:color="000000"/>
              <w:bottom w:val="single" w:sz="6" w:space="0" w:color="000000"/>
            </w:tcBorders>
          </w:tcPr>
          <w:p w:rsidR="004A0C14" w:rsidRPr="004A0C14" w:rsidRDefault="004A0C14" w:rsidP="008F0F5A">
            <w:pPr>
              <w:rPr>
                <w:rFonts w:ascii="Arial" w:hAnsi="Arial" w:cs="Arial"/>
                <w:b/>
              </w:rPr>
            </w:pPr>
            <w:r w:rsidRPr="004A0C14">
              <w:rPr>
                <w:rFonts w:ascii="Arial" w:hAnsi="Arial" w:cs="Arial"/>
                <w:b/>
              </w:rPr>
              <w:t>Date:</w:t>
            </w:r>
          </w:p>
        </w:tc>
      </w:tr>
      <w:tr w:rsidR="004A0C14" w:rsidRPr="001E088D" w:rsidTr="001D31E1">
        <w:tc>
          <w:tcPr>
            <w:tcW w:w="4428" w:type="dxa"/>
            <w:tcBorders>
              <w:top w:val="single" w:sz="6" w:space="0" w:color="000000"/>
              <w:bottom w:val="single" w:sz="6" w:space="0" w:color="000000"/>
              <w:right w:val="single" w:sz="6" w:space="0" w:color="000000"/>
            </w:tcBorders>
          </w:tcPr>
          <w:p w:rsidR="004A0C14" w:rsidRPr="001E088D" w:rsidRDefault="004A0C14" w:rsidP="008F0F5A">
            <w:pPr>
              <w:rPr>
                <w:rFonts w:ascii="Arial" w:hAnsi="Arial" w:cs="Arial"/>
                <w:b/>
                <w:bCs/>
              </w:rPr>
            </w:pPr>
            <w:r>
              <w:rPr>
                <w:rFonts w:ascii="Arial" w:hAnsi="Arial" w:cs="Arial"/>
                <w:b/>
                <w:bCs/>
              </w:rPr>
              <w:t>Stephen M. Rupp, MD</w:t>
            </w:r>
          </w:p>
        </w:tc>
        <w:tc>
          <w:tcPr>
            <w:tcW w:w="5310" w:type="dxa"/>
            <w:tcBorders>
              <w:top w:val="single" w:sz="6" w:space="0" w:color="000000"/>
              <w:left w:val="single" w:sz="6" w:space="0" w:color="000000"/>
              <w:bottom w:val="single" w:sz="6" w:space="0" w:color="000000"/>
            </w:tcBorders>
          </w:tcPr>
          <w:p w:rsidR="004A0C14" w:rsidRPr="001E088D" w:rsidRDefault="004A0C14" w:rsidP="008F0F5A">
            <w:pPr>
              <w:rPr>
                <w:rFonts w:ascii="Arial" w:hAnsi="Arial" w:cs="Arial"/>
              </w:rPr>
            </w:pPr>
            <w:r>
              <w:rPr>
                <w:rFonts w:ascii="Arial" w:hAnsi="Arial" w:cs="Arial"/>
              </w:rPr>
              <w:t>December 1995</w:t>
            </w:r>
            <w:r w:rsidR="001D31E1">
              <w:rPr>
                <w:rFonts w:ascii="Arial" w:hAnsi="Arial" w:cs="Arial"/>
              </w:rPr>
              <w:t>; March 1999; Fall 2002; Fall 2011</w:t>
            </w:r>
            <w:r w:rsidR="00FF157F">
              <w:rPr>
                <w:rFonts w:ascii="Arial" w:hAnsi="Arial" w:cs="Arial"/>
              </w:rPr>
              <w:t>; October 15, 2012; September 16, 2013</w:t>
            </w:r>
            <w:r w:rsidR="00265714">
              <w:rPr>
                <w:rFonts w:ascii="Arial" w:hAnsi="Arial" w:cs="Arial"/>
              </w:rPr>
              <w:t>; October 2014</w:t>
            </w:r>
            <w:r w:rsidR="00110316">
              <w:rPr>
                <w:rFonts w:ascii="Arial" w:hAnsi="Arial" w:cs="Arial"/>
              </w:rPr>
              <w:t>; April 21, 2016</w:t>
            </w:r>
          </w:p>
        </w:tc>
      </w:tr>
    </w:tbl>
    <w:p w:rsidR="00193930" w:rsidRDefault="00193930">
      <w:pPr>
        <w:pStyle w:val="bottom"/>
        <w:rPr>
          <w:rFonts w:ascii="Arial" w:hAnsi="Arial"/>
        </w:rPr>
      </w:pPr>
    </w:p>
    <w:p w:rsidR="00673B6B" w:rsidRDefault="00673B6B">
      <w:pPr>
        <w:rPr>
          <w:rFonts w:ascii="Arial" w:hAnsi="Arial"/>
        </w:rPr>
        <w:sectPr w:rsidR="00673B6B" w:rsidSect="00A2679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720" w:left="1440" w:header="720" w:footer="720" w:gutter="0"/>
          <w:cols w:space="720"/>
        </w:sectPr>
      </w:pPr>
    </w:p>
    <w:tbl>
      <w:tblPr>
        <w:tblW w:w="18307" w:type="dxa"/>
        <w:tblInd w:w="108" w:type="dxa"/>
        <w:tblLook w:val="04A0" w:firstRow="1" w:lastRow="0" w:firstColumn="1" w:lastColumn="0" w:noHBand="0" w:noVBand="1"/>
      </w:tblPr>
      <w:tblGrid>
        <w:gridCol w:w="8796"/>
        <w:gridCol w:w="960"/>
        <w:gridCol w:w="9426"/>
        <w:gridCol w:w="1201"/>
        <w:gridCol w:w="960"/>
        <w:gridCol w:w="896"/>
        <w:gridCol w:w="976"/>
        <w:gridCol w:w="976"/>
        <w:gridCol w:w="976"/>
        <w:gridCol w:w="976"/>
      </w:tblGrid>
      <w:tr w:rsidR="00BC373F" w:rsidTr="00BC373F">
        <w:trPr>
          <w:trHeight w:val="255"/>
        </w:trPr>
        <w:tc>
          <w:tcPr>
            <w:tcW w:w="960" w:type="dxa"/>
            <w:tcBorders>
              <w:top w:val="nil"/>
              <w:left w:val="nil"/>
              <w:bottom w:val="nil"/>
              <w:right w:val="nil"/>
            </w:tcBorders>
            <w:shd w:val="clear" w:color="auto" w:fill="auto"/>
            <w:noWrap/>
            <w:vAlign w:val="bottom"/>
          </w:tcPr>
          <w:p w:rsidR="00BC373F" w:rsidRDefault="00BC373F" w:rsidP="00673B6B">
            <w:pPr>
              <w:spacing w:after="0" w:line="240" w:lineRule="auto"/>
              <w:rPr>
                <w:sz w:val="20"/>
                <w:szCs w:val="20"/>
              </w:rPr>
            </w:pPr>
          </w:p>
        </w:tc>
        <w:tc>
          <w:tcPr>
            <w:tcW w:w="960" w:type="dxa"/>
            <w:tcBorders>
              <w:top w:val="nil"/>
              <w:left w:val="nil"/>
              <w:bottom w:val="nil"/>
              <w:right w:val="nil"/>
            </w:tcBorders>
            <w:shd w:val="clear" w:color="auto" w:fill="auto"/>
            <w:noWrap/>
            <w:vAlign w:val="bottom"/>
          </w:tcPr>
          <w:p w:rsidR="00BC373F" w:rsidRDefault="00BC373F">
            <w:pPr>
              <w:rPr>
                <w:sz w:val="20"/>
                <w:szCs w:val="20"/>
              </w:rPr>
            </w:pPr>
          </w:p>
        </w:tc>
        <w:tc>
          <w:tcPr>
            <w:tcW w:w="13459" w:type="dxa"/>
            <w:gridSpan w:val="5"/>
            <w:tcBorders>
              <w:top w:val="nil"/>
              <w:left w:val="nil"/>
              <w:bottom w:val="nil"/>
              <w:right w:val="nil"/>
            </w:tcBorders>
            <w:shd w:val="clear" w:color="auto" w:fill="auto"/>
            <w:noWrap/>
            <w:vAlign w:val="bottom"/>
          </w:tcPr>
          <w:p w:rsidR="00BC373F" w:rsidRDefault="00BC373F">
            <w:pPr>
              <w:rPr>
                <w:rFonts w:ascii="Arial" w:hAnsi="Arial" w:cs="Arial"/>
                <w:b/>
                <w:bCs/>
                <w:sz w:val="20"/>
                <w:szCs w:val="20"/>
              </w:rPr>
            </w:pPr>
          </w:p>
        </w:tc>
        <w:tc>
          <w:tcPr>
            <w:tcW w:w="976" w:type="dxa"/>
            <w:tcBorders>
              <w:top w:val="nil"/>
              <w:left w:val="nil"/>
              <w:bottom w:val="nil"/>
              <w:right w:val="nil"/>
            </w:tcBorders>
            <w:shd w:val="clear" w:color="auto" w:fill="auto"/>
            <w:noWrap/>
            <w:vAlign w:val="bottom"/>
          </w:tcPr>
          <w:p w:rsidR="00BC373F" w:rsidRDefault="00BC373F">
            <w:pPr>
              <w:rPr>
                <w:rFonts w:ascii="Arial" w:hAnsi="Arial" w:cs="Arial"/>
                <w:b/>
                <w:bCs/>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r>
      <w:tr w:rsidR="00BC373F" w:rsidTr="00BC373F">
        <w:trPr>
          <w:trHeight w:val="255"/>
        </w:trPr>
        <w:tc>
          <w:tcPr>
            <w:tcW w:w="960" w:type="dxa"/>
            <w:tcBorders>
              <w:top w:val="nil"/>
              <w:left w:val="nil"/>
              <w:bottom w:val="nil"/>
              <w:right w:val="nil"/>
            </w:tcBorders>
            <w:shd w:val="clear" w:color="auto" w:fill="auto"/>
            <w:noWrap/>
            <w:vAlign w:val="bottom"/>
          </w:tcPr>
          <w:p w:rsidR="00BC373F" w:rsidRDefault="00A1472F">
            <w:pPr>
              <w:rPr>
                <w:sz w:val="20"/>
                <w:szCs w:val="20"/>
              </w:rPr>
            </w:pPr>
            <w:r>
              <w:rPr>
                <w:noProof/>
              </w:rPr>
              <w:drawing>
                <wp:inline distT="0" distB="0" distL="0" distR="0" wp14:anchorId="241A98F6" wp14:editId="16799823">
                  <wp:extent cx="5448300" cy="650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8300" cy="6505575"/>
                          </a:xfrm>
                          <a:prstGeom prst="rect">
                            <a:avLst/>
                          </a:prstGeom>
                        </pic:spPr>
                      </pic:pic>
                    </a:graphicData>
                  </a:graphic>
                </wp:inline>
              </w:drawing>
            </w:r>
          </w:p>
        </w:tc>
        <w:tc>
          <w:tcPr>
            <w:tcW w:w="960" w:type="dxa"/>
            <w:tcBorders>
              <w:top w:val="nil"/>
              <w:left w:val="nil"/>
              <w:bottom w:val="nil"/>
              <w:right w:val="nil"/>
            </w:tcBorders>
            <w:shd w:val="clear" w:color="auto" w:fill="auto"/>
            <w:noWrap/>
            <w:vAlign w:val="bottom"/>
          </w:tcPr>
          <w:p w:rsidR="00BC373F" w:rsidRDefault="00BC373F">
            <w:pPr>
              <w:rPr>
                <w:sz w:val="20"/>
                <w:szCs w:val="20"/>
              </w:rPr>
            </w:pPr>
          </w:p>
        </w:tc>
        <w:tc>
          <w:tcPr>
            <w:tcW w:w="9426" w:type="dxa"/>
            <w:tcBorders>
              <w:top w:val="nil"/>
              <w:left w:val="nil"/>
              <w:bottom w:val="nil"/>
              <w:right w:val="nil"/>
            </w:tcBorders>
            <w:shd w:val="clear" w:color="auto" w:fill="auto"/>
            <w:noWrap/>
            <w:vAlign w:val="bottom"/>
          </w:tcPr>
          <w:p w:rsidR="00BC373F" w:rsidRDefault="00BC373F">
            <w:pPr>
              <w:rPr>
                <w:sz w:val="20"/>
                <w:szCs w:val="20"/>
              </w:rPr>
            </w:pPr>
          </w:p>
        </w:tc>
        <w:tc>
          <w:tcPr>
            <w:tcW w:w="1201" w:type="dxa"/>
            <w:tcBorders>
              <w:top w:val="nil"/>
              <w:left w:val="nil"/>
              <w:bottom w:val="nil"/>
              <w:right w:val="nil"/>
            </w:tcBorders>
            <w:shd w:val="clear" w:color="auto" w:fill="auto"/>
            <w:noWrap/>
            <w:vAlign w:val="bottom"/>
          </w:tcPr>
          <w:p w:rsidR="00BC373F" w:rsidRDefault="00BC373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C373F" w:rsidRDefault="00BC373F">
            <w:pPr>
              <w:rPr>
                <w:sz w:val="20"/>
                <w:szCs w:val="20"/>
              </w:rPr>
            </w:pPr>
          </w:p>
        </w:tc>
        <w:tc>
          <w:tcPr>
            <w:tcW w:w="89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r>
      <w:tr w:rsidR="00BC373F" w:rsidTr="00673B6B">
        <w:trPr>
          <w:trHeight w:val="10152"/>
        </w:trPr>
        <w:tc>
          <w:tcPr>
            <w:tcW w:w="960" w:type="dxa"/>
            <w:tcBorders>
              <w:top w:val="nil"/>
              <w:left w:val="nil"/>
              <w:bottom w:val="nil"/>
              <w:right w:val="nil"/>
            </w:tcBorders>
            <w:shd w:val="clear" w:color="auto" w:fill="auto"/>
            <w:noWrap/>
            <w:vAlign w:val="bottom"/>
          </w:tcPr>
          <w:p w:rsidR="00BC373F" w:rsidRDefault="00A51FE6">
            <w:pPr>
              <w:rPr>
                <w:sz w:val="20"/>
                <w:szCs w:val="20"/>
              </w:rPr>
            </w:pPr>
            <w:r>
              <w:rPr>
                <w:noProof/>
              </w:rPr>
              <w:lastRenderedPageBreak/>
              <w:drawing>
                <wp:inline distT="0" distB="0" distL="0" distR="0" wp14:anchorId="5839E805" wp14:editId="7D4EDED4">
                  <wp:extent cx="4960189" cy="6858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2485" cy="6861255"/>
                          </a:xfrm>
                          <a:prstGeom prst="rect">
                            <a:avLst/>
                          </a:prstGeom>
                        </pic:spPr>
                      </pic:pic>
                    </a:graphicData>
                  </a:graphic>
                </wp:inline>
              </w:drawing>
            </w:r>
          </w:p>
        </w:tc>
        <w:tc>
          <w:tcPr>
            <w:tcW w:w="960" w:type="dxa"/>
            <w:tcBorders>
              <w:top w:val="nil"/>
              <w:left w:val="nil"/>
              <w:bottom w:val="nil"/>
              <w:right w:val="nil"/>
            </w:tcBorders>
            <w:shd w:val="clear" w:color="auto" w:fill="auto"/>
            <w:noWrap/>
            <w:vAlign w:val="bottom"/>
          </w:tcPr>
          <w:p w:rsidR="00BC373F" w:rsidRDefault="00BC373F">
            <w:pPr>
              <w:rPr>
                <w:sz w:val="20"/>
                <w:szCs w:val="20"/>
              </w:rPr>
            </w:pPr>
            <w:bookmarkStart w:id="0" w:name="_GoBack"/>
            <w:bookmarkEnd w:id="0"/>
          </w:p>
        </w:tc>
        <w:tc>
          <w:tcPr>
            <w:tcW w:w="9426" w:type="dxa"/>
            <w:tcBorders>
              <w:top w:val="nil"/>
              <w:left w:val="nil"/>
              <w:bottom w:val="nil"/>
              <w:right w:val="nil"/>
            </w:tcBorders>
            <w:shd w:val="clear" w:color="auto" w:fill="auto"/>
            <w:noWrap/>
            <w:vAlign w:val="bottom"/>
          </w:tcPr>
          <w:p w:rsidR="00BC373F" w:rsidRDefault="00BC373F">
            <w:pPr>
              <w:rPr>
                <w:sz w:val="20"/>
                <w:szCs w:val="20"/>
              </w:rPr>
            </w:pPr>
          </w:p>
        </w:tc>
        <w:tc>
          <w:tcPr>
            <w:tcW w:w="1201" w:type="dxa"/>
            <w:tcBorders>
              <w:top w:val="nil"/>
              <w:left w:val="nil"/>
              <w:bottom w:val="nil"/>
              <w:right w:val="nil"/>
            </w:tcBorders>
            <w:shd w:val="clear" w:color="auto" w:fill="auto"/>
            <w:noWrap/>
            <w:vAlign w:val="bottom"/>
          </w:tcPr>
          <w:p w:rsidR="00BC373F" w:rsidRDefault="00BC373F">
            <w:pPr>
              <w:rPr>
                <w:sz w:val="20"/>
                <w:szCs w:val="20"/>
              </w:rPr>
            </w:pPr>
          </w:p>
        </w:tc>
        <w:tc>
          <w:tcPr>
            <w:tcW w:w="960" w:type="dxa"/>
            <w:tcBorders>
              <w:top w:val="nil"/>
              <w:left w:val="nil"/>
              <w:bottom w:val="nil"/>
              <w:right w:val="nil"/>
            </w:tcBorders>
            <w:shd w:val="clear" w:color="auto" w:fill="auto"/>
            <w:noWrap/>
            <w:vAlign w:val="bottom"/>
          </w:tcPr>
          <w:p w:rsidR="00BC373F" w:rsidRDefault="00BC373F">
            <w:pPr>
              <w:rPr>
                <w:sz w:val="20"/>
                <w:szCs w:val="20"/>
              </w:rPr>
            </w:pPr>
          </w:p>
        </w:tc>
        <w:tc>
          <w:tcPr>
            <w:tcW w:w="89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c>
          <w:tcPr>
            <w:tcW w:w="976" w:type="dxa"/>
            <w:tcBorders>
              <w:top w:val="nil"/>
              <w:left w:val="nil"/>
              <w:bottom w:val="nil"/>
              <w:right w:val="nil"/>
            </w:tcBorders>
            <w:shd w:val="clear" w:color="auto" w:fill="auto"/>
            <w:noWrap/>
            <w:vAlign w:val="bottom"/>
          </w:tcPr>
          <w:p w:rsidR="00BC373F" w:rsidRDefault="00BC373F">
            <w:pPr>
              <w:rPr>
                <w:sz w:val="20"/>
                <w:szCs w:val="20"/>
              </w:rPr>
            </w:pPr>
          </w:p>
        </w:tc>
      </w:tr>
    </w:tbl>
    <w:p w:rsidR="00193930" w:rsidRPr="001E088D" w:rsidRDefault="00193930">
      <w:pPr>
        <w:pStyle w:val="bottom"/>
        <w:rPr>
          <w:rFonts w:ascii="Arial" w:hAnsi="Arial"/>
        </w:rPr>
      </w:pPr>
    </w:p>
    <w:sectPr w:rsidR="00193930" w:rsidRPr="001E088D" w:rsidSect="00673B6B">
      <w:endnotePr>
        <w:numFmt w:val="decimal"/>
      </w:endnotePr>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64" w:rsidRDefault="00F12364">
      <w:r>
        <w:separator/>
      </w:r>
    </w:p>
  </w:endnote>
  <w:endnote w:type="continuationSeparator" w:id="0">
    <w:p w:rsidR="00F12364" w:rsidRDefault="00F1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F1" w:rsidRDefault="00FD3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4" w:rsidRDefault="004A0C14">
    <w:pPr>
      <w:pStyle w:val="Footer"/>
      <w:pBdr>
        <w:top w:val="single" w:sz="12" w:space="1" w:color="auto"/>
      </w:pBdr>
      <w:jc w:val="center"/>
      <w:rPr>
        <w:rStyle w:val="PageNumber"/>
      </w:rPr>
    </w:pPr>
    <w:r>
      <w:rPr>
        <w:rStyle w:val="PageNumber"/>
      </w:rPr>
      <w:t>Policy Format</w:t>
    </w:r>
  </w:p>
  <w:p w:rsidR="004A0C14" w:rsidRDefault="004A0C14">
    <w:pPr>
      <w:pStyle w:val="Footer"/>
      <w:pBdr>
        <w:top w:val="single" w:sz="12" w:space="1" w:color="auto"/>
      </w:pBdr>
      <w:jc w:val="center"/>
    </w:pPr>
    <w:r>
      <w:rPr>
        <w:rStyle w:val="PageNumber"/>
      </w:rPr>
      <w:fldChar w:fldCharType="begin"/>
    </w:r>
    <w:r>
      <w:rPr>
        <w:rStyle w:val="PageNumber"/>
      </w:rPr>
      <w:instrText xml:space="preserve"> PAGE </w:instrText>
    </w:r>
    <w:r>
      <w:rPr>
        <w:rStyle w:val="PageNumber"/>
      </w:rPr>
      <w:fldChar w:fldCharType="separate"/>
    </w:r>
    <w:r w:rsidR="00B1286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2869">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F1" w:rsidRDefault="00FD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64" w:rsidRDefault="00F12364">
      <w:r>
        <w:separator/>
      </w:r>
    </w:p>
  </w:footnote>
  <w:footnote w:type="continuationSeparator" w:id="0">
    <w:p w:rsidR="00F12364" w:rsidRDefault="00F1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F1" w:rsidRDefault="00FD3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0"/>
      <w:gridCol w:w="8820"/>
    </w:tblGrid>
    <w:tr w:rsidR="0020575A" w:rsidTr="00FD3CF1">
      <w:trPr>
        <w:trHeight w:val="1610"/>
      </w:trPr>
      <w:tc>
        <w:tcPr>
          <w:tcW w:w="1980" w:type="dxa"/>
          <w:shd w:val="clear" w:color="auto" w:fill="auto"/>
          <w:vAlign w:val="center"/>
        </w:tcPr>
        <w:p w:rsidR="004A0C14" w:rsidRDefault="0020575A" w:rsidP="00FD3CF1">
          <w:pPr>
            <w:pStyle w:val="Header"/>
          </w:pPr>
          <w:r>
            <w:rPr>
              <w:rFonts w:ascii="Verdana" w:hAnsi="Verdana" w:cs="Arial"/>
              <w:noProof/>
              <w:sz w:val="21"/>
              <w:szCs w:val="21"/>
            </w:rPr>
            <w:drawing>
              <wp:inline distT="0" distB="0" distL="0" distR="0" wp14:anchorId="65F48B4E" wp14:editId="7AE5B445">
                <wp:extent cx="1091658" cy="609600"/>
                <wp:effectExtent l="0" t="0" r="0" b="0"/>
                <wp:docPr id="3" name="Picture 3" descr="Preview_PrimaryUseColo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_PrimaryUseColor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602" cy="633580"/>
                        </a:xfrm>
                        <a:prstGeom prst="rect">
                          <a:avLst/>
                        </a:prstGeom>
                        <a:noFill/>
                        <a:ln>
                          <a:noFill/>
                        </a:ln>
                      </pic:spPr>
                    </pic:pic>
                  </a:graphicData>
                </a:graphic>
              </wp:inline>
            </w:drawing>
          </w:r>
        </w:p>
      </w:tc>
      <w:tc>
        <w:tcPr>
          <w:tcW w:w="8820" w:type="dxa"/>
          <w:shd w:val="clear" w:color="auto" w:fill="auto"/>
          <w:vAlign w:val="bottom"/>
        </w:tcPr>
        <w:p w:rsidR="004A0C14" w:rsidRPr="00880F9F" w:rsidRDefault="004A0C14" w:rsidP="0020575A">
          <w:pPr>
            <w:pStyle w:val="Header"/>
            <w:rPr>
              <w:rFonts w:ascii="Arial" w:hAnsi="Arial"/>
            </w:rPr>
          </w:pPr>
          <w:smartTag w:uri="urn:schemas-microsoft-com:office:smarttags" w:element="place">
            <w:smartTag w:uri="urn:schemas-microsoft-com:office:smarttags" w:element="PlaceName">
              <w:r w:rsidRPr="00880F9F">
                <w:rPr>
                  <w:rFonts w:ascii="Arial" w:hAnsi="Arial"/>
                </w:rPr>
                <w:t>VIRGINIA</w:t>
              </w:r>
            </w:smartTag>
            <w:r w:rsidRPr="00880F9F">
              <w:rPr>
                <w:rFonts w:ascii="Arial" w:hAnsi="Arial"/>
              </w:rPr>
              <w:t xml:space="preserve"> </w:t>
            </w:r>
            <w:smartTag w:uri="urn:schemas-microsoft-com:office:smarttags" w:element="PlaceName">
              <w:r w:rsidRPr="00880F9F">
                <w:rPr>
                  <w:rFonts w:ascii="Arial" w:hAnsi="Arial"/>
                </w:rPr>
                <w:t>MASON</w:t>
              </w:r>
            </w:smartTag>
            <w:r w:rsidRPr="00880F9F">
              <w:rPr>
                <w:rFonts w:ascii="Arial" w:hAnsi="Arial"/>
              </w:rPr>
              <w:t xml:space="preserve"> </w:t>
            </w:r>
            <w:smartTag w:uri="urn:schemas-microsoft-com:office:smarttags" w:element="PlaceName">
              <w:r w:rsidRPr="00880F9F">
                <w:rPr>
                  <w:rFonts w:ascii="Arial" w:hAnsi="Arial"/>
                </w:rPr>
                <w:t>MEDICAL</w:t>
              </w:r>
            </w:smartTag>
            <w:r w:rsidRPr="00880F9F">
              <w:rPr>
                <w:rFonts w:ascii="Arial" w:hAnsi="Arial"/>
              </w:rPr>
              <w:t xml:space="preserve"> </w:t>
            </w:r>
            <w:smartTag w:uri="urn:schemas-microsoft-com:office:smarttags" w:element="PlaceType">
              <w:r w:rsidRPr="00880F9F">
                <w:rPr>
                  <w:rFonts w:ascii="Arial" w:hAnsi="Arial"/>
                </w:rPr>
                <w:t>CENTER</w:t>
              </w:r>
            </w:smartTag>
          </w:smartTag>
        </w:p>
        <w:p w:rsidR="004A0C14" w:rsidRPr="00880F9F" w:rsidRDefault="004A0C14" w:rsidP="0020575A">
          <w:pPr>
            <w:pStyle w:val="Header"/>
            <w:rPr>
              <w:rFonts w:ascii="Arial" w:hAnsi="Arial"/>
            </w:rPr>
          </w:pPr>
          <w:r w:rsidRPr="00880F9F">
            <w:rPr>
              <w:rFonts w:ascii="Arial" w:hAnsi="Arial"/>
            </w:rPr>
            <w:t>CLINICAL POLICY &amp; PROCEDURE MANUAL</w:t>
          </w:r>
        </w:p>
        <w:p w:rsidR="004A0C14" w:rsidRPr="00880F9F" w:rsidRDefault="004A0C14" w:rsidP="0020575A">
          <w:pPr>
            <w:pStyle w:val="Header"/>
            <w:rPr>
              <w:rFonts w:ascii="Arial" w:hAnsi="Arial"/>
            </w:rPr>
          </w:pPr>
          <w:r w:rsidRPr="00880F9F">
            <w:rPr>
              <w:rFonts w:ascii="Arial" w:hAnsi="Arial"/>
            </w:rPr>
            <w:t>GUIDELINES FOR THE USE OF</w:t>
          </w:r>
        </w:p>
        <w:p w:rsidR="005564B5" w:rsidRPr="00880F9F" w:rsidRDefault="004A0C14" w:rsidP="0020575A">
          <w:pPr>
            <w:pStyle w:val="Header"/>
            <w:rPr>
              <w:rFonts w:ascii="Arial" w:hAnsi="Arial"/>
            </w:rPr>
          </w:pPr>
          <w:r w:rsidRPr="00880F9F">
            <w:rPr>
              <w:rFonts w:ascii="Arial" w:hAnsi="Arial"/>
            </w:rPr>
            <w:t xml:space="preserve">NEUROMUSCULAR </w:t>
          </w:r>
          <w:r w:rsidR="005564B5">
            <w:rPr>
              <w:rFonts w:ascii="Arial" w:hAnsi="Arial"/>
            </w:rPr>
            <w:t>MONITORING</w:t>
          </w:r>
          <w:r w:rsidRPr="00880F9F">
            <w:rPr>
              <w:rFonts w:ascii="Arial" w:hAnsi="Arial"/>
            </w:rPr>
            <w:t xml:space="preserve"> </w:t>
          </w:r>
          <w:r w:rsidR="005564B5">
            <w:rPr>
              <w:rFonts w:ascii="Arial" w:hAnsi="Arial"/>
            </w:rPr>
            <w:t>GUIDELINES</w:t>
          </w:r>
        </w:p>
      </w:tc>
    </w:tr>
  </w:tbl>
  <w:p w:rsidR="004A0C14" w:rsidRPr="00801112" w:rsidRDefault="004A0C14" w:rsidP="00673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F1" w:rsidRDefault="00FD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E876BC"/>
    <w:lvl w:ilvl="0">
      <w:numFmt w:val="decimal"/>
      <w:lvlText w:val="*"/>
      <w:lvlJc w:val="left"/>
    </w:lvl>
  </w:abstractNum>
  <w:abstractNum w:abstractNumId="1" w15:restartNumberingAfterBreak="0">
    <w:nsid w:val="0321371E"/>
    <w:multiLevelType w:val="singleLevel"/>
    <w:tmpl w:val="70E4546A"/>
    <w:lvl w:ilvl="0">
      <w:start w:val="1"/>
      <w:numFmt w:val="lowerLetter"/>
      <w:lvlText w:val="(%1) "/>
      <w:legacy w:legacy="1" w:legacySpace="0" w:legacyIndent="360"/>
      <w:lvlJc w:val="left"/>
      <w:pPr>
        <w:ind w:left="1080" w:hanging="360"/>
      </w:pPr>
      <w:rPr>
        <w:rFonts w:ascii="Times" w:hAnsi="Times" w:cs="Times" w:hint="default"/>
        <w:b w:val="0"/>
        <w:i w:val="0"/>
        <w:sz w:val="24"/>
      </w:rPr>
    </w:lvl>
  </w:abstractNum>
  <w:abstractNum w:abstractNumId="2" w15:restartNumberingAfterBreak="0">
    <w:nsid w:val="072839A9"/>
    <w:multiLevelType w:val="singleLevel"/>
    <w:tmpl w:val="0B32E922"/>
    <w:lvl w:ilvl="0">
      <w:start w:val="1"/>
      <w:numFmt w:val="decimal"/>
      <w:lvlText w:val="%1) "/>
      <w:legacy w:legacy="1" w:legacySpace="0" w:legacyIndent="360"/>
      <w:lvlJc w:val="left"/>
      <w:pPr>
        <w:ind w:left="720" w:hanging="360"/>
      </w:pPr>
      <w:rPr>
        <w:rFonts w:ascii="Times" w:hAnsi="Times" w:cs="Times" w:hint="default"/>
        <w:b w:val="0"/>
        <w:i w:val="0"/>
        <w:sz w:val="24"/>
      </w:rPr>
    </w:lvl>
  </w:abstractNum>
  <w:abstractNum w:abstractNumId="3" w15:restartNumberingAfterBreak="0">
    <w:nsid w:val="0F305F51"/>
    <w:multiLevelType w:val="hybridMultilevel"/>
    <w:tmpl w:val="DED661C2"/>
    <w:lvl w:ilvl="0" w:tplc="8BC8174C">
      <w:start w:val="1"/>
      <w:numFmt w:val="bullet"/>
      <w:lvlText w:val=""/>
      <w:lvlJc w:val="left"/>
      <w:pPr>
        <w:tabs>
          <w:tab w:val="num" w:pos="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5433E"/>
    <w:multiLevelType w:val="singleLevel"/>
    <w:tmpl w:val="C9382574"/>
    <w:lvl w:ilvl="0">
      <w:start w:val="1"/>
      <w:numFmt w:val="decimal"/>
      <w:lvlText w:val="%1."/>
      <w:legacy w:legacy="1" w:legacySpace="0" w:legacyIndent="360"/>
      <w:lvlJc w:val="left"/>
      <w:pPr>
        <w:ind w:left="1080" w:hanging="360"/>
      </w:pPr>
    </w:lvl>
  </w:abstractNum>
  <w:abstractNum w:abstractNumId="5" w15:restartNumberingAfterBreak="0">
    <w:nsid w:val="1DB019A9"/>
    <w:multiLevelType w:val="hybridMultilevel"/>
    <w:tmpl w:val="5B16EA00"/>
    <w:lvl w:ilvl="0" w:tplc="AA6A37CA">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37A8E"/>
    <w:multiLevelType w:val="hybridMultilevel"/>
    <w:tmpl w:val="C35E72F4"/>
    <w:lvl w:ilvl="0" w:tplc="752EF95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D29A7"/>
    <w:multiLevelType w:val="singleLevel"/>
    <w:tmpl w:val="C9382574"/>
    <w:lvl w:ilvl="0">
      <w:start w:val="1"/>
      <w:numFmt w:val="decimal"/>
      <w:lvlText w:val="%1."/>
      <w:legacy w:legacy="1" w:legacySpace="0" w:legacyIndent="360"/>
      <w:lvlJc w:val="left"/>
      <w:pPr>
        <w:ind w:left="1080" w:hanging="360"/>
      </w:pPr>
    </w:lvl>
  </w:abstractNum>
  <w:abstractNum w:abstractNumId="8" w15:restartNumberingAfterBreak="0">
    <w:nsid w:val="2FAB6366"/>
    <w:multiLevelType w:val="singleLevel"/>
    <w:tmpl w:val="11761BAE"/>
    <w:lvl w:ilvl="0">
      <w:start w:val="1"/>
      <w:numFmt w:val="lowerLetter"/>
      <w:lvlText w:val="%1. "/>
      <w:legacy w:legacy="1" w:legacySpace="0" w:legacyIndent="360"/>
      <w:lvlJc w:val="left"/>
      <w:pPr>
        <w:ind w:left="1800" w:hanging="360"/>
      </w:pPr>
      <w:rPr>
        <w:b w:val="0"/>
        <w:i w:val="0"/>
        <w:sz w:val="20"/>
      </w:rPr>
    </w:lvl>
  </w:abstractNum>
  <w:abstractNum w:abstractNumId="9" w15:restartNumberingAfterBreak="0">
    <w:nsid w:val="327F7B0F"/>
    <w:multiLevelType w:val="singleLevel"/>
    <w:tmpl w:val="0B32E922"/>
    <w:lvl w:ilvl="0">
      <w:start w:val="1"/>
      <w:numFmt w:val="decimal"/>
      <w:lvlText w:val="%1) "/>
      <w:legacy w:legacy="1" w:legacySpace="0" w:legacyIndent="360"/>
      <w:lvlJc w:val="left"/>
      <w:pPr>
        <w:ind w:left="720" w:hanging="360"/>
      </w:pPr>
      <w:rPr>
        <w:rFonts w:ascii="Times" w:hAnsi="Times" w:cs="Times" w:hint="default"/>
        <w:b w:val="0"/>
        <w:i w:val="0"/>
        <w:sz w:val="24"/>
      </w:rPr>
    </w:lvl>
  </w:abstractNum>
  <w:abstractNum w:abstractNumId="10" w15:restartNumberingAfterBreak="0">
    <w:nsid w:val="362F647A"/>
    <w:multiLevelType w:val="singleLevel"/>
    <w:tmpl w:val="E2D45CB4"/>
    <w:lvl w:ilvl="0">
      <w:start w:val="1"/>
      <w:numFmt w:val="upperLetter"/>
      <w:lvlText w:val="%1. "/>
      <w:legacy w:legacy="1" w:legacySpace="0" w:legacyIndent="360"/>
      <w:lvlJc w:val="left"/>
      <w:pPr>
        <w:ind w:left="360" w:hanging="360"/>
      </w:pPr>
      <w:rPr>
        <w:rFonts w:ascii="Times" w:hAnsi="Times" w:cs="Times" w:hint="default"/>
        <w:b w:val="0"/>
        <w:i w:val="0"/>
        <w:sz w:val="24"/>
      </w:rPr>
    </w:lvl>
  </w:abstractNum>
  <w:abstractNum w:abstractNumId="11" w15:restartNumberingAfterBreak="0">
    <w:nsid w:val="367C6DB9"/>
    <w:multiLevelType w:val="hybridMultilevel"/>
    <w:tmpl w:val="D2AA4416"/>
    <w:lvl w:ilvl="0" w:tplc="057E1466">
      <w:start w:val="1"/>
      <w:numFmt w:val="bullet"/>
      <w:lvlText w:val=""/>
      <w:lvlJc w:val="left"/>
      <w:pPr>
        <w:tabs>
          <w:tab w:val="num" w:pos="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4219C"/>
    <w:multiLevelType w:val="hybridMultilevel"/>
    <w:tmpl w:val="12163834"/>
    <w:lvl w:ilvl="0" w:tplc="FFC8433A">
      <w:start w:val="1"/>
      <w:numFmt w:val="bullet"/>
      <w:lvlText w:val=""/>
      <w:lvlJc w:val="left"/>
      <w:pPr>
        <w:tabs>
          <w:tab w:val="num" w:pos="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06689"/>
    <w:multiLevelType w:val="singleLevel"/>
    <w:tmpl w:val="C9382574"/>
    <w:lvl w:ilvl="0">
      <w:start w:val="1"/>
      <w:numFmt w:val="decimal"/>
      <w:lvlText w:val="%1."/>
      <w:legacy w:legacy="1" w:legacySpace="0" w:legacyIndent="360"/>
      <w:lvlJc w:val="left"/>
      <w:pPr>
        <w:ind w:left="1080" w:hanging="360"/>
      </w:pPr>
    </w:lvl>
  </w:abstractNum>
  <w:abstractNum w:abstractNumId="14" w15:restartNumberingAfterBreak="0">
    <w:nsid w:val="50D65A28"/>
    <w:multiLevelType w:val="hybridMultilevel"/>
    <w:tmpl w:val="6CC058B2"/>
    <w:lvl w:ilvl="0" w:tplc="938ABF4E">
      <w:start w:val="1"/>
      <w:numFmt w:val="bullet"/>
      <w:pStyle w:val="bullet2"/>
      <w:lvlText w:val=""/>
      <w:lvlJc w:val="left"/>
      <w:pPr>
        <w:tabs>
          <w:tab w:val="num" w:pos="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A3C78"/>
    <w:multiLevelType w:val="singleLevel"/>
    <w:tmpl w:val="C9382574"/>
    <w:lvl w:ilvl="0">
      <w:start w:val="1"/>
      <w:numFmt w:val="decimal"/>
      <w:lvlText w:val="%1."/>
      <w:legacy w:legacy="1" w:legacySpace="0" w:legacyIndent="360"/>
      <w:lvlJc w:val="left"/>
      <w:pPr>
        <w:ind w:left="1080" w:hanging="360"/>
      </w:pPr>
    </w:lvl>
  </w:abstractNum>
  <w:abstractNum w:abstractNumId="16" w15:restartNumberingAfterBreak="0">
    <w:nsid w:val="6D923DB2"/>
    <w:multiLevelType w:val="singleLevel"/>
    <w:tmpl w:val="0B32E922"/>
    <w:lvl w:ilvl="0">
      <w:start w:val="1"/>
      <w:numFmt w:val="decimal"/>
      <w:lvlText w:val="%1) "/>
      <w:legacy w:legacy="1" w:legacySpace="0" w:legacyIndent="360"/>
      <w:lvlJc w:val="left"/>
      <w:pPr>
        <w:ind w:left="720" w:hanging="360"/>
      </w:pPr>
      <w:rPr>
        <w:rFonts w:ascii="Times" w:hAnsi="Times" w:cs="Times" w:hint="default"/>
        <w:b w:val="0"/>
        <w:i w:val="0"/>
        <w:sz w:val="24"/>
      </w:rPr>
    </w:lvl>
  </w:abstractNum>
  <w:abstractNum w:abstractNumId="17" w15:restartNumberingAfterBreak="0">
    <w:nsid w:val="72C11F25"/>
    <w:multiLevelType w:val="hybridMultilevel"/>
    <w:tmpl w:val="279611D0"/>
    <w:lvl w:ilvl="0" w:tplc="43AEEBA8">
      <w:start w:val="1"/>
      <w:numFmt w:val="decimal"/>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8" w15:restartNumberingAfterBreak="0">
    <w:nsid w:val="74F36C01"/>
    <w:multiLevelType w:val="singleLevel"/>
    <w:tmpl w:val="C9382574"/>
    <w:lvl w:ilvl="0">
      <w:start w:val="1"/>
      <w:numFmt w:val="decimal"/>
      <w:lvlText w:val="%1."/>
      <w:legacy w:legacy="1" w:legacySpace="0" w:legacyIndent="360"/>
      <w:lvlJc w:val="left"/>
      <w:pPr>
        <w:ind w:left="1080" w:hanging="360"/>
      </w:pPr>
    </w:lvl>
  </w:abstractNum>
  <w:abstractNum w:abstractNumId="19" w15:restartNumberingAfterBreak="0">
    <w:nsid w:val="7BC912C4"/>
    <w:multiLevelType w:val="hybridMultilevel"/>
    <w:tmpl w:val="4C907E0E"/>
    <w:lvl w:ilvl="0" w:tplc="3B6860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8"/>
  </w:num>
  <w:num w:numId="4">
    <w:abstractNumId w:val="0"/>
    <w:lvlOverride w:ilvl="0">
      <w:lvl w:ilvl="0">
        <w:start w:val="1"/>
        <w:numFmt w:val="bullet"/>
        <w:lvlText w:val=""/>
        <w:legacy w:legacy="1" w:legacySpace="0" w:legacyIndent="360"/>
        <w:lvlJc w:val="left"/>
        <w:pPr>
          <w:ind w:left="1800" w:hanging="360"/>
        </w:pPr>
        <w:rPr>
          <w:rFonts w:ascii="Courier New" w:hAnsi="Courier New" w:hint="default"/>
        </w:rPr>
      </w:lvl>
    </w:lvlOverride>
  </w:num>
  <w:num w:numId="5">
    <w:abstractNumId w:val="11"/>
  </w:num>
  <w:num w:numId="6">
    <w:abstractNumId w:val="12"/>
  </w:num>
  <w:num w:numId="7">
    <w:abstractNumId w:val="3"/>
  </w:num>
  <w:num w:numId="8">
    <w:abstractNumId w:val="6"/>
  </w:num>
  <w:num w:numId="9">
    <w:abstractNumId w:val="13"/>
  </w:num>
  <w:num w:numId="10">
    <w:abstractNumId w:val="15"/>
  </w:num>
  <w:num w:numId="11">
    <w:abstractNumId w:val="18"/>
  </w:num>
  <w:num w:numId="12">
    <w:abstractNumId w:val="19"/>
  </w:num>
  <w:num w:numId="13">
    <w:abstractNumId w:val="7"/>
  </w:num>
  <w:num w:numId="14">
    <w:abstractNumId w:val="5"/>
  </w:num>
  <w:num w:numId="15">
    <w:abstractNumId w:val="14"/>
  </w:num>
  <w:num w:numId="16">
    <w:abstractNumId w:val="10"/>
  </w:num>
  <w:num w:numId="17">
    <w:abstractNumId w:val="1"/>
  </w:num>
  <w:num w:numId="18">
    <w:abstractNumId w:val="16"/>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3B"/>
    <w:rsid w:val="0002541F"/>
    <w:rsid w:val="0006621D"/>
    <w:rsid w:val="000B02E6"/>
    <w:rsid w:val="00110316"/>
    <w:rsid w:val="0015290C"/>
    <w:rsid w:val="00174AC2"/>
    <w:rsid w:val="00176C3E"/>
    <w:rsid w:val="00193930"/>
    <w:rsid w:val="001C5862"/>
    <w:rsid w:val="001D31E1"/>
    <w:rsid w:val="001E088D"/>
    <w:rsid w:val="0020575A"/>
    <w:rsid w:val="00245B44"/>
    <w:rsid w:val="00265714"/>
    <w:rsid w:val="00266F50"/>
    <w:rsid w:val="002B18BB"/>
    <w:rsid w:val="002E7E8D"/>
    <w:rsid w:val="00365869"/>
    <w:rsid w:val="003F52AD"/>
    <w:rsid w:val="00400A21"/>
    <w:rsid w:val="00441D5D"/>
    <w:rsid w:val="0044707C"/>
    <w:rsid w:val="004A0C14"/>
    <w:rsid w:val="004A5317"/>
    <w:rsid w:val="004F65B1"/>
    <w:rsid w:val="00512408"/>
    <w:rsid w:val="00546C29"/>
    <w:rsid w:val="005564B5"/>
    <w:rsid w:val="00575DA8"/>
    <w:rsid w:val="00673B6B"/>
    <w:rsid w:val="006B133E"/>
    <w:rsid w:val="007809E6"/>
    <w:rsid w:val="007D6FAE"/>
    <w:rsid w:val="00801112"/>
    <w:rsid w:val="008327C8"/>
    <w:rsid w:val="00864ECF"/>
    <w:rsid w:val="00880F9F"/>
    <w:rsid w:val="008D04A3"/>
    <w:rsid w:val="008F0F5A"/>
    <w:rsid w:val="00916F3B"/>
    <w:rsid w:val="00954846"/>
    <w:rsid w:val="00982A93"/>
    <w:rsid w:val="00A1472F"/>
    <w:rsid w:val="00A26794"/>
    <w:rsid w:val="00A275A9"/>
    <w:rsid w:val="00A51FE6"/>
    <w:rsid w:val="00A62FEA"/>
    <w:rsid w:val="00B12869"/>
    <w:rsid w:val="00B209FC"/>
    <w:rsid w:val="00BC1039"/>
    <w:rsid w:val="00BC373F"/>
    <w:rsid w:val="00C07E3E"/>
    <w:rsid w:val="00C632BE"/>
    <w:rsid w:val="00CE0916"/>
    <w:rsid w:val="00D16169"/>
    <w:rsid w:val="00DE40BC"/>
    <w:rsid w:val="00E16910"/>
    <w:rsid w:val="00F12364"/>
    <w:rsid w:val="00F62C3C"/>
    <w:rsid w:val="00F86C42"/>
    <w:rsid w:val="00F87C3F"/>
    <w:rsid w:val="00F97DF9"/>
    <w:rsid w:val="00FD3CF1"/>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docId w15:val="{EA5E5C38-D843-40D9-9397-0D620A4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1D31E1"/>
    <w:pPr>
      <w:spacing w:before="120"/>
      <w:outlineLvl w:val="0"/>
    </w:pPr>
    <w:rPr>
      <w:rFonts w:ascii="Arial" w:hAnsi="Arial"/>
      <w:b/>
      <w:sz w:val="28"/>
      <w:u w:val="single"/>
    </w:rPr>
  </w:style>
  <w:style w:type="paragraph" w:styleId="Heading2">
    <w:name w:val="heading 2"/>
    <w:basedOn w:val="Normal"/>
    <w:next w:val="Normal"/>
    <w:qFormat/>
    <w:rsid w:val="001D31E1"/>
    <w:pPr>
      <w:keepNext/>
      <w:spacing w:before="120" w:after="60"/>
      <w:outlineLvl w:val="1"/>
    </w:pPr>
    <w:rPr>
      <w:rFonts w:ascii="Arial" w:hAnsi="Arial"/>
      <w:u w:val="single"/>
    </w:rPr>
  </w:style>
  <w:style w:type="paragraph" w:styleId="Heading3">
    <w:name w:val="heading 3"/>
    <w:basedOn w:val="Normal"/>
    <w:next w:val="Normal"/>
    <w:qFormat/>
    <w:rsid w:val="001D31E1"/>
    <w:pPr>
      <w:keepNext/>
      <w:spacing w:before="240"/>
      <w:outlineLvl w:val="2"/>
    </w:pPr>
    <w:rPr>
      <w:rFonts w:ascii="Arial" w:hAnsi="Arial"/>
      <w:b/>
      <w:u w:val="single"/>
    </w:rPr>
  </w:style>
  <w:style w:type="paragraph" w:styleId="Heading4">
    <w:name w:val="heading 4"/>
    <w:basedOn w:val="Normal"/>
    <w:next w:val="Normal"/>
    <w:qFormat/>
    <w:rsid w:val="001D31E1"/>
    <w:pPr>
      <w:keepNext/>
      <w:jc w:val="center"/>
      <w:outlineLvl w:val="3"/>
    </w:pPr>
    <w:rPr>
      <w:i/>
      <w:iCs/>
    </w:rPr>
  </w:style>
  <w:style w:type="character" w:default="1" w:styleId="DefaultParagraphFont">
    <w:name w:val="Default Paragraph Font"/>
    <w:uiPriority w:val="1"/>
    <w:semiHidden/>
    <w:unhideWhenUsed/>
    <w:rsid w:val="00B128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869"/>
  </w:style>
  <w:style w:type="paragraph" w:styleId="Header">
    <w:name w:val="header"/>
    <w:basedOn w:val="Normal"/>
    <w:rsid w:val="001D31E1"/>
    <w:pPr>
      <w:jc w:val="center"/>
    </w:pPr>
    <w:rPr>
      <w:b/>
    </w:rPr>
  </w:style>
  <w:style w:type="paragraph" w:styleId="Footer">
    <w:name w:val="footer"/>
    <w:basedOn w:val="Normal"/>
    <w:rsid w:val="001D31E1"/>
    <w:pPr>
      <w:tabs>
        <w:tab w:val="center" w:pos="4320"/>
        <w:tab w:val="right" w:pos="8640"/>
      </w:tabs>
    </w:pPr>
    <w:rPr>
      <w:sz w:val="20"/>
    </w:rPr>
  </w:style>
  <w:style w:type="paragraph" w:customStyle="1" w:styleId="Tablehead">
    <w:name w:val="Tablehead"/>
    <w:basedOn w:val="Normal"/>
    <w:next w:val="Normal"/>
    <w:rsid w:val="001D31E1"/>
    <w:rPr>
      <w:rFonts w:ascii="Arial" w:hAnsi="Arial"/>
      <w:b/>
      <w:i/>
    </w:rPr>
  </w:style>
  <w:style w:type="paragraph" w:customStyle="1" w:styleId="PolicyHeading">
    <w:name w:val="PolicyHeading"/>
    <w:basedOn w:val="Normal"/>
    <w:rsid w:val="001D31E1"/>
    <w:pPr>
      <w:pBdr>
        <w:bottom w:val="single" w:sz="12" w:space="2" w:color="auto"/>
      </w:pBdr>
      <w:ind w:left="720" w:hanging="720"/>
    </w:pPr>
    <w:rPr>
      <w:rFonts w:ascii="Arial" w:hAnsi="Arial"/>
      <w:b/>
      <w:sz w:val="28"/>
    </w:rPr>
  </w:style>
  <w:style w:type="paragraph" w:customStyle="1" w:styleId="Bookname">
    <w:name w:val="Bookname"/>
    <w:basedOn w:val="Normal"/>
    <w:rsid w:val="001D31E1"/>
    <w:pPr>
      <w:jc w:val="center"/>
    </w:pPr>
    <w:rPr>
      <w:b/>
    </w:rPr>
  </w:style>
  <w:style w:type="character" w:styleId="PageNumber">
    <w:name w:val="page number"/>
    <w:basedOn w:val="DefaultParagraphFont"/>
    <w:rsid w:val="001D31E1"/>
  </w:style>
  <w:style w:type="paragraph" w:customStyle="1" w:styleId="Body">
    <w:name w:val="Body"/>
    <w:basedOn w:val="Normal"/>
    <w:rsid w:val="001D31E1"/>
    <w:pPr>
      <w:tabs>
        <w:tab w:val="left" w:pos="3600"/>
      </w:tabs>
      <w:spacing w:before="120" w:after="120"/>
      <w:ind w:left="1080"/>
    </w:pPr>
  </w:style>
  <w:style w:type="paragraph" w:customStyle="1" w:styleId="bullet1">
    <w:name w:val="bullet1"/>
    <w:basedOn w:val="Normal"/>
    <w:next w:val="Heading3"/>
    <w:rsid w:val="001D31E1"/>
    <w:pPr>
      <w:numPr>
        <w:numId w:val="14"/>
      </w:numPr>
    </w:pPr>
  </w:style>
  <w:style w:type="paragraph" w:customStyle="1" w:styleId="bullet2">
    <w:name w:val="bullet2"/>
    <w:basedOn w:val="bullet1"/>
    <w:next w:val="Normal"/>
    <w:rsid w:val="001D31E1"/>
    <w:pPr>
      <w:numPr>
        <w:numId w:val="15"/>
      </w:numPr>
    </w:pPr>
  </w:style>
  <w:style w:type="paragraph" w:customStyle="1" w:styleId="numlist1">
    <w:name w:val="numlist1"/>
    <w:basedOn w:val="Normal"/>
    <w:next w:val="Heading3"/>
    <w:rsid w:val="001D31E1"/>
    <w:pPr>
      <w:ind w:left="720" w:hanging="360"/>
    </w:pPr>
  </w:style>
  <w:style w:type="paragraph" w:customStyle="1" w:styleId="numlist2">
    <w:name w:val="numlist2"/>
    <w:basedOn w:val="numlist1"/>
    <w:next w:val="Normal"/>
    <w:rsid w:val="001D31E1"/>
    <w:pPr>
      <w:ind w:left="1440"/>
    </w:pPr>
  </w:style>
  <w:style w:type="paragraph" w:customStyle="1" w:styleId="listnote">
    <w:name w:val="listnote"/>
    <w:basedOn w:val="Body"/>
    <w:rsid w:val="001D31E1"/>
    <w:pPr>
      <w:ind w:left="1440"/>
    </w:pPr>
  </w:style>
  <w:style w:type="paragraph" w:customStyle="1" w:styleId="bottom">
    <w:name w:val="bottom"/>
    <w:basedOn w:val="Normal"/>
    <w:rsid w:val="001D31E1"/>
    <w:pPr>
      <w:tabs>
        <w:tab w:val="left" w:pos="1080"/>
      </w:tabs>
    </w:pPr>
    <w:rPr>
      <w:sz w:val="20"/>
    </w:rPr>
  </w:style>
  <w:style w:type="paragraph" w:styleId="EndnoteText">
    <w:name w:val="endnote text"/>
    <w:basedOn w:val="Normal"/>
    <w:semiHidden/>
    <w:rsid w:val="001D31E1"/>
    <w:pPr>
      <w:ind w:left="720"/>
    </w:pPr>
    <w:rPr>
      <w:sz w:val="20"/>
    </w:rPr>
  </w:style>
  <w:style w:type="paragraph" w:styleId="ListNumber">
    <w:name w:val="List Number"/>
    <w:basedOn w:val="Normal"/>
    <w:rsid w:val="001D31E1"/>
    <w:pPr>
      <w:tabs>
        <w:tab w:val="left" w:pos="360"/>
      </w:tabs>
      <w:ind w:left="1080" w:hanging="360"/>
    </w:pPr>
  </w:style>
  <w:style w:type="paragraph" w:styleId="ListBullet">
    <w:name w:val="List Bullet"/>
    <w:basedOn w:val="Normal"/>
    <w:next w:val="ListNumber"/>
    <w:rsid w:val="001D31E1"/>
    <w:pPr>
      <w:numPr>
        <w:numId w:val="8"/>
      </w:numPr>
    </w:pPr>
  </w:style>
  <w:style w:type="paragraph" w:customStyle="1" w:styleId="ListNumber1">
    <w:name w:val="List Number 1"/>
    <w:basedOn w:val="ListNumber"/>
    <w:next w:val="ListNumber"/>
    <w:rsid w:val="001D31E1"/>
    <w:pPr>
      <w:ind w:left="1800"/>
    </w:pPr>
  </w:style>
  <w:style w:type="paragraph" w:customStyle="1" w:styleId="Tabletext">
    <w:name w:val="Tabletext"/>
    <w:basedOn w:val="Normal"/>
    <w:next w:val="Tablehead"/>
    <w:rsid w:val="001D31E1"/>
  </w:style>
  <w:style w:type="paragraph" w:customStyle="1" w:styleId="TableTitletext">
    <w:name w:val="Table Title text"/>
    <w:basedOn w:val="Tabletext"/>
    <w:rsid w:val="001D31E1"/>
    <w:pPr>
      <w:jc w:val="center"/>
    </w:pPr>
    <w:rPr>
      <w:rFonts w:ascii="Arial" w:hAnsi="Arial"/>
      <w:b/>
      <w:sz w:val="20"/>
    </w:rPr>
  </w:style>
  <w:style w:type="paragraph" w:styleId="DocumentMap">
    <w:name w:val="Document Map"/>
    <w:basedOn w:val="Normal"/>
    <w:semiHidden/>
    <w:rsid w:val="001D31E1"/>
    <w:pPr>
      <w:shd w:val="clear" w:color="auto" w:fill="000080"/>
    </w:pPr>
    <w:rPr>
      <w:rFonts w:ascii="Tahoma" w:hAnsi="Tahoma" w:cs="Tahoma"/>
      <w:sz w:val="20"/>
    </w:rPr>
  </w:style>
  <w:style w:type="paragraph" w:customStyle="1" w:styleId="PolicyDescription">
    <w:name w:val="PolicyDescription"/>
    <w:basedOn w:val="Heading1"/>
    <w:rsid w:val="001D31E1"/>
  </w:style>
  <w:style w:type="paragraph" w:customStyle="1" w:styleId="PolicyText">
    <w:name w:val="PolicyText"/>
    <w:basedOn w:val="Normal"/>
    <w:rsid w:val="001D31E1"/>
    <w:pPr>
      <w:ind w:left="720"/>
    </w:pPr>
  </w:style>
  <w:style w:type="paragraph" w:customStyle="1" w:styleId="KeyPointHeading">
    <w:name w:val="KeyPointHeading"/>
    <w:basedOn w:val="Heading1"/>
    <w:rsid w:val="001D31E1"/>
  </w:style>
  <w:style w:type="paragraph" w:customStyle="1" w:styleId="DocumentationHeading">
    <w:name w:val="DocumentationHeading"/>
    <w:basedOn w:val="Heading1"/>
    <w:rsid w:val="001D31E1"/>
  </w:style>
  <w:style w:type="paragraph" w:customStyle="1" w:styleId="ReferenceHeading">
    <w:name w:val="ReferenceHeading"/>
    <w:basedOn w:val="Heading2"/>
    <w:rsid w:val="001D31E1"/>
  </w:style>
  <w:style w:type="paragraph" w:customStyle="1" w:styleId="BookHeading">
    <w:name w:val="BookHeading"/>
    <w:basedOn w:val="Normal"/>
    <w:rsid w:val="001D31E1"/>
    <w:pPr>
      <w:spacing w:before="60" w:after="120"/>
    </w:pPr>
  </w:style>
  <w:style w:type="paragraph" w:customStyle="1" w:styleId="BookList">
    <w:name w:val="BookList"/>
    <w:basedOn w:val="Normal"/>
    <w:rsid w:val="001D31E1"/>
    <w:pPr>
      <w:ind w:left="720"/>
    </w:pPr>
  </w:style>
  <w:style w:type="paragraph" w:customStyle="1" w:styleId="EditedBookHeading">
    <w:name w:val="EditedBookHeading"/>
    <w:basedOn w:val="BookHeading"/>
    <w:rsid w:val="001D31E1"/>
  </w:style>
  <w:style w:type="paragraph" w:customStyle="1" w:styleId="EditedBookList">
    <w:name w:val="EditedBookList"/>
    <w:basedOn w:val="BookList"/>
    <w:rsid w:val="001D31E1"/>
    <w:pPr>
      <w:spacing w:before="60" w:after="120"/>
    </w:pPr>
  </w:style>
  <w:style w:type="paragraph" w:customStyle="1" w:styleId="JournalsHeading">
    <w:name w:val="JournalsHeading"/>
    <w:basedOn w:val="BookHeading"/>
    <w:rsid w:val="001D31E1"/>
  </w:style>
  <w:style w:type="paragraph" w:customStyle="1" w:styleId="JournalsList">
    <w:name w:val="JournalsList"/>
    <w:basedOn w:val="BookList"/>
    <w:rsid w:val="001D31E1"/>
  </w:style>
  <w:style w:type="paragraph" w:customStyle="1" w:styleId="OnlineJournalHeading">
    <w:name w:val="OnlineJournalHeading"/>
    <w:basedOn w:val="BookHeading"/>
    <w:rsid w:val="001D31E1"/>
  </w:style>
  <w:style w:type="paragraph" w:customStyle="1" w:styleId="OnlineJournalList">
    <w:name w:val="OnlineJournalList"/>
    <w:basedOn w:val="BookList"/>
    <w:rsid w:val="001D31E1"/>
  </w:style>
  <w:style w:type="paragraph" w:customStyle="1" w:styleId="KeyPointText">
    <w:name w:val="KeyPointText"/>
    <w:basedOn w:val="JournalsList"/>
    <w:rsid w:val="001D31E1"/>
  </w:style>
  <w:style w:type="paragraph" w:customStyle="1" w:styleId="DocumentationText">
    <w:name w:val="DocumentationText"/>
    <w:basedOn w:val="JournalsList"/>
    <w:rsid w:val="001D31E1"/>
  </w:style>
  <w:style w:type="paragraph" w:customStyle="1" w:styleId="ReferenceList">
    <w:name w:val="ReferenceList"/>
    <w:basedOn w:val="Normal"/>
    <w:rsid w:val="001D31E1"/>
    <w:pPr>
      <w:ind w:left="720"/>
    </w:pPr>
  </w:style>
  <w:style w:type="table" w:styleId="TableGrid">
    <w:name w:val="Table Grid"/>
    <w:basedOn w:val="TableNormal"/>
    <w:rsid w:val="001D31E1"/>
    <w:pPr>
      <w:tabs>
        <w:tab w:val="left" w:pos="720"/>
        <w:tab w:val="left" w:pos="1440"/>
        <w:tab w:val="left" w:pos="2160"/>
        <w:tab w:val="left" w:pos="2880"/>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D31E1"/>
    <w:rPr>
      <w:color w:val="800080"/>
      <w:sz w:val="20"/>
      <w:szCs w:val="20"/>
      <w:u w:val="single"/>
    </w:rPr>
  </w:style>
  <w:style w:type="table" w:styleId="Table3Deffects1">
    <w:name w:val="Table 3D effects 1"/>
    <w:basedOn w:val="TableNormal"/>
    <w:rsid w:val="00546C29"/>
    <w:pPr>
      <w:tabs>
        <w:tab w:val="left" w:pos="720"/>
        <w:tab w:val="left" w:pos="1440"/>
        <w:tab w:val="left" w:pos="2160"/>
        <w:tab w:val="left" w:pos="2880"/>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982A93"/>
    <w:rPr>
      <w:rFonts w:ascii="Tahoma" w:hAnsi="Tahoma" w:cs="Tahoma"/>
      <w:sz w:val="16"/>
      <w:szCs w:val="16"/>
    </w:rPr>
  </w:style>
  <w:style w:type="character" w:customStyle="1" w:styleId="BalloonTextChar">
    <w:name w:val="Balloon Text Char"/>
    <w:basedOn w:val="DefaultParagraphFont"/>
    <w:link w:val="BalloonText"/>
    <w:rsid w:val="0098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631">
      <w:bodyDiv w:val="1"/>
      <w:marLeft w:val="0"/>
      <w:marRight w:val="0"/>
      <w:marTop w:val="0"/>
      <w:marBottom w:val="0"/>
      <w:divBdr>
        <w:top w:val="none" w:sz="0" w:space="0" w:color="auto"/>
        <w:left w:val="none" w:sz="0" w:space="0" w:color="auto"/>
        <w:bottom w:val="none" w:sz="0" w:space="0" w:color="auto"/>
        <w:right w:val="none" w:sz="0" w:space="0" w:color="auto"/>
      </w:divBdr>
    </w:div>
    <w:div w:id="972756305">
      <w:bodyDiv w:val="1"/>
      <w:marLeft w:val="0"/>
      <w:marRight w:val="0"/>
      <w:marTop w:val="0"/>
      <w:marBottom w:val="0"/>
      <w:divBdr>
        <w:top w:val="none" w:sz="0" w:space="0" w:color="auto"/>
        <w:left w:val="none" w:sz="0" w:space="0" w:color="auto"/>
        <w:bottom w:val="none" w:sz="0" w:space="0" w:color="auto"/>
        <w:right w:val="none" w:sz="0" w:space="0" w:color="auto"/>
      </w:divBdr>
    </w:div>
    <w:div w:id="2076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CBD9AC16</Template>
  <TotalTime>8</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Format for Medical Center and Specialty Areas Policy/Procedure</vt:lpstr>
    </vt:vector>
  </TitlesOfParts>
  <Company>Virginia Mason Medical Center</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Medical Center and Specialty Areas Policy/Procedure</dc:title>
  <dc:subject/>
  <dc:creator>aneamt</dc:creator>
  <cp:keywords>Format, Policy, policies, procedures, guidelines, policy approval, policy authoring, policy author, author,</cp:keywords>
  <dc:description/>
  <cp:lastModifiedBy>Brust, Melody</cp:lastModifiedBy>
  <cp:revision>7</cp:revision>
  <cp:lastPrinted>2011-01-25T18:21:00Z</cp:lastPrinted>
  <dcterms:created xsi:type="dcterms:W3CDTF">2016-04-11T23:17:00Z</dcterms:created>
  <dcterms:modified xsi:type="dcterms:W3CDTF">2016-05-24T22:08:00Z</dcterms:modified>
</cp:coreProperties>
</file>