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</w:rPr>
      </w:pPr>
      <w:r>
        <w:rPr>
          <w:rFonts w:ascii="Helvetica" w:hAnsi="Helvetica"/>
          <w:b w:val="1"/>
          <w:bCs w:val="1"/>
          <w:u w:color="000000"/>
          <w:rtl w:val="0"/>
          <w:lang w:val="en-US"/>
        </w:rPr>
        <w:t>Supplemental Content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Appendix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</w:rPr>
        <w:t xml:space="preserve">. 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Key outcomes analyzed by study group allocation and adjusted for intraoperative opioid dose. OMEQ is oral morphine equivalents and OR is odds ratio.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39"/>
        <w:gridCol w:w="1411"/>
        <w:gridCol w:w="1332"/>
        <w:gridCol w:w="1435"/>
        <w:gridCol w:w="1944"/>
        <w:gridCol w:w="1089"/>
      </w:tblGrid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2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  <w:lang w:val="en-US"/>
              </w:rPr>
              <w:t>R squared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  <w:lang w:val="en-US"/>
              </w:rPr>
              <w:t>F value</w:t>
            </w:r>
          </w:p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b w:val="1"/>
                <w:bCs w:val="1"/>
                <w:u w:color="000000"/>
                <w:rtl w:val="0"/>
                <w:lang w:val="en-US"/>
              </w:rPr>
              <w:t xml:space="preserve">β </w:t>
            </w:r>
            <w:r>
              <w:rPr>
                <w:rFonts w:ascii="Helvetica" w:hAnsi="Helvetica"/>
                <w:b w:val="1"/>
                <w:bCs w:val="1"/>
                <w:u w:color="000000"/>
                <w:rtl w:val="0"/>
                <w:lang w:val="en-US"/>
              </w:rPr>
              <w:t>coefficient (OR)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  <w:lang w:val="en-US"/>
              </w:rPr>
              <w:t xml:space="preserve"> 95% CI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  <w:lang w:val="en-US"/>
              </w:rPr>
              <w:t>P value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3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  <w:lang w:val="en-US"/>
              </w:rPr>
              <w:t xml:space="preserve">OMEQ at 24 hrs </w:t>
            </w:r>
            <w:r>
              <w:rPr>
                <w:rFonts w:ascii="Helvetica" w:hAnsi="Helvetica"/>
                <w:b w:val="0"/>
                <w:bCs w:val="0"/>
                <w:i w:val="1"/>
                <w:iCs w:val="1"/>
                <w:u w:color="000000"/>
                <w:rtl w:val="0"/>
                <w:lang w:val="en-US"/>
              </w:rPr>
              <w:t>(mg)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Study group (vs. control group)</w:t>
            </w:r>
          </w:p>
        </w:tc>
        <w:tc>
          <w:tcPr>
            <w:tcW w:type="dxa" w:w="141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0.025</w:t>
            </w:r>
          </w:p>
        </w:tc>
        <w:tc>
          <w:tcPr>
            <w:tcW w:type="dxa" w:w="13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0.959</w:t>
            </w:r>
          </w:p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-0.117 (0.89)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 xml:space="preserve">-14.43 to 5.84 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0.401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Intraoperative OMEQ</w:t>
            </w:r>
          </w:p>
        </w:tc>
        <w:tc>
          <w:tcPr>
            <w:tcW w:type="dxa" w:w="14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0.058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-0.42 to 0.65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0.676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3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  <w:lang w:val="en-US"/>
              </w:rPr>
              <w:t xml:space="preserve">OMEQ at 48 hrs </w:t>
            </w:r>
            <w:r>
              <w:rPr>
                <w:rFonts w:ascii="Helvetica" w:hAnsi="Helvetica"/>
                <w:b w:val="0"/>
                <w:bCs w:val="0"/>
                <w:i w:val="1"/>
                <w:iCs w:val="1"/>
                <w:u w:color="000000"/>
                <w:rtl w:val="0"/>
                <w:lang w:val="en-US"/>
              </w:rPr>
              <w:t>(mg)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Study group (vs. control group)</w:t>
            </w:r>
          </w:p>
        </w:tc>
        <w:tc>
          <w:tcPr>
            <w:tcW w:type="dxa" w:w="141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0.012</w:t>
            </w:r>
          </w:p>
        </w:tc>
        <w:tc>
          <w:tcPr>
            <w:tcW w:type="dxa" w:w="13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0.435</w:t>
            </w:r>
          </w:p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-0.124 (0.89)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-33.82 to 13.09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0.381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Intraoperative OMEQ</w:t>
            </w:r>
          </w:p>
        </w:tc>
        <w:tc>
          <w:tcPr>
            <w:tcW w:type="dxa" w:w="14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</w:tcPr>
          <w:p/>
        </w:tc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</w:tcPr>
          <w:p/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-0.035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-1.39 to 1.09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0.804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3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  <w:lang w:val="en-US"/>
              </w:rPr>
              <w:t>Time to 1</w:t>
            </w:r>
            <w:r>
              <w:rPr>
                <w:rFonts w:ascii="Helvetica" w:hAnsi="Helvetica"/>
                <w:b w:val="1"/>
                <w:bCs w:val="1"/>
                <w:u w:color="000000"/>
                <w:vertAlign w:val="superscript"/>
                <w:rtl w:val="0"/>
                <w:lang w:val="en-US"/>
              </w:rPr>
              <w:t>st</w:t>
            </w:r>
            <w:r>
              <w:rPr>
                <w:rFonts w:ascii="Helvetica" w:hAnsi="Helvetica"/>
                <w:b w:val="1"/>
                <w:bCs w:val="1"/>
                <w:u w:color="000000"/>
                <w:rtl w:val="0"/>
                <w:lang w:val="en-US"/>
              </w:rPr>
              <w:t xml:space="preserve"> analgesic use </w:t>
            </w:r>
            <w:r>
              <w:rPr>
                <w:rFonts w:ascii="Helvetica" w:hAnsi="Helvetica"/>
                <w:b w:val="0"/>
                <w:bCs w:val="0"/>
                <w:i w:val="1"/>
                <w:iCs w:val="1"/>
                <w:u w:color="000000"/>
                <w:rtl w:val="0"/>
                <w:lang w:val="en-US"/>
              </w:rPr>
              <w:t>(mins)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Study group (vs. control group)</w:t>
            </w:r>
          </w:p>
        </w:tc>
        <w:tc>
          <w:tcPr>
            <w:tcW w:type="dxa" w:w="141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0.027</w:t>
            </w:r>
          </w:p>
        </w:tc>
        <w:tc>
          <w:tcPr>
            <w:tcW w:type="dxa" w:w="13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1.053</w:t>
            </w:r>
          </w:p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u w:color="000000"/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 xml:space="preserve">0.186 </w:t>
            </w:r>
          </w:p>
          <w:p>
            <w:pPr>
              <w:pStyle w:val="Body"/>
              <w:jc w:val="left"/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(1.20)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-61.24 to 313.15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0.184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Intraoperative OMEQ</w:t>
            </w:r>
          </w:p>
        </w:tc>
        <w:tc>
          <w:tcPr>
            <w:tcW w:type="dxa" w:w="14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0.169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-3.84 to 16.00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0.226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3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  <w:lang w:val="en-US"/>
              </w:rPr>
              <w:t xml:space="preserve">Pain scores at 24 hrs </w:t>
            </w:r>
            <w:r>
              <w:rPr>
                <w:rFonts w:ascii="Helvetica" w:hAnsi="Helvetica"/>
                <w:b w:val="0"/>
                <w:bCs w:val="0"/>
                <w:i w:val="1"/>
                <w:iCs w:val="1"/>
                <w:u w:color="000000"/>
                <w:rtl w:val="0"/>
                <w:lang w:val="en-US"/>
              </w:rPr>
              <w:t>(NRS)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Study group (vs. control group)</w:t>
            </w:r>
          </w:p>
        </w:tc>
        <w:tc>
          <w:tcPr>
            <w:tcW w:type="dxa" w:w="141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0.052</w:t>
            </w:r>
          </w:p>
        </w:tc>
        <w:tc>
          <w:tcPr>
            <w:tcW w:type="dxa" w:w="13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2.040</w:t>
            </w:r>
          </w:p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-0.269 (0.76)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-1.95 to 0.05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0.055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Intraoperative OMEQ</w:t>
            </w:r>
          </w:p>
        </w:tc>
        <w:tc>
          <w:tcPr>
            <w:tcW w:type="dxa" w:w="14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</w:tcPr>
          <w:p/>
        </w:tc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</w:tcPr>
          <w:p/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-0.094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-0.68 to 0.49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0.499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3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  <w:lang w:val="en-US"/>
              </w:rPr>
              <w:t xml:space="preserve">Pain scores at 48 hrs </w:t>
            </w:r>
            <w:r>
              <w:rPr>
                <w:rFonts w:ascii="Helvetica" w:hAnsi="Helvetica"/>
                <w:i w:val="1"/>
                <w:iCs w:val="1"/>
                <w:u w:color="000000"/>
                <w:rtl w:val="0"/>
                <w:lang w:val="en-US"/>
              </w:rPr>
              <w:t>(NRS)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Study group (vs. control group)</w:t>
            </w:r>
          </w:p>
        </w:tc>
        <w:tc>
          <w:tcPr>
            <w:tcW w:type="dxa" w:w="141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0.088</w:t>
            </w:r>
          </w:p>
        </w:tc>
        <w:tc>
          <w:tcPr>
            <w:tcW w:type="dxa" w:w="13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3.349</w:t>
            </w:r>
          </w:p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-0.220 (0.80)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-1.44 to 0.17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0.121</w:t>
            </w:r>
          </w:p>
        </w:tc>
      </w:tr>
      <w:tr>
        <w:tblPrEx>
          <w:shd w:val="clear" w:color="auto" w:fill="d0ddef"/>
        </w:tblPrEx>
        <w:trPr>
          <w:trHeight w:val="530" w:hRule="atLeast"/>
        </w:trPr>
        <w:tc>
          <w:tcPr>
            <w:tcW w:type="dxa" w:w="2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Intraoperative OMEQ</w:t>
            </w:r>
          </w:p>
        </w:tc>
        <w:tc>
          <w:tcPr>
            <w:tcW w:type="dxa" w:w="14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-0.362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-0.09 to -0.01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u w:color="000000"/>
                <w:rtl w:val="0"/>
                <w:lang w:val="en-US"/>
              </w:rPr>
              <w:t>0.012</w:t>
            </w:r>
          </w:p>
        </w:tc>
      </w:tr>
    </w:tbl>
    <w:p>
      <w:pPr>
        <w:pStyle w:val="Body"/>
        <w:widowControl w:val="0"/>
        <w:bidi w:val="0"/>
        <w:spacing w:after="16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