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A6FC" w14:textId="51254390" w:rsidR="007B0E6B" w:rsidRDefault="007B0E6B" w:rsidP="007B0E6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Carbon Dioxide, Blood Pressure, and Perioperative Stroke: a Retrospective Case-Control Study</w:t>
      </w:r>
    </w:p>
    <w:p w14:paraId="4075B0D7" w14:textId="172FE56A" w:rsidR="007B0E6B" w:rsidRDefault="007B0E6B" w:rsidP="00430643">
      <w:pPr>
        <w:spacing w:line="480" w:lineRule="auto"/>
        <w:rPr>
          <w:rFonts w:ascii="Arial" w:hAnsi="Arial" w:cs="Arial"/>
          <w:b/>
        </w:rPr>
      </w:pPr>
    </w:p>
    <w:p w14:paraId="01609BB3" w14:textId="27BB49FF" w:rsidR="00430643" w:rsidRPr="00E94DE5" w:rsidRDefault="00E94DE5" w:rsidP="00430643">
      <w:pPr>
        <w:spacing w:line="480" w:lineRule="auto"/>
        <w:rPr>
          <w:bCs/>
        </w:rPr>
      </w:pPr>
      <w:r>
        <w:rPr>
          <w:rFonts w:ascii="Arial" w:hAnsi="Arial" w:cs="Arial"/>
          <w:b/>
        </w:rPr>
        <w:t xml:space="preserve">Supplemental Digital Content 3: </w:t>
      </w:r>
      <w:r>
        <w:rPr>
          <w:rFonts w:ascii="Arial" w:hAnsi="Arial" w:cs="Arial"/>
          <w:bCs/>
        </w:rPr>
        <w:t>Total Area Under the Curve Calculations</w:t>
      </w:r>
    </w:p>
    <w:p w14:paraId="63FF6A18" w14:textId="77777777" w:rsidR="004A71E1" w:rsidRDefault="004A71E1" w:rsidP="00A8666A">
      <w:pPr>
        <w:spacing w:line="480" w:lineRule="auto"/>
        <w:rPr>
          <w:rFonts w:ascii="Arial" w:hAnsi="Arial" w:cs="Arial"/>
        </w:rPr>
      </w:pPr>
    </w:p>
    <w:p w14:paraId="72005168" w14:textId="5780B563" w:rsidR="00A67DF8" w:rsidRDefault="00A67DF8" w:rsidP="00A8666A">
      <w:pPr>
        <w:spacing w:line="480" w:lineRule="auto"/>
        <w:rPr>
          <w:rFonts w:ascii="Arial" w:hAnsi="Arial" w:cs="Arial"/>
        </w:rPr>
      </w:pPr>
      <w:r w:rsidRPr="00664F4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calculating </w:t>
      </w:r>
      <w:r w:rsidR="00E94DE5">
        <w:rPr>
          <w:rFonts w:ascii="Arial" w:hAnsi="Arial" w:cs="Arial"/>
        </w:rPr>
        <w:t>total</w:t>
      </w:r>
      <w:r w:rsidRPr="00664F4A">
        <w:rPr>
          <w:rFonts w:ascii="Arial" w:hAnsi="Arial" w:cs="Arial"/>
        </w:rPr>
        <w:t xml:space="preserve"> area under the curve, the use of invasive vs. non-invasive MAP </w:t>
      </w:r>
      <w:r>
        <w:rPr>
          <w:rFonts w:ascii="Arial" w:hAnsi="Arial" w:cs="Arial"/>
        </w:rPr>
        <w:t>was</w:t>
      </w:r>
      <w:r w:rsidRPr="00664F4A">
        <w:rPr>
          <w:rFonts w:ascii="Arial" w:hAnsi="Arial" w:cs="Arial"/>
        </w:rPr>
        <w:t xml:space="preserve"> operationalized as follows</w:t>
      </w:r>
      <w:r>
        <w:rPr>
          <w:rFonts w:ascii="Arial" w:hAnsi="Arial" w:cs="Arial"/>
        </w:rPr>
        <w:t>: i</w:t>
      </w:r>
      <w:r w:rsidRPr="00664F4A">
        <w:rPr>
          <w:rFonts w:ascii="Arial" w:hAnsi="Arial" w:cs="Arial"/>
        </w:rPr>
        <w:t>n the event of missing MAP data, invasive and non-invasive MAP w</w:t>
      </w:r>
      <w:r>
        <w:rPr>
          <w:rFonts w:ascii="Arial" w:hAnsi="Arial" w:cs="Arial"/>
        </w:rPr>
        <w:t>ere</w:t>
      </w:r>
      <w:r w:rsidRPr="00664F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estimated</w:t>
      </w:r>
      <w:r w:rsidRPr="00664F4A">
        <w:rPr>
          <w:rFonts w:ascii="Arial" w:hAnsi="Arial" w:cs="Arial"/>
        </w:rPr>
        <w:t xml:space="preserve"> using the formula 1/3 systolic + 2/3 diastolic; invasive systolic and diastolic pressures </w:t>
      </w:r>
      <w:r>
        <w:rPr>
          <w:rFonts w:ascii="Arial" w:hAnsi="Arial" w:cs="Arial"/>
        </w:rPr>
        <w:t>were</w:t>
      </w:r>
      <w:r w:rsidRPr="00664F4A">
        <w:rPr>
          <w:rFonts w:ascii="Arial" w:hAnsi="Arial" w:cs="Arial"/>
        </w:rPr>
        <w:t xml:space="preserve"> used to compute invasive MAP, and non-invasive systolic and diastolic pressures </w:t>
      </w:r>
      <w:r>
        <w:rPr>
          <w:rFonts w:ascii="Arial" w:hAnsi="Arial" w:cs="Arial"/>
        </w:rPr>
        <w:t>were</w:t>
      </w:r>
      <w:r w:rsidRPr="00664F4A">
        <w:rPr>
          <w:rFonts w:ascii="Arial" w:hAnsi="Arial" w:cs="Arial"/>
        </w:rPr>
        <w:t xml:space="preserve"> used to compute non-invasive MAP. For any case with ≥ 80% valid non-artifact minute-to-minute invasive MAP measurements, the invasive MAP values </w:t>
      </w:r>
      <w:r>
        <w:rPr>
          <w:rFonts w:ascii="Arial" w:hAnsi="Arial" w:cs="Arial"/>
        </w:rPr>
        <w:t>were</w:t>
      </w:r>
      <w:r w:rsidRPr="00664F4A">
        <w:rPr>
          <w:rFonts w:ascii="Arial" w:hAnsi="Arial" w:cs="Arial"/>
        </w:rPr>
        <w:t xml:space="preserve"> used to compute </w:t>
      </w:r>
      <w:r w:rsidR="004A71E1">
        <w:rPr>
          <w:rFonts w:ascii="Arial" w:hAnsi="Arial" w:cs="Arial"/>
        </w:rPr>
        <w:t>total</w:t>
      </w:r>
      <w:r w:rsidRPr="00664F4A">
        <w:rPr>
          <w:rFonts w:ascii="Arial" w:hAnsi="Arial" w:cs="Arial"/>
        </w:rPr>
        <w:t xml:space="preserve"> area under the curve for this variable. </w:t>
      </w:r>
      <w:r>
        <w:rPr>
          <w:rFonts w:ascii="Arial" w:hAnsi="Arial" w:cs="Arial"/>
        </w:rPr>
        <w:t>For a</w:t>
      </w:r>
      <w:r w:rsidRPr="00664F4A">
        <w:rPr>
          <w:rFonts w:ascii="Arial" w:hAnsi="Arial" w:cs="Arial"/>
        </w:rPr>
        <w:t>ny case with &lt;80% valid non-artifact minute-to-minute invasive MAP measurements</w:t>
      </w:r>
      <w:r>
        <w:rPr>
          <w:rFonts w:ascii="Arial" w:hAnsi="Arial" w:cs="Arial"/>
        </w:rPr>
        <w:t xml:space="preserve">, </w:t>
      </w:r>
      <w:r w:rsidRPr="00664F4A">
        <w:rPr>
          <w:rFonts w:ascii="Arial" w:hAnsi="Arial" w:cs="Arial"/>
        </w:rPr>
        <w:t>non-invasive MAP values</w:t>
      </w:r>
      <w:r>
        <w:rPr>
          <w:rFonts w:ascii="Arial" w:hAnsi="Arial" w:cs="Arial"/>
        </w:rPr>
        <w:t xml:space="preserve"> were used</w:t>
      </w:r>
      <w:r w:rsidRPr="00664F4A">
        <w:rPr>
          <w:rFonts w:ascii="Arial" w:hAnsi="Arial" w:cs="Arial"/>
        </w:rPr>
        <w:t xml:space="preserve"> for this computation.</w:t>
      </w:r>
    </w:p>
    <w:p w14:paraId="52D09FCC" w14:textId="288F24C3" w:rsidR="00174D51" w:rsidRDefault="00174D51" w:rsidP="00A8666A">
      <w:pPr>
        <w:spacing w:line="480" w:lineRule="auto"/>
        <w:rPr>
          <w:rFonts w:ascii="Arial" w:hAnsi="Arial" w:cs="Arial"/>
        </w:rPr>
      </w:pPr>
    </w:p>
    <w:p w14:paraId="6B6C7E2F" w14:textId="092DC032" w:rsidR="00174D51" w:rsidRPr="00174D51" w:rsidRDefault="00174D51" w:rsidP="00174D51">
      <w:pPr>
        <w:pStyle w:val="Default"/>
        <w:spacing w:line="480" w:lineRule="auto"/>
        <w:rPr>
          <w:rFonts w:ascii="Arial" w:hAnsi="Arial" w:cs="Arial"/>
          <w:color w:val="000000" w:themeColor="text1"/>
        </w:rPr>
      </w:pPr>
      <w:r w:rsidRPr="00174D51">
        <w:rPr>
          <w:rFonts w:ascii="Arial" w:hAnsi="Arial" w:cs="Arial"/>
        </w:rPr>
        <w:t xml:space="preserve">To provide an example of these calculations (based on study results), </w:t>
      </w:r>
      <w:r w:rsidRPr="00174D51">
        <w:rPr>
          <w:rFonts w:ascii="Arial" w:hAnsi="Arial" w:cs="Arial"/>
          <w:color w:val="000000" w:themeColor="text1"/>
        </w:rPr>
        <w:t>for a MAP of 50 mmHg for 10 minutes, the area under the curve would be 50 mmHg-min (5 mmHg below the threshold x 10 minutes). For an EtCO</w:t>
      </w:r>
      <w:r w:rsidRPr="00174D51">
        <w:rPr>
          <w:rFonts w:ascii="Arial" w:hAnsi="Arial" w:cs="Arial"/>
          <w:color w:val="000000" w:themeColor="text1"/>
          <w:vertAlign w:val="subscript"/>
        </w:rPr>
        <w:t xml:space="preserve">2 </w:t>
      </w:r>
      <w:r w:rsidRPr="00174D51">
        <w:rPr>
          <w:rFonts w:ascii="Arial" w:hAnsi="Arial" w:cs="Arial"/>
          <w:color w:val="000000" w:themeColor="text1"/>
        </w:rPr>
        <w:t>of 28 mmHg for 10 minutes, the area under the curve would be 30 mmHg-min (3 mmHg within/below the threshold for 10 minutes). In this scenario, the increased stroke risk would be the following:</w:t>
      </w:r>
    </w:p>
    <w:p w14:paraId="5E02A4DE" w14:textId="1F65C5A6" w:rsidR="00174D51" w:rsidRPr="00174D51" w:rsidRDefault="00174D51" w:rsidP="00174D51">
      <w:pPr>
        <w:pStyle w:val="Default"/>
        <w:spacing w:line="480" w:lineRule="auto"/>
        <w:rPr>
          <w:rFonts w:ascii="Arial" w:hAnsi="Arial" w:cs="Arial"/>
          <w:color w:val="000000" w:themeColor="text1"/>
        </w:rPr>
      </w:pPr>
      <w:r w:rsidRPr="00174D51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-</w:t>
      </w:r>
      <w:r w:rsidRPr="00174D51">
        <w:rPr>
          <w:rFonts w:ascii="Arial" w:hAnsi="Arial" w:cs="Arial"/>
          <w:color w:val="000000" w:themeColor="text1"/>
        </w:rPr>
        <w:t>Increased risk based on MAP&lt;55 mmHg threshold (primary analysis): 1.010</w:t>
      </w:r>
      <w:r w:rsidRPr="00174D51">
        <w:rPr>
          <w:rFonts w:ascii="Arial" w:hAnsi="Arial" w:cs="Arial"/>
          <w:color w:val="000000" w:themeColor="text1"/>
          <w:vertAlign w:val="superscript"/>
        </w:rPr>
        <w:t>50</w:t>
      </w:r>
      <w:r w:rsidRPr="00174D51">
        <w:rPr>
          <w:rFonts w:ascii="Arial" w:hAnsi="Arial" w:cs="Arial"/>
          <w:color w:val="000000" w:themeColor="text1"/>
        </w:rPr>
        <w:t xml:space="preserve"> = </w:t>
      </w:r>
      <w:r w:rsidRPr="00174D51">
        <w:rPr>
          <w:rFonts w:ascii="Arial" w:hAnsi="Arial" w:cs="Arial"/>
          <w:color w:val="000000" w:themeColor="text1"/>
          <w:u w:val="single"/>
        </w:rPr>
        <w:t>1.64</w:t>
      </w:r>
    </w:p>
    <w:p w14:paraId="7313903A" w14:textId="6DD8D349" w:rsidR="00174D51" w:rsidRPr="00174D51" w:rsidRDefault="00174D51" w:rsidP="00174D51">
      <w:pPr>
        <w:pStyle w:val="Default"/>
        <w:spacing w:line="480" w:lineRule="auto"/>
        <w:rPr>
          <w:rFonts w:ascii="Arial" w:hAnsi="Arial" w:cs="Arial"/>
          <w:color w:val="000000" w:themeColor="text1"/>
        </w:rPr>
      </w:pPr>
      <w:r w:rsidRPr="00174D51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-</w:t>
      </w:r>
      <w:r w:rsidRPr="00174D51">
        <w:rPr>
          <w:rFonts w:ascii="Arial" w:hAnsi="Arial" w:cs="Arial"/>
          <w:color w:val="000000" w:themeColor="text1"/>
        </w:rPr>
        <w:t>Increased risk based on EtCO</w:t>
      </w:r>
      <w:r w:rsidRPr="00174D51">
        <w:rPr>
          <w:rFonts w:ascii="Arial" w:hAnsi="Arial" w:cs="Arial"/>
          <w:color w:val="000000" w:themeColor="text1"/>
          <w:vertAlign w:val="subscript"/>
        </w:rPr>
        <w:t>2</w:t>
      </w:r>
      <w:r w:rsidRPr="00174D51">
        <w:rPr>
          <w:rFonts w:ascii="Arial" w:hAnsi="Arial" w:cs="Arial"/>
          <w:color w:val="000000" w:themeColor="text1"/>
        </w:rPr>
        <w:t xml:space="preserve"> 30 mmHg threshold (primary analysis): 1.00</w:t>
      </w:r>
      <w:r w:rsidR="008465D9">
        <w:rPr>
          <w:rFonts w:ascii="Arial" w:hAnsi="Arial" w:cs="Arial"/>
          <w:color w:val="000000" w:themeColor="text1"/>
        </w:rPr>
        <w:t>7</w:t>
      </w:r>
      <w:r w:rsidRPr="00174D51">
        <w:rPr>
          <w:rFonts w:ascii="Arial" w:hAnsi="Arial" w:cs="Arial"/>
          <w:color w:val="000000" w:themeColor="text1"/>
          <w:vertAlign w:val="superscript"/>
        </w:rPr>
        <w:t>30</w:t>
      </w:r>
      <w:r w:rsidRPr="00174D51">
        <w:rPr>
          <w:rFonts w:ascii="Arial" w:hAnsi="Arial" w:cs="Arial"/>
          <w:color w:val="000000" w:themeColor="text1"/>
        </w:rPr>
        <w:t xml:space="preserve"> = </w:t>
      </w:r>
      <w:r w:rsidRPr="00174D51">
        <w:rPr>
          <w:rFonts w:ascii="Arial" w:hAnsi="Arial" w:cs="Arial"/>
          <w:color w:val="000000" w:themeColor="text1"/>
          <w:u w:val="single"/>
        </w:rPr>
        <w:t>1.2</w:t>
      </w:r>
      <w:r w:rsidR="008465D9">
        <w:rPr>
          <w:rFonts w:ascii="Arial" w:hAnsi="Arial" w:cs="Arial"/>
          <w:color w:val="000000" w:themeColor="text1"/>
          <w:u w:val="single"/>
        </w:rPr>
        <w:t>3</w:t>
      </w:r>
    </w:p>
    <w:p w14:paraId="1682038A" w14:textId="57E1FEAC" w:rsidR="00174D51" w:rsidRPr="00174D51" w:rsidRDefault="00174D51" w:rsidP="00174D51">
      <w:pPr>
        <w:spacing w:line="480" w:lineRule="auto"/>
        <w:rPr>
          <w:rFonts w:ascii="Arial" w:eastAsia="Times New Roman" w:hAnsi="Arial" w:cs="Arial"/>
          <w:color w:val="000000"/>
        </w:rPr>
      </w:pPr>
      <w:r w:rsidRPr="00174D51">
        <w:rPr>
          <w:rFonts w:ascii="Arial" w:hAnsi="Arial" w:cs="Arial"/>
          <w:color w:val="000000" w:themeColor="text1"/>
        </w:rPr>
        <w:lastRenderedPageBreak/>
        <w:t>There is an additive risk between these exposure variables; as such, we multiply the new, adjusted odds ratios (1.64 x 1.2</w:t>
      </w:r>
      <w:r w:rsidR="008465D9">
        <w:rPr>
          <w:rFonts w:ascii="Arial" w:hAnsi="Arial" w:cs="Arial"/>
          <w:color w:val="000000" w:themeColor="text1"/>
        </w:rPr>
        <w:t>3</w:t>
      </w:r>
      <w:r w:rsidRPr="00174D51">
        <w:rPr>
          <w:rFonts w:ascii="Arial" w:hAnsi="Arial" w:cs="Arial"/>
          <w:color w:val="000000" w:themeColor="text1"/>
        </w:rPr>
        <w:t xml:space="preserve">) to reveal a </w:t>
      </w:r>
      <w:r w:rsidRPr="00174D51">
        <w:rPr>
          <w:rFonts w:ascii="Arial" w:hAnsi="Arial" w:cs="Arial"/>
          <w:b/>
          <w:bCs/>
          <w:color w:val="000000" w:themeColor="text1"/>
        </w:rPr>
        <w:t>2.0</w:t>
      </w:r>
      <w:r w:rsidR="008465D9">
        <w:rPr>
          <w:rFonts w:ascii="Arial" w:hAnsi="Arial" w:cs="Arial"/>
          <w:b/>
          <w:bCs/>
          <w:color w:val="000000" w:themeColor="text1"/>
        </w:rPr>
        <w:t>2</w:t>
      </w:r>
      <w:r w:rsidRPr="00174D51">
        <w:rPr>
          <w:rFonts w:ascii="Arial" w:hAnsi="Arial" w:cs="Arial"/>
          <w:b/>
          <w:bCs/>
          <w:color w:val="000000" w:themeColor="text1"/>
        </w:rPr>
        <w:t xml:space="preserve"> (20</w:t>
      </w:r>
      <w:r w:rsidR="008465D9">
        <w:rPr>
          <w:rFonts w:ascii="Arial" w:hAnsi="Arial" w:cs="Arial"/>
          <w:b/>
          <w:bCs/>
          <w:color w:val="000000" w:themeColor="text1"/>
        </w:rPr>
        <w:t>2</w:t>
      </w:r>
      <w:r w:rsidRPr="00174D51">
        <w:rPr>
          <w:rFonts w:ascii="Arial" w:hAnsi="Arial" w:cs="Arial"/>
          <w:b/>
          <w:bCs/>
          <w:color w:val="000000" w:themeColor="text1"/>
        </w:rPr>
        <w:t>%)</w:t>
      </w:r>
      <w:r w:rsidRPr="00174D51">
        <w:rPr>
          <w:rFonts w:ascii="Arial" w:hAnsi="Arial" w:cs="Arial"/>
          <w:color w:val="000000" w:themeColor="text1"/>
        </w:rPr>
        <w:t xml:space="preserve"> increased risk. </w:t>
      </w:r>
      <w:r w:rsidRPr="00174D51">
        <w:rPr>
          <w:rFonts w:ascii="Arial" w:hAnsi="Arial" w:cs="Arial"/>
        </w:rPr>
        <w:t xml:space="preserve"> </w:t>
      </w:r>
    </w:p>
    <w:p w14:paraId="5C2778AD" w14:textId="77777777" w:rsidR="00A67DF8" w:rsidRDefault="00A67DF8" w:rsidP="00A8666A">
      <w:pPr>
        <w:spacing w:line="480" w:lineRule="auto"/>
        <w:rPr>
          <w:rFonts w:ascii="Arial" w:eastAsia="Times New Roman" w:hAnsi="Arial" w:cs="Arial"/>
          <w:color w:val="000000"/>
        </w:rPr>
      </w:pPr>
    </w:p>
    <w:p w14:paraId="674F96FA" w14:textId="2A65A43D" w:rsidR="007916DD" w:rsidRPr="00A67DF8" w:rsidRDefault="007916DD" w:rsidP="00A8666A">
      <w:pPr>
        <w:spacing w:line="480" w:lineRule="auto"/>
        <w:rPr>
          <w:rFonts w:ascii="Arial" w:eastAsia="Times New Roman" w:hAnsi="Arial" w:cs="Arial"/>
          <w:color w:val="000000"/>
          <w:u w:val="single"/>
        </w:rPr>
      </w:pPr>
      <w:r w:rsidRPr="00A67DF8">
        <w:rPr>
          <w:rFonts w:ascii="Arial" w:eastAsia="Times New Roman" w:hAnsi="Arial" w:cs="Arial"/>
          <w:color w:val="000000"/>
          <w:u w:val="single"/>
        </w:rPr>
        <w:t>Intraoperative Blood Pressure Monitoring, Signal Processing, and Arterial Blood Pressure Artifact Reduction</w:t>
      </w:r>
    </w:p>
    <w:p w14:paraId="7FF2FC20" w14:textId="77777777" w:rsidR="007916DD" w:rsidRDefault="007916DD" w:rsidP="007916DD">
      <w:pPr>
        <w:spacing w:line="480" w:lineRule="auto"/>
        <w:rPr>
          <w:rFonts w:ascii="Arial" w:eastAsia="Times New Roman" w:hAnsi="Arial" w:cs="Arial"/>
          <w:color w:val="000000"/>
        </w:rPr>
      </w:pPr>
      <w:r w:rsidRPr="005608BA">
        <w:rPr>
          <w:rFonts w:ascii="Arial" w:eastAsia="Times New Roman" w:hAnsi="Arial" w:cs="Arial"/>
          <w:color w:val="000000"/>
        </w:rPr>
        <w:t>For arterial line waveform data or non-invasive blood pressure monitoring data, when simultaneous values are recorded, the higher of the two MAP values w</w:t>
      </w:r>
      <w:r>
        <w:rPr>
          <w:rFonts w:ascii="Arial" w:eastAsia="Times New Roman" w:hAnsi="Arial" w:cs="Arial"/>
          <w:color w:val="000000"/>
        </w:rPr>
        <w:t>ere</w:t>
      </w:r>
      <w:r w:rsidRPr="005608BA">
        <w:rPr>
          <w:rFonts w:ascii="Arial" w:eastAsia="Times New Roman" w:hAnsi="Arial" w:cs="Arial"/>
          <w:color w:val="000000"/>
        </w:rPr>
        <w:t xml:space="preserve"> used. When blood pressure monitoring is non-continuous during a case (</w:t>
      </w:r>
      <w:r>
        <w:rPr>
          <w:rFonts w:ascii="Arial" w:eastAsia="Times New Roman" w:hAnsi="Arial" w:cs="Arial"/>
          <w:color w:val="000000"/>
        </w:rPr>
        <w:t>i.e.,</w:t>
      </w:r>
      <w:r w:rsidRPr="005608BA">
        <w:rPr>
          <w:rFonts w:ascii="Arial" w:eastAsia="Times New Roman" w:hAnsi="Arial" w:cs="Arial"/>
          <w:color w:val="000000"/>
        </w:rPr>
        <w:t xml:space="preserve"> non-invasive blood pressure measurements, or arterial line disconnected), blood pressure will be assumed constant and equal to the previous measurement if within five minutes from the most recent measurement</w:t>
      </w:r>
      <w:r>
        <w:rPr>
          <w:rFonts w:ascii="Arial" w:eastAsia="Times New Roman" w:hAnsi="Arial" w:cs="Arial"/>
          <w:color w:val="000000"/>
        </w:rPr>
        <w:t>. I</w:t>
      </w:r>
      <w:r w:rsidRPr="005608BA">
        <w:rPr>
          <w:rFonts w:ascii="Arial" w:eastAsia="Times New Roman" w:hAnsi="Arial" w:cs="Arial"/>
          <w:color w:val="000000"/>
        </w:rPr>
        <w:t>f five minutes or greater from any blood pressure measurement value, blood pressure will be presumed unknown and treated as missing data.</w:t>
      </w:r>
    </w:p>
    <w:p w14:paraId="27BF5CC6" w14:textId="77777777" w:rsidR="007916DD" w:rsidRDefault="007916DD" w:rsidP="007916DD">
      <w:pPr>
        <w:spacing w:line="480" w:lineRule="auto"/>
        <w:rPr>
          <w:rFonts w:ascii="Arial" w:eastAsia="Times New Roman" w:hAnsi="Arial" w:cs="Arial"/>
          <w:color w:val="000000"/>
        </w:rPr>
      </w:pPr>
    </w:p>
    <w:p w14:paraId="7356E939" w14:textId="77777777" w:rsidR="007916DD" w:rsidRDefault="007916DD" w:rsidP="007916DD">
      <w:pPr>
        <w:spacing w:line="480" w:lineRule="auto"/>
        <w:rPr>
          <w:rFonts w:ascii="Arial" w:eastAsia="Times New Roman" w:hAnsi="Arial" w:cs="Arial"/>
          <w:color w:val="000000"/>
        </w:rPr>
      </w:pPr>
      <w:r w:rsidRPr="005608BA">
        <w:rPr>
          <w:rFonts w:ascii="Arial" w:eastAsia="Times New Roman" w:hAnsi="Arial" w:cs="Arial"/>
          <w:color w:val="000000"/>
        </w:rPr>
        <w:t>Additional blood pressure monitoring artifact reduction will be performed as follows:</w:t>
      </w:r>
    </w:p>
    <w:p w14:paraId="683E32FB" w14:textId="77777777" w:rsidR="007916DD" w:rsidRDefault="007916DD" w:rsidP="007916DD">
      <w:pPr>
        <w:spacing w:line="480" w:lineRule="auto"/>
        <w:rPr>
          <w:rFonts w:ascii="Arial" w:eastAsia="Times New Roman" w:hAnsi="Arial" w:cs="Arial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0"/>
        <w:gridCol w:w="5070"/>
      </w:tblGrid>
      <w:tr w:rsidR="007916DD" w:rsidRPr="00664F4A" w14:paraId="65160B76" w14:textId="77777777" w:rsidTr="000D7B69">
        <w:trPr>
          <w:trHeight w:val="15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6AA04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b/>
                <w:bCs/>
                <w:color w:val="000000"/>
              </w:rPr>
              <w:t>Artifact Elimination Strategy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52556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b/>
                <w:bCs/>
                <w:color w:val="000000"/>
              </w:rPr>
              <w:t>Rules/Logic</w:t>
            </w:r>
          </w:p>
        </w:tc>
      </w:tr>
      <w:tr w:rsidR="007916DD" w:rsidRPr="00664F4A" w14:paraId="2732CC56" w14:textId="77777777" w:rsidTr="000D7B69">
        <w:trPr>
          <w:trHeight w:val="15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2A90D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Provider Marked Artifacts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C22E0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Marked as artifact in real-time by the provider</w:t>
            </w:r>
          </w:p>
        </w:tc>
      </w:tr>
      <w:tr w:rsidR="007916DD" w:rsidRPr="00664F4A" w14:paraId="1DE4D0F1" w14:textId="77777777" w:rsidTr="000D7B69">
        <w:trPr>
          <w:trHeight w:val="480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5B45D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Artifact from arterial line clamping, damping, or flushing; or cuff under external pressure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54BAC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SBP &gt; 200 AND PP &lt; 50</w:t>
            </w:r>
          </w:p>
        </w:tc>
      </w:tr>
      <w:tr w:rsidR="007916DD" w:rsidRPr="00664F4A" w14:paraId="364B495E" w14:textId="77777777" w:rsidTr="000D7B69">
        <w:trPr>
          <w:trHeight w:val="15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05DA7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5C109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SBP &gt; 150 and SBP ≤200 AND  PP &lt; 30</w:t>
            </w:r>
          </w:p>
        </w:tc>
      </w:tr>
      <w:tr w:rsidR="007916DD" w:rsidRPr="00664F4A" w14:paraId="6A7B79E6" w14:textId="77777777" w:rsidTr="000D7B69">
        <w:trPr>
          <w:trHeight w:val="15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A5F7D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DE4B3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SBP ≥ 100 AND SBP ≤ 150 AND PP &lt; 15</w:t>
            </w:r>
          </w:p>
        </w:tc>
      </w:tr>
      <w:tr w:rsidR="007916DD" w:rsidRPr="00664F4A" w14:paraId="72BEFB3A" w14:textId="77777777" w:rsidTr="000D7B69">
        <w:trPr>
          <w:trHeight w:val="15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04DDA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76589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SBP &lt; 100 AND PP &lt; 10</w:t>
            </w:r>
          </w:p>
        </w:tc>
      </w:tr>
      <w:tr w:rsidR="007916DD" w:rsidRPr="00664F4A" w14:paraId="7C0A791F" w14:textId="77777777" w:rsidTr="000D7B69">
        <w:trPr>
          <w:trHeight w:val="480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8E4B2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Artifact from arterial line or cuff transducing signal but disconnected from patient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A47A0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SBP ≤ 10 OR DBP ≤ 10</w:t>
            </w:r>
          </w:p>
        </w:tc>
      </w:tr>
      <w:tr w:rsidR="007916DD" w:rsidRPr="00664F4A" w14:paraId="26A0F7E6" w14:textId="77777777" w:rsidTr="000D7B69">
        <w:trPr>
          <w:trHeight w:val="15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59CB6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9D518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SBP = DBP = MAP</w:t>
            </w:r>
          </w:p>
        </w:tc>
      </w:tr>
      <w:tr w:rsidR="007916DD" w:rsidRPr="00664F4A" w14:paraId="0F0A07BD" w14:textId="77777777" w:rsidTr="000D7B69">
        <w:trPr>
          <w:trHeight w:val="15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307E7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2D81F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MAP &lt; 0</w:t>
            </w:r>
          </w:p>
        </w:tc>
      </w:tr>
      <w:tr w:rsidR="007916DD" w:rsidRPr="00664F4A" w14:paraId="174D5604" w14:textId="77777777" w:rsidTr="000D7B69">
        <w:trPr>
          <w:trHeight w:val="15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7957C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E75E2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MAP ≥ 140</w:t>
            </w:r>
          </w:p>
        </w:tc>
      </w:tr>
      <w:tr w:rsidR="007916DD" w:rsidRPr="00664F4A" w14:paraId="47BE98DF" w14:textId="77777777" w:rsidTr="000D7B69">
        <w:trPr>
          <w:trHeight w:val="60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9951F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A8C8B" w14:textId="77777777" w:rsidR="007916DD" w:rsidRPr="00664F4A" w:rsidRDefault="007916DD" w:rsidP="000D7B69">
            <w:pPr>
              <w:spacing w:line="480" w:lineRule="auto"/>
              <w:rPr>
                <w:rFonts w:ascii="Arial" w:eastAsia="Times New Roman" w:hAnsi="Arial" w:cs="Arial"/>
              </w:rPr>
            </w:pPr>
            <w:r w:rsidRPr="00664F4A">
              <w:rPr>
                <w:rFonts w:ascii="Arial" w:eastAsia="Times New Roman" w:hAnsi="Arial" w:cs="Arial"/>
                <w:color w:val="000000"/>
              </w:rPr>
              <w:t>If any BP is marked as artifact, then all BP measurements for that time will be marked as artifact</w:t>
            </w:r>
          </w:p>
        </w:tc>
      </w:tr>
    </w:tbl>
    <w:p w14:paraId="41846D28" w14:textId="23012B22" w:rsidR="00EB72A1" w:rsidRPr="001F5749" w:rsidRDefault="007916DD" w:rsidP="001F5749">
      <w:pPr>
        <w:spacing w:line="480" w:lineRule="auto"/>
        <w:rPr>
          <w:rFonts w:ascii="Arial" w:eastAsia="Times New Roman" w:hAnsi="Arial" w:cs="Arial"/>
          <w:sz w:val="20"/>
          <w:szCs w:val="20"/>
        </w:rPr>
      </w:pPr>
      <w:r w:rsidRPr="00D541A1">
        <w:rPr>
          <w:rFonts w:ascii="Arial" w:eastAsia="Times New Roman" w:hAnsi="Arial" w:cs="Arial"/>
          <w:color w:val="000000"/>
          <w:sz w:val="20"/>
          <w:szCs w:val="20"/>
        </w:rPr>
        <w:t>SBP = Systolic Blood Pressure; DBP = Diastolic Blood Pressure; MAP = Mean Arterial Pressure; PP = Pulse Pressure (SBP-DBP). If artifact other than provider-marked, is detected for SBP, DBP, or MAP for a specific reading, then all three blood pressure values are marked as an artifact.</w:t>
      </w:r>
    </w:p>
    <w:sectPr w:rsidR="00EB72A1" w:rsidRPr="001F5749" w:rsidSect="00A8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77"/>
    <w:rsid w:val="000002A9"/>
    <w:rsid w:val="000577EF"/>
    <w:rsid w:val="000837B3"/>
    <w:rsid w:val="0014073F"/>
    <w:rsid w:val="00153045"/>
    <w:rsid w:val="00167E61"/>
    <w:rsid w:val="00174D51"/>
    <w:rsid w:val="001B4BCB"/>
    <w:rsid w:val="001C3BCB"/>
    <w:rsid w:val="001F5749"/>
    <w:rsid w:val="002E7CBA"/>
    <w:rsid w:val="00390900"/>
    <w:rsid w:val="003A73F2"/>
    <w:rsid w:val="003C2E67"/>
    <w:rsid w:val="00401BA9"/>
    <w:rsid w:val="00425E40"/>
    <w:rsid w:val="00430643"/>
    <w:rsid w:val="00441E40"/>
    <w:rsid w:val="004678CD"/>
    <w:rsid w:val="00480930"/>
    <w:rsid w:val="004A3F62"/>
    <w:rsid w:val="004A71E1"/>
    <w:rsid w:val="004C2BF6"/>
    <w:rsid w:val="00563899"/>
    <w:rsid w:val="00680137"/>
    <w:rsid w:val="006D096C"/>
    <w:rsid w:val="006D14C9"/>
    <w:rsid w:val="006E3E0A"/>
    <w:rsid w:val="00716DDE"/>
    <w:rsid w:val="007331EC"/>
    <w:rsid w:val="0075133A"/>
    <w:rsid w:val="007540A7"/>
    <w:rsid w:val="007916DD"/>
    <w:rsid w:val="007B0E6B"/>
    <w:rsid w:val="007B2F6C"/>
    <w:rsid w:val="00816577"/>
    <w:rsid w:val="008465D9"/>
    <w:rsid w:val="008533F7"/>
    <w:rsid w:val="00853FA7"/>
    <w:rsid w:val="008858F0"/>
    <w:rsid w:val="008A04BB"/>
    <w:rsid w:val="008E23A0"/>
    <w:rsid w:val="009E6904"/>
    <w:rsid w:val="00A30422"/>
    <w:rsid w:val="00A67DF8"/>
    <w:rsid w:val="00A8666A"/>
    <w:rsid w:val="00B53248"/>
    <w:rsid w:val="00B87FD6"/>
    <w:rsid w:val="00B95015"/>
    <w:rsid w:val="00C60D01"/>
    <w:rsid w:val="00CB730B"/>
    <w:rsid w:val="00D0616A"/>
    <w:rsid w:val="00D541A1"/>
    <w:rsid w:val="00D80D52"/>
    <w:rsid w:val="00E63565"/>
    <w:rsid w:val="00E94DE5"/>
    <w:rsid w:val="00EB52FC"/>
    <w:rsid w:val="00EB72A1"/>
    <w:rsid w:val="00ED0965"/>
    <w:rsid w:val="00ED0E4D"/>
    <w:rsid w:val="00ED4586"/>
    <w:rsid w:val="00F26175"/>
    <w:rsid w:val="00F858CE"/>
    <w:rsid w:val="00FE3585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DA6B"/>
  <w15:chartTrackingRefBased/>
  <w15:docId w15:val="{1EF32575-5FA9-4885-9404-BA5409C5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643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64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430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0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6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B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52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D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74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Vlisides, Phillip</dc:creator>
  <cp:keywords/>
  <dc:description/>
  <cp:lastModifiedBy>Vlisides, Phillip</cp:lastModifiedBy>
  <cp:revision>6</cp:revision>
  <dcterms:created xsi:type="dcterms:W3CDTF">2022-01-21T18:47:00Z</dcterms:created>
  <dcterms:modified xsi:type="dcterms:W3CDTF">2022-05-25T19:14:00Z</dcterms:modified>
</cp:coreProperties>
</file>