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A6FC" w14:textId="13C19938" w:rsidR="007B0E6B" w:rsidRDefault="007B0E6B" w:rsidP="007B0E6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Carbon Dioxide, Blood Pressure, and Perioperative Stroke: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Retrospective Case-Control Study</w:t>
      </w:r>
    </w:p>
    <w:p w14:paraId="4075B0D7" w14:textId="172FE56A" w:rsidR="007B0E6B" w:rsidRDefault="007B0E6B" w:rsidP="00430643">
      <w:pPr>
        <w:spacing w:line="480" w:lineRule="auto"/>
        <w:rPr>
          <w:rFonts w:ascii="Arial" w:hAnsi="Arial" w:cs="Arial"/>
          <w:b/>
        </w:rPr>
      </w:pPr>
    </w:p>
    <w:p w14:paraId="033D700D" w14:textId="46FED012" w:rsidR="007916DD" w:rsidRDefault="00E94DE5" w:rsidP="00A8666A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Supplemental Digital Content </w:t>
      </w:r>
      <w:r w:rsidR="00B7516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853FA7" w:rsidRPr="00EB2616">
        <w:rPr>
          <w:rFonts w:ascii="Arial" w:hAnsi="Arial" w:cs="Arial"/>
        </w:rPr>
        <w:t xml:space="preserve">Interaction </w:t>
      </w:r>
      <w:r w:rsidR="008533F7" w:rsidRPr="00EB2616">
        <w:rPr>
          <w:rFonts w:ascii="Arial" w:hAnsi="Arial" w:cs="Arial"/>
        </w:rPr>
        <w:t>Testing – Wald Test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0"/>
        <w:gridCol w:w="1170"/>
        <w:gridCol w:w="1165"/>
        <w:gridCol w:w="990"/>
        <w:gridCol w:w="1620"/>
      </w:tblGrid>
      <w:tr w:rsidR="00EB52FC" w:rsidRPr="00B96BFD" w14:paraId="097E764D" w14:textId="43C2AA0F" w:rsidTr="00C60D01">
        <w:trPr>
          <w:trHeight w:val="315"/>
        </w:trPr>
        <w:tc>
          <w:tcPr>
            <w:tcW w:w="3240" w:type="dxa"/>
            <w:noWrap/>
            <w:hideMark/>
          </w:tcPr>
          <w:p w14:paraId="2A7EFA42" w14:textId="77777777" w:rsidR="00EB52FC" w:rsidRPr="00077F31" w:rsidRDefault="00EB52FC" w:rsidP="000D7B69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Threshold</w:t>
            </w:r>
          </w:p>
        </w:tc>
        <w:tc>
          <w:tcPr>
            <w:tcW w:w="1170" w:type="dxa"/>
            <w:noWrap/>
            <w:hideMark/>
          </w:tcPr>
          <w:p w14:paraId="64536DA5" w14:textId="50032383" w:rsidR="00EB52FC" w:rsidRPr="00B96BFD" w:rsidRDefault="00D94301" w:rsidP="000D7B69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Cross-Level </w:t>
            </w:r>
            <w:r w:rsidR="00EB52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65" w:type="dxa"/>
            <w:noWrap/>
            <w:hideMark/>
          </w:tcPr>
          <w:p w14:paraId="6FA25191" w14:textId="76F9DAAD" w:rsidR="00EB52FC" w:rsidRPr="00B96BFD" w:rsidRDefault="00EB52FC" w:rsidP="000D7B69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990" w:type="dxa"/>
            <w:noWrap/>
            <w:hideMark/>
          </w:tcPr>
          <w:p w14:paraId="412026D4" w14:textId="39B76630" w:rsidR="00EB52FC" w:rsidRPr="00B96BFD" w:rsidRDefault="00EB52FC" w:rsidP="000D7B69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Wald</w:t>
            </w:r>
          </w:p>
        </w:tc>
        <w:tc>
          <w:tcPr>
            <w:tcW w:w="1620" w:type="dxa"/>
          </w:tcPr>
          <w:p w14:paraId="1E02E94D" w14:textId="4EFC38C4" w:rsidR="00EB52FC" w:rsidRDefault="00EB52FC" w:rsidP="000D7B69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Wald p-value</w:t>
            </w:r>
          </w:p>
        </w:tc>
      </w:tr>
      <w:tr w:rsidR="004678CD" w:rsidRPr="00B96BFD" w14:paraId="39867DF7" w14:textId="70BCFF5E" w:rsidTr="00C60D01">
        <w:trPr>
          <w:trHeight w:val="300"/>
        </w:trPr>
        <w:tc>
          <w:tcPr>
            <w:tcW w:w="3240" w:type="dxa"/>
            <w:noWrap/>
            <w:hideMark/>
          </w:tcPr>
          <w:p w14:paraId="538D0EEF" w14:textId="54B84272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MAP&lt;55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6582D20B" w14:textId="0E715F28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78B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noWrap/>
            <w:vAlign w:val="bottom"/>
          </w:tcPr>
          <w:p w14:paraId="66C0ED6D" w14:textId="0AFC02EB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0" w:type="dxa"/>
            <w:noWrap/>
            <w:vAlign w:val="bottom"/>
          </w:tcPr>
          <w:p w14:paraId="12614AFD" w14:textId="1D517A96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1D9DB588" w14:textId="506E6D26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B52FC" w:rsidRPr="00B96BFD" w14:paraId="19AC745E" w14:textId="4649E9F6" w:rsidTr="00C60D01">
        <w:trPr>
          <w:trHeight w:val="300"/>
        </w:trPr>
        <w:tc>
          <w:tcPr>
            <w:tcW w:w="3240" w:type="dxa"/>
            <w:noWrap/>
            <w:hideMark/>
          </w:tcPr>
          <w:p w14:paraId="779B2D17" w14:textId="56CF148E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171DCCAF" w14:textId="46C25174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6D421CD4" w14:textId="23A68829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1C58E741" w14:textId="28F6EB1D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A16E1E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459CC7FC" w14:textId="780A3004" w:rsidTr="00C60D01">
        <w:trPr>
          <w:trHeight w:val="300"/>
        </w:trPr>
        <w:tc>
          <w:tcPr>
            <w:tcW w:w="3240" w:type="dxa"/>
            <w:noWrap/>
            <w:hideMark/>
          </w:tcPr>
          <w:p w14:paraId="07F90621" w14:textId="040D1053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MAP&lt;60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776CDA81" w14:textId="2E5C2E6A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5" w:type="dxa"/>
            <w:noWrap/>
            <w:vAlign w:val="bottom"/>
          </w:tcPr>
          <w:p w14:paraId="260781BF" w14:textId="7410CC47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0" w:type="dxa"/>
            <w:noWrap/>
            <w:vAlign w:val="bottom"/>
          </w:tcPr>
          <w:p w14:paraId="09095209" w14:textId="59D8A103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AB632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bottom"/>
          </w:tcPr>
          <w:p w14:paraId="39E0EF5B" w14:textId="59A5D478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EB52FC" w:rsidRPr="00B96BFD" w14:paraId="3B638B43" w14:textId="054B511A" w:rsidTr="00C60D01">
        <w:trPr>
          <w:trHeight w:val="300"/>
        </w:trPr>
        <w:tc>
          <w:tcPr>
            <w:tcW w:w="3240" w:type="dxa"/>
            <w:noWrap/>
            <w:hideMark/>
          </w:tcPr>
          <w:p w14:paraId="2AB0E88A" w14:textId="5382B726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5FD5AF60" w14:textId="2CF1849C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23B5ED63" w14:textId="611CE7B2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1560BDF1" w14:textId="1770E564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72FA29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17F997DC" w14:textId="16F3B4B7" w:rsidTr="00C60D01">
        <w:trPr>
          <w:trHeight w:val="300"/>
        </w:trPr>
        <w:tc>
          <w:tcPr>
            <w:tcW w:w="3240" w:type="dxa"/>
            <w:noWrap/>
            <w:hideMark/>
          </w:tcPr>
          <w:p w14:paraId="74E25278" w14:textId="5A276B21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MAP&lt;65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2982AA39" w14:textId="0FBF1D3B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bottom"/>
          </w:tcPr>
          <w:p w14:paraId="14C92473" w14:textId="01089F15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0" w:type="dxa"/>
            <w:noWrap/>
            <w:vAlign w:val="bottom"/>
          </w:tcPr>
          <w:p w14:paraId="03881E28" w14:textId="25F88DB2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1E687E57" w14:textId="07EDCEBF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</w:tr>
      <w:tr w:rsidR="00EB52FC" w:rsidRPr="00B96BFD" w14:paraId="1D9EA10C" w14:textId="29C38960" w:rsidTr="00C60D01">
        <w:trPr>
          <w:trHeight w:val="300"/>
        </w:trPr>
        <w:tc>
          <w:tcPr>
            <w:tcW w:w="3240" w:type="dxa"/>
            <w:noWrap/>
            <w:hideMark/>
          </w:tcPr>
          <w:p w14:paraId="5D4396A8" w14:textId="5082541C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04F78CAB" w14:textId="0796BF20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27DC233C" w14:textId="4CCA4A71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43408798" w14:textId="18F36730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7A0370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7E15D7A4" w14:textId="5CE2B82D" w:rsidTr="00C60D01">
        <w:trPr>
          <w:trHeight w:val="300"/>
        </w:trPr>
        <w:tc>
          <w:tcPr>
            <w:tcW w:w="3240" w:type="dxa"/>
            <w:noWrap/>
            <w:hideMark/>
          </w:tcPr>
          <w:p w14:paraId="69950021" w14:textId="0A1AF9D6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MAP&lt;55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1432E9BA" w14:textId="592F0AB7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65" w:type="dxa"/>
            <w:noWrap/>
            <w:vAlign w:val="bottom"/>
          </w:tcPr>
          <w:p w14:paraId="003D4217" w14:textId="713D175F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491D24B4" w14:textId="6CD3438D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00C0840C" w14:textId="1B6D63E7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EB52FC" w:rsidRPr="00B96BFD" w14:paraId="7EB02556" w14:textId="749670D6" w:rsidTr="00C60D01">
        <w:trPr>
          <w:trHeight w:val="300"/>
        </w:trPr>
        <w:tc>
          <w:tcPr>
            <w:tcW w:w="3240" w:type="dxa"/>
            <w:noWrap/>
            <w:hideMark/>
          </w:tcPr>
          <w:p w14:paraId="26FEBD65" w14:textId="116D1FA1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15B48743" w14:textId="1CB9A238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49B5D853" w14:textId="702A2AD2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6038D0D3" w14:textId="1D3AB478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73AF97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154B48D7" w14:textId="5323FDCF" w:rsidTr="00C60D01">
        <w:trPr>
          <w:trHeight w:val="300"/>
        </w:trPr>
        <w:tc>
          <w:tcPr>
            <w:tcW w:w="3240" w:type="dxa"/>
            <w:noWrap/>
            <w:hideMark/>
          </w:tcPr>
          <w:p w14:paraId="469549A8" w14:textId="26FB44CC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MAP&lt;60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68377DC8" w14:textId="31D11CC1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5" w:type="dxa"/>
            <w:noWrap/>
            <w:vAlign w:val="bottom"/>
          </w:tcPr>
          <w:p w14:paraId="33E153FF" w14:textId="67324705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66603E84" w14:textId="3009C7A0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A42CE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14:paraId="26CCD2C1" w14:textId="4C7AE329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B52FC" w:rsidRPr="00B96BFD" w14:paraId="144C21AE" w14:textId="1ABE06D0" w:rsidTr="00C60D01">
        <w:trPr>
          <w:trHeight w:val="300"/>
        </w:trPr>
        <w:tc>
          <w:tcPr>
            <w:tcW w:w="3240" w:type="dxa"/>
            <w:noWrap/>
            <w:hideMark/>
          </w:tcPr>
          <w:p w14:paraId="04360F64" w14:textId="4E8612A0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28F9140B" w14:textId="2F15AF6A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7682C3FB" w14:textId="7F1A4D55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11A57A29" w14:textId="4C79FE36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182518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3438AD4F" w14:textId="4453C0CB" w:rsidTr="00C60D01">
        <w:trPr>
          <w:trHeight w:val="300"/>
        </w:trPr>
        <w:tc>
          <w:tcPr>
            <w:tcW w:w="3240" w:type="dxa"/>
            <w:noWrap/>
            <w:hideMark/>
          </w:tcPr>
          <w:p w14:paraId="47B4DF2F" w14:textId="1D33DC9F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MAP&lt;65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00E2F927" w14:textId="3E48D40E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  <w:noWrap/>
            <w:vAlign w:val="bottom"/>
          </w:tcPr>
          <w:p w14:paraId="1E7CEFF0" w14:textId="7C0CAAB8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3A0D8874" w14:textId="023C1514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A42CE1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20" w:type="dxa"/>
            <w:vAlign w:val="bottom"/>
          </w:tcPr>
          <w:p w14:paraId="5C17F2A0" w14:textId="51AE3D7B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</w:tr>
      <w:tr w:rsidR="00EB52FC" w:rsidRPr="00B96BFD" w14:paraId="1E83A070" w14:textId="1DC3DDE3" w:rsidTr="00C60D01">
        <w:trPr>
          <w:trHeight w:val="300"/>
        </w:trPr>
        <w:tc>
          <w:tcPr>
            <w:tcW w:w="3240" w:type="dxa"/>
            <w:noWrap/>
            <w:hideMark/>
          </w:tcPr>
          <w:p w14:paraId="7D5D85B7" w14:textId="016C87A5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07DFAB67" w14:textId="0AFFF883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2ABF53E1" w14:textId="3BB43271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0901A0D4" w14:textId="4B23E926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24074E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5F285DBC" w14:textId="4739443B" w:rsidTr="00C60D01">
        <w:trPr>
          <w:trHeight w:val="300"/>
        </w:trPr>
        <w:tc>
          <w:tcPr>
            <w:tcW w:w="3240" w:type="dxa"/>
            <w:noWrap/>
            <w:hideMark/>
          </w:tcPr>
          <w:p w14:paraId="3AAE9DBD" w14:textId="0803C508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MAP&lt;55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57E62636" w14:textId="56014C79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5" w:type="dxa"/>
            <w:noWrap/>
            <w:vAlign w:val="bottom"/>
          </w:tcPr>
          <w:p w14:paraId="3354DB8E" w14:textId="1EABB7E1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5977ACAD" w14:textId="5F36B591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A42CE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14:paraId="7AFB5FE0" w14:textId="1C6F487E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D9430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B52FC" w:rsidRPr="00B96BFD" w14:paraId="22722B0A" w14:textId="189A096A" w:rsidTr="00C60D01">
        <w:trPr>
          <w:trHeight w:val="300"/>
        </w:trPr>
        <w:tc>
          <w:tcPr>
            <w:tcW w:w="3240" w:type="dxa"/>
            <w:noWrap/>
            <w:hideMark/>
          </w:tcPr>
          <w:p w14:paraId="2AA0DCED" w14:textId="7D3D2D1C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78482B96" w14:textId="23B34C19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03BD223E" w14:textId="339CDC11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09D744AC" w14:textId="35A26F84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67F6DB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4673D844" w14:textId="7776171B" w:rsidTr="00C60D01">
        <w:trPr>
          <w:trHeight w:val="300"/>
        </w:trPr>
        <w:tc>
          <w:tcPr>
            <w:tcW w:w="3240" w:type="dxa"/>
            <w:noWrap/>
            <w:hideMark/>
          </w:tcPr>
          <w:p w14:paraId="10E9ED16" w14:textId="449CDEE0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_MAP&lt;60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79391F49" w14:textId="3EC262F1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noWrap/>
            <w:vAlign w:val="bottom"/>
          </w:tcPr>
          <w:p w14:paraId="1F721980" w14:textId="3CBA0635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noWrap/>
            <w:vAlign w:val="bottom"/>
          </w:tcPr>
          <w:p w14:paraId="7748FF37" w14:textId="50E07715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A42CE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14:paraId="08616810" w14:textId="73099B77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A52A8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B52FC" w:rsidRPr="00B96BFD" w14:paraId="056AD7A7" w14:textId="1BE1EE07" w:rsidTr="00C60D01">
        <w:trPr>
          <w:trHeight w:val="300"/>
        </w:trPr>
        <w:tc>
          <w:tcPr>
            <w:tcW w:w="3240" w:type="dxa"/>
            <w:noWrap/>
            <w:hideMark/>
          </w:tcPr>
          <w:p w14:paraId="653C8922" w14:textId="52C2ED28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5E65D4C9" w14:textId="19EC6854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03A11165" w14:textId="05C60CF9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5524F228" w14:textId="029769E4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754F92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CD" w:rsidRPr="00B96BFD" w14:paraId="433A4E46" w14:textId="407A6363" w:rsidTr="00C60D01">
        <w:trPr>
          <w:trHeight w:val="300"/>
        </w:trPr>
        <w:tc>
          <w:tcPr>
            <w:tcW w:w="3240" w:type="dxa"/>
            <w:noWrap/>
            <w:hideMark/>
          </w:tcPr>
          <w:p w14:paraId="6EDFE374" w14:textId="726F7222" w:rsidR="004678CD" w:rsidRPr="00077F31" w:rsidRDefault="004A71E1" w:rsidP="004678C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4678CD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MAP&lt;65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46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78CD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  <w:vAlign w:val="bottom"/>
          </w:tcPr>
          <w:p w14:paraId="1E25C56A" w14:textId="21461BF3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noWrap/>
            <w:vAlign w:val="bottom"/>
          </w:tcPr>
          <w:p w14:paraId="2A13391E" w14:textId="4D7A12F9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1C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3E8303EC" w14:textId="4E4540B0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A42CE1">
              <w:rPr>
                <w:rFonts w:ascii="Arial" w:hAnsi="Arial" w:cs="Arial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620" w:type="dxa"/>
            <w:vAlign w:val="bottom"/>
          </w:tcPr>
          <w:p w14:paraId="3243B484" w14:textId="05D26E9F" w:rsidR="004678CD" w:rsidRPr="008858F0" w:rsidRDefault="004678CD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8F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A52A8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B52FC" w:rsidRPr="00B96BFD" w14:paraId="055B9B79" w14:textId="6A7106D7" w:rsidTr="00C60D01">
        <w:trPr>
          <w:trHeight w:val="300"/>
        </w:trPr>
        <w:tc>
          <w:tcPr>
            <w:tcW w:w="3240" w:type="dxa"/>
            <w:noWrap/>
            <w:hideMark/>
          </w:tcPr>
          <w:p w14:paraId="2ED9AF98" w14:textId="751F6EA3" w:rsidR="00EB52FC" w:rsidRPr="00077F31" w:rsidRDefault="004A71E1" w:rsidP="000D7B6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 EtCO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631767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 w:rsidR="00EB52FC" w:rsidRPr="00077F31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="00EB52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B52FC" w:rsidRPr="00077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</w:t>
            </w:r>
          </w:p>
        </w:tc>
        <w:tc>
          <w:tcPr>
            <w:tcW w:w="1170" w:type="dxa"/>
            <w:noWrap/>
          </w:tcPr>
          <w:p w14:paraId="70321DBA" w14:textId="70878686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noWrap/>
          </w:tcPr>
          <w:p w14:paraId="4DAB5BA9" w14:textId="664B4449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41E83C3C" w14:textId="5A89749B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204C9C" w14:textId="77777777" w:rsidR="00EB52FC" w:rsidRPr="008858F0" w:rsidRDefault="00EB52FC" w:rsidP="008858F0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A93BB3" w14:textId="4784FFBF" w:rsidR="00EB72A1" w:rsidRDefault="004A71E1" w:rsidP="00A8666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</w:t>
      </w:r>
      <w:r w:rsidR="0014073F" w:rsidRPr="001407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total</w:t>
      </w:r>
      <w:r w:rsidR="0014073F" w:rsidRPr="0014073F">
        <w:rPr>
          <w:rFonts w:ascii="Arial" w:hAnsi="Arial" w:cs="Arial"/>
          <w:sz w:val="20"/>
          <w:szCs w:val="20"/>
        </w:rPr>
        <w:t xml:space="preserve"> area under the curve;</w:t>
      </w:r>
      <w:r w:rsidR="0014073F">
        <w:rPr>
          <w:rFonts w:ascii="Arial" w:hAnsi="Arial" w:cs="Arial"/>
          <w:sz w:val="20"/>
          <w:szCs w:val="20"/>
        </w:rPr>
        <w:t xml:space="preserve"> </w:t>
      </w:r>
      <w:r w:rsidR="001C3BCB">
        <w:rPr>
          <w:rFonts w:ascii="Arial" w:hAnsi="Arial" w:cs="Arial"/>
          <w:sz w:val="20"/>
          <w:szCs w:val="20"/>
        </w:rPr>
        <w:t>MAP, mean arterial pressure; EtCO</w:t>
      </w:r>
      <w:r w:rsidR="001C3BCB" w:rsidRPr="001C3BCB">
        <w:rPr>
          <w:rFonts w:ascii="Arial" w:hAnsi="Arial" w:cs="Arial"/>
          <w:sz w:val="20"/>
          <w:szCs w:val="20"/>
          <w:vertAlign w:val="subscript"/>
        </w:rPr>
        <w:t>2</w:t>
      </w:r>
      <w:r w:rsidR="001C3BCB">
        <w:rPr>
          <w:rFonts w:ascii="Arial" w:hAnsi="Arial" w:cs="Arial"/>
          <w:sz w:val="20"/>
          <w:szCs w:val="20"/>
        </w:rPr>
        <w:t>, end-tidal carbon dioxide</w:t>
      </w:r>
    </w:p>
    <w:p w14:paraId="5454249E" w14:textId="3B0DA042" w:rsidR="00C52BD2" w:rsidRDefault="00C52BD2" w:rsidP="00A8666A">
      <w:pPr>
        <w:spacing w:line="480" w:lineRule="auto"/>
        <w:rPr>
          <w:rFonts w:ascii="Arial" w:hAnsi="Arial" w:cs="Arial"/>
          <w:sz w:val="20"/>
          <w:szCs w:val="20"/>
        </w:rPr>
      </w:pPr>
    </w:p>
    <w:p w14:paraId="5A266573" w14:textId="083FC60D" w:rsidR="00C52BD2" w:rsidRDefault="005E02EE" w:rsidP="005E02EE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Predictions and marginal effects can be compared across models using seemingly unrelated estimation to combine estimates from multiple models. </w:t>
      </w:r>
      <w:r w:rsidR="0068741D">
        <w:rPr>
          <w:rFonts w:ascii="Arial" w:hAnsi="Arial" w:cs="Arial"/>
          <w:sz w:val="24"/>
          <w:szCs w:val="24"/>
        </w:rPr>
        <w:t>Specifically, the Wald test can be used to test</w:t>
      </w:r>
      <w:r>
        <w:rPr>
          <w:rFonts w:ascii="Arial" w:hAnsi="Arial" w:cs="Arial"/>
          <w:sz w:val="24"/>
          <w:szCs w:val="24"/>
        </w:rPr>
        <w:t xml:space="preserve"> prediction</w:t>
      </w:r>
      <w:r w:rsidR="006874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effect</w:t>
      </w:r>
      <w:r w:rsidR="006874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across models, including interactions. </w:t>
      </w:r>
      <w:r w:rsidR="006F6064">
        <w:rPr>
          <w:rFonts w:ascii="Arial" w:hAnsi="Arial" w:cs="Arial"/>
          <w:sz w:val="24"/>
          <w:szCs w:val="24"/>
        </w:rPr>
        <w:t xml:space="preserve">For estimating covariance across models, estimate covariance matrices of multiple models can be stacked together, which creates both within- and cross-model variances and covariances of regression coefficients. </w:t>
      </w:r>
      <w:r w:rsidR="006F6064" w:rsidRPr="006F6064">
        <w:rPr>
          <w:rFonts w:ascii="Arial" w:hAnsi="Arial" w:cs="Arial"/>
          <w:sz w:val="24"/>
          <w:szCs w:val="24"/>
        </w:rPr>
        <w:t xml:space="preserve">Predictions and marginal effects can then be estimated along with the necessary variances and covariances for testing the equality of estimates across models. Following the estimation of the covariance matrix </w:t>
      </w:r>
      <w:r w:rsidR="006F6064">
        <w:rPr>
          <w:rFonts w:ascii="Arial" w:hAnsi="Arial" w:cs="Arial"/>
          <w:sz w:val="24"/>
          <w:szCs w:val="24"/>
        </w:rPr>
        <w:t xml:space="preserve">two seemingly unrelated regression models can be used – </w:t>
      </w:r>
      <w:r w:rsidR="006F6064" w:rsidRPr="006F6064">
        <w:rPr>
          <w:rFonts w:ascii="Arial" w:hAnsi="Arial" w:cs="Arial"/>
          <w:sz w:val="24"/>
          <w:szCs w:val="24"/>
        </w:rPr>
        <w:t>one using the predictors whose interaction is of interest</w:t>
      </w:r>
      <w:r w:rsidR="0083387C">
        <w:rPr>
          <w:rFonts w:ascii="Arial" w:hAnsi="Arial" w:cs="Arial"/>
          <w:sz w:val="24"/>
          <w:szCs w:val="24"/>
        </w:rPr>
        <w:t xml:space="preserve"> (e.g., mean arterial pressure, end-tidal CO</w:t>
      </w:r>
      <w:r w:rsidR="0083387C" w:rsidRPr="0083387C">
        <w:rPr>
          <w:rFonts w:ascii="Arial" w:hAnsi="Arial" w:cs="Arial"/>
          <w:sz w:val="24"/>
          <w:szCs w:val="24"/>
          <w:vertAlign w:val="subscript"/>
        </w:rPr>
        <w:t>2</w:t>
      </w:r>
      <w:r w:rsidR="0083387C">
        <w:rPr>
          <w:rFonts w:ascii="Arial" w:hAnsi="Arial" w:cs="Arial"/>
          <w:sz w:val="24"/>
          <w:szCs w:val="24"/>
        </w:rPr>
        <w:t>)</w:t>
      </w:r>
      <w:r w:rsidR="006F6064" w:rsidRPr="006F6064">
        <w:rPr>
          <w:rFonts w:ascii="Arial" w:hAnsi="Arial" w:cs="Arial"/>
          <w:sz w:val="24"/>
          <w:szCs w:val="24"/>
        </w:rPr>
        <w:t>, and a second model with only one predictor</w:t>
      </w:r>
      <w:r w:rsidR="0083387C">
        <w:rPr>
          <w:rFonts w:ascii="Arial" w:hAnsi="Arial" w:cs="Arial"/>
          <w:sz w:val="24"/>
          <w:szCs w:val="24"/>
        </w:rPr>
        <w:t xml:space="preserve"> (e.g., mean arterial pressure)</w:t>
      </w:r>
      <w:r w:rsidR="006F6064" w:rsidRPr="006F6064">
        <w:rPr>
          <w:rFonts w:ascii="Arial" w:hAnsi="Arial" w:cs="Arial"/>
          <w:sz w:val="24"/>
          <w:szCs w:val="24"/>
        </w:rPr>
        <w:t>. If there is interaction between the two predictors</w:t>
      </w:r>
      <w:r w:rsidR="0083387C">
        <w:rPr>
          <w:rFonts w:ascii="Arial" w:hAnsi="Arial" w:cs="Arial"/>
          <w:sz w:val="24"/>
          <w:szCs w:val="24"/>
        </w:rPr>
        <w:t>,</w:t>
      </w:r>
      <w:r w:rsidR="006F6064" w:rsidRPr="006F6064">
        <w:rPr>
          <w:rFonts w:ascii="Arial" w:hAnsi="Arial" w:cs="Arial"/>
          <w:sz w:val="24"/>
          <w:szCs w:val="24"/>
        </w:rPr>
        <w:t xml:space="preserve"> the test of equality of the coefficients </w:t>
      </w:r>
      <w:r w:rsidR="0083387C">
        <w:rPr>
          <w:rFonts w:ascii="Arial" w:hAnsi="Arial" w:cs="Arial"/>
          <w:sz w:val="24"/>
          <w:szCs w:val="24"/>
        </w:rPr>
        <w:t xml:space="preserve">in </w:t>
      </w:r>
      <w:r w:rsidR="006F6064" w:rsidRPr="006F6064">
        <w:rPr>
          <w:rFonts w:ascii="Arial" w:hAnsi="Arial" w:cs="Arial"/>
          <w:sz w:val="24"/>
          <w:szCs w:val="24"/>
        </w:rPr>
        <w:t>these two models will be rejected</w:t>
      </w:r>
      <w:r w:rsidR="0083387C">
        <w:rPr>
          <w:rFonts w:ascii="Arial" w:hAnsi="Arial" w:cs="Arial"/>
          <w:sz w:val="24"/>
          <w:szCs w:val="24"/>
        </w:rPr>
        <w:t>.</w:t>
      </w:r>
    </w:p>
    <w:p w14:paraId="119D8631" w14:textId="6331B262" w:rsidR="0083387C" w:rsidRDefault="0083387C" w:rsidP="005E02EE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</w:p>
    <w:p w14:paraId="0495365E" w14:textId="37C78811" w:rsidR="0083387C" w:rsidRDefault="0083387C" w:rsidP="005E02EE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Reference</w:t>
      </w:r>
    </w:p>
    <w:p w14:paraId="75172510" w14:textId="5BAD842E" w:rsidR="005E02EE" w:rsidRPr="00C52BD2" w:rsidRDefault="0083387C" w:rsidP="00962A5D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Mize TD, Doan L, and Long JS. A general framework for comparing predictions and marginal effects across models. </w:t>
      </w:r>
      <w:r w:rsidR="00962A5D">
        <w:rPr>
          <w:rFonts w:ascii="Arial" w:hAnsi="Arial" w:cs="Arial"/>
          <w:i/>
          <w:iCs/>
          <w:sz w:val="24"/>
          <w:szCs w:val="24"/>
        </w:rPr>
        <w:t xml:space="preserve">Sociological Methodology </w:t>
      </w:r>
      <w:r w:rsidR="00962A5D">
        <w:rPr>
          <w:rFonts w:ascii="Arial" w:hAnsi="Arial" w:cs="Arial"/>
          <w:sz w:val="24"/>
          <w:szCs w:val="24"/>
        </w:rPr>
        <w:t>2019; 49:152-89</w:t>
      </w:r>
    </w:p>
    <w:p w14:paraId="14C9DC2C" w14:textId="77777777" w:rsidR="00C52BD2" w:rsidRPr="0014073F" w:rsidRDefault="00C52BD2" w:rsidP="00A8666A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C52BD2" w:rsidRPr="0014073F" w:rsidSect="00A8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7"/>
    <w:rsid w:val="000002A9"/>
    <w:rsid w:val="000577EF"/>
    <w:rsid w:val="000837B3"/>
    <w:rsid w:val="000E53EB"/>
    <w:rsid w:val="0014073F"/>
    <w:rsid w:val="00153045"/>
    <w:rsid w:val="00167E61"/>
    <w:rsid w:val="00174D51"/>
    <w:rsid w:val="001B4BCB"/>
    <w:rsid w:val="001C3BCB"/>
    <w:rsid w:val="002E7CBA"/>
    <w:rsid w:val="00390900"/>
    <w:rsid w:val="003A73F2"/>
    <w:rsid w:val="003C2ADC"/>
    <w:rsid w:val="003C2E67"/>
    <w:rsid w:val="00401BA9"/>
    <w:rsid w:val="00425E40"/>
    <w:rsid w:val="00430643"/>
    <w:rsid w:val="00441E40"/>
    <w:rsid w:val="004678CD"/>
    <w:rsid w:val="00480930"/>
    <w:rsid w:val="004878B7"/>
    <w:rsid w:val="004A3F62"/>
    <w:rsid w:val="004A71E1"/>
    <w:rsid w:val="004C2BF6"/>
    <w:rsid w:val="00563899"/>
    <w:rsid w:val="005E02EE"/>
    <w:rsid w:val="00631767"/>
    <w:rsid w:val="00680137"/>
    <w:rsid w:val="0068741D"/>
    <w:rsid w:val="006D096C"/>
    <w:rsid w:val="006D14C9"/>
    <w:rsid w:val="006E3E0A"/>
    <w:rsid w:val="006F6064"/>
    <w:rsid w:val="00716DDE"/>
    <w:rsid w:val="007331EC"/>
    <w:rsid w:val="0075133A"/>
    <w:rsid w:val="007540A7"/>
    <w:rsid w:val="007916DD"/>
    <w:rsid w:val="007B0E6B"/>
    <w:rsid w:val="007B2F6C"/>
    <w:rsid w:val="00816577"/>
    <w:rsid w:val="0083387C"/>
    <w:rsid w:val="008533F7"/>
    <w:rsid w:val="00853FA7"/>
    <w:rsid w:val="008858F0"/>
    <w:rsid w:val="008A04BB"/>
    <w:rsid w:val="008E23A0"/>
    <w:rsid w:val="00962A5D"/>
    <w:rsid w:val="009E6904"/>
    <w:rsid w:val="00A30422"/>
    <w:rsid w:val="00A42CE1"/>
    <w:rsid w:val="00A52A86"/>
    <w:rsid w:val="00A67DF8"/>
    <w:rsid w:val="00A8666A"/>
    <w:rsid w:val="00AB6328"/>
    <w:rsid w:val="00B53248"/>
    <w:rsid w:val="00B75161"/>
    <w:rsid w:val="00B87FD6"/>
    <w:rsid w:val="00B95015"/>
    <w:rsid w:val="00C52BD2"/>
    <w:rsid w:val="00C60D01"/>
    <w:rsid w:val="00CB730B"/>
    <w:rsid w:val="00CC1DBF"/>
    <w:rsid w:val="00CD1CE5"/>
    <w:rsid w:val="00D0616A"/>
    <w:rsid w:val="00D80D52"/>
    <w:rsid w:val="00D94301"/>
    <w:rsid w:val="00DA5284"/>
    <w:rsid w:val="00E63565"/>
    <w:rsid w:val="00E94DE5"/>
    <w:rsid w:val="00EB2616"/>
    <w:rsid w:val="00EB52FC"/>
    <w:rsid w:val="00EB72A1"/>
    <w:rsid w:val="00ED0965"/>
    <w:rsid w:val="00ED0E4D"/>
    <w:rsid w:val="00ED4586"/>
    <w:rsid w:val="00F26175"/>
    <w:rsid w:val="00F858CE"/>
    <w:rsid w:val="00FE358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A6B"/>
  <w15:chartTrackingRefBased/>
  <w15:docId w15:val="{1EF32575-5FA9-4885-9404-BA5409C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43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4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30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6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B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52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D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7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2BD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5</cp:revision>
  <dcterms:created xsi:type="dcterms:W3CDTF">2022-07-08T13:40:00Z</dcterms:created>
  <dcterms:modified xsi:type="dcterms:W3CDTF">2022-07-08T14:09:00Z</dcterms:modified>
</cp:coreProperties>
</file>