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959BF" w14:textId="77777777" w:rsidR="00EC4E58" w:rsidRPr="00B6714C" w:rsidRDefault="0053126D" w:rsidP="00EC4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Supplemental </w:t>
      </w:r>
      <w:r w:rsidR="00EC4E58" w:rsidRPr="00B6714C">
        <w:rPr>
          <w:rFonts w:ascii="Arial" w:hAnsi="Arial" w:cs="Arial"/>
          <w:b/>
        </w:rPr>
        <w:t>Table 1.  Detailed Settings of Virtual Mock Loop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0"/>
        <w:gridCol w:w="4107"/>
        <w:gridCol w:w="3723"/>
      </w:tblGrid>
      <w:tr w:rsidR="00EC4E58" w:rsidRPr="00B6714C" w14:paraId="1587353A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4E0BB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Rate and %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ystole</w:t>
            </w:r>
          </w:p>
        </w:tc>
        <w:tc>
          <w:tcPr>
            <w:tcW w:w="37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E58F3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80 bpm, 45%</w:t>
            </w:r>
          </w:p>
        </w:tc>
      </w:tr>
      <w:tr w:rsidR="00EC4E58" w:rsidRPr="00B6714C" w14:paraId="2E16059C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1A877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Simulation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un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t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ime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8D87C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20 s</w:t>
            </w:r>
          </w:p>
        </w:tc>
      </w:tr>
      <w:tr w:rsidR="00EC4E58" w:rsidRPr="00B6714C" w14:paraId="124D892C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1EF1E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lood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v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olume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F034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6.4 L</w:t>
            </w:r>
          </w:p>
        </w:tc>
      </w:tr>
      <w:tr w:rsidR="00EC4E58" w:rsidRPr="00B6714C" w14:paraId="4B469786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107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Cardiac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ystolic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ompliance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508B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27F963A4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FBDE7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909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Left and right atria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DA52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1 mL/mm Hg</w:t>
            </w:r>
          </w:p>
        </w:tc>
      </w:tr>
      <w:tr w:rsidR="00EC4E58" w:rsidRPr="00B6714C" w14:paraId="08745025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5AFA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FED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Left and right ventricles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345A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9 mL/mm Hg</w:t>
            </w:r>
          </w:p>
        </w:tc>
      </w:tr>
      <w:tr w:rsidR="00EC4E58" w:rsidRPr="00B6714C" w14:paraId="5D51072A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56B5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Cardiac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iastolic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ompliance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25198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3BBB6BFF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B30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C9BB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Left and right atria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E673E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 xml:space="preserve">1 mL/mm Hg </w:t>
            </w:r>
          </w:p>
        </w:tc>
      </w:tr>
      <w:tr w:rsidR="00EC4E58" w:rsidRPr="00B6714C" w14:paraId="74B5AE74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180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8981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Left and right ventricles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D0B5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 xml:space="preserve">10 mL/mm Hg </w:t>
            </w:r>
          </w:p>
        </w:tc>
      </w:tr>
      <w:tr w:rsidR="00EC4E58" w:rsidRPr="00B6714C" w14:paraId="3E73192B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9E5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Valve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o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rifice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2F5F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22868F79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94F4D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1E27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Mitral and tricuspid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5AE90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10,000 mL/(s∙mm Hg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0.5</w:t>
            </w:r>
            <w:r w:rsidRPr="00B6714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C4E58" w:rsidRPr="00B6714C" w14:paraId="1743D1B3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E18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B10AC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Aortic and pulmonary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706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350 mL/(s∙mm Hg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0.5</w:t>
            </w:r>
            <w:r w:rsidRPr="00B6714C">
              <w:rPr>
                <w:rFonts w:ascii="Arial" w:eastAsia="Times New Roman" w:hAnsi="Arial" w:cs="Arial"/>
                <w:color w:val="000000"/>
              </w:rPr>
              <w:t>)</w:t>
            </w:r>
          </w:p>
        </w:tc>
      </w:tr>
      <w:tr w:rsidR="00EC4E58" w:rsidRPr="00B6714C" w14:paraId="213D3ED5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6EEF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Valve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tenosis and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egurgitation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C956D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0%</w:t>
            </w:r>
          </w:p>
        </w:tc>
      </w:tr>
      <w:tr w:rsidR="00EC4E58" w:rsidRPr="00B6714C" w14:paraId="6879AE23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28C0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E598E">
              <w:rPr>
                <w:rFonts w:ascii="Arial" w:eastAsia="Times New Roman" w:hAnsi="Arial" w:cs="Arial"/>
                <w:b/>
                <w:bCs/>
                <w:color w:val="000000"/>
              </w:rPr>
              <w:t>Bronchial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hunt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esistance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83082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1,000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4A4E7EE3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566C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Systemic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ompliance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241AE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0880E456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99AA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1E85F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Aorta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C67A5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0.08 mL/mm Hg</w:t>
            </w:r>
          </w:p>
        </w:tc>
      </w:tr>
      <w:tr w:rsidR="00EC4E58" w:rsidRPr="00B6714C" w14:paraId="515DCEB9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DFB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63C81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BDDEF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1.6 mL/mm Hg</w:t>
            </w:r>
          </w:p>
        </w:tc>
      </w:tr>
      <w:tr w:rsidR="00EC4E58" w:rsidRPr="00B6714C" w14:paraId="5192E192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7231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7341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59F5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20.5 mL/mm Hg</w:t>
            </w:r>
          </w:p>
        </w:tc>
      </w:tr>
      <w:tr w:rsidR="00EC4E58" w:rsidRPr="00B6714C" w14:paraId="06A69D44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48884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Pulmonary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ompliance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5E7B2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30B97FB6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E81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582E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Arterial sinus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A9B6E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0.18 mL/mm Hg</w:t>
            </w:r>
          </w:p>
        </w:tc>
      </w:tr>
      <w:tr w:rsidR="00EC4E58" w:rsidRPr="00B6714C" w14:paraId="0051E56A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53E2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8AF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873C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3.8 mL/mm Hg</w:t>
            </w:r>
          </w:p>
        </w:tc>
      </w:tr>
      <w:tr w:rsidR="00EC4E58" w:rsidRPr="00B6714C" w14:paraId="3AA4F298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B41A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23D0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6A6AC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20.5 mL/mm Hg</w:t>
            </w:r>
          </w:p>
        </w:tc>
      </w:tr>
      <w:tr w:rsidR="00EC4E58" w:rsidRPr="00B6714C" w14:paraId="63FD96C7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B907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Systemic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esistance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86D0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3A00D7FB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397F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7182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Aorta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8728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0.03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6A69482B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A98D7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6561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45A3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0.05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3E5079E7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7E2C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F550B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Arterioles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78E3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0.1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5E86A816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159CD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EE0DF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Capillaries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C584DC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0.128 – 1.488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 (variable)</w:t>
            </w:r>
          </w:p>
        </w:tc>
      </w:tr>
      <w:tr w:rsidR="00EC4E58" w:rsidRPr="00B6714C" w14:paraId="2702F1A6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4EB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7FD47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C6031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0.12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3C596585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D297A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Pulmonary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r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esistance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F255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351F09F9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8737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24F09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 xml:space="preserve">Pulmonary </w:t>
            </w:r>
            <w:r>
              <w:rPr>
                <w:rFonts w:ascii="Arial" w:eastAsia="Times New Roman" w:hAnsi="Arial" w:cs="Arial"/>
                <w:color w:val="000000"/>
              </w:rPr>
              <w:t>t</w:t>
            </w:r>
            <w:r w:rsidRPr="00B6714C">
              <w:rPr>
                <w:rFonts w:ascii="Arial" w:eastAsia="Times New Roman" w:hAnsi="Arial" w:cs="Arial"/>
                <w:color w:val="000000"/>
              </w:rPr>
              <w:t xml:space="preserve">runk 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EC59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0.004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632E3688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6051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1A226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6516A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0.002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69DDD02B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F63D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9858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Arterioles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B61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0.02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7030DC76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8801D2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ACD52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Capillaries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63C2B1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0.020 – 0.511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 (variable)</w:t>
            </w:r>
          </w:p>
        </w:tc>
      </w:tr>
      <w:tr w:rsidR="00EC4E58" w:rsidRPr="00B6714C" w14:paraId="523B606B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84BE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F39D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3476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0.006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s/mL</w:t>
            </w:r>
          </w:p>
        </w:tc>
      </w:tr>
      <w:tr w:rsidR="00EC4E58" w:rsidRPr="00B6714C" w14:paraId="568F61E1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EC2A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Systemic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nertance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DB1EB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30D12BDE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E8F3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7A7EB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Aorta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19C97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0.000005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  <w:tr w:rsidR="00EC4E58" w:rsidRPr="00B6714C" w14:paraId="4A40907B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A36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5E317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5AB11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0.0017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  <w:tr w:rsidR="00EC4E58" w:rsidRPr="00B6714C" w14:paraId="2D263A7F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8857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23A48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2E3B3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0.001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  <w:tr w:rsidR="00EC4E58" w:rsidRPr="00B6714C" w14:paraId="4E386610" w14:textId="77777777" w:rsidTr="00D45DFB">
        <w:trPr>
          <w:trHeight w:val="29"/>
        </w:trPr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EE657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Pulmonary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i</w:t>
            </w:r>
            <w:r w:rsidRPr="00B6714C">
              <w:rPr>
                <w:rFonts w:ascii="Arial" w:eastAsia="Times New Roman" w:hAnsi="Arial" w:cs="Arial"/>
                <w:b/>
                <w:bCs/>
                <w:color w:val="000000"/>
              </w:rPr>
              <w:t>nertance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6708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EC4E58" w:rsidRPr="00B6714C" w14:paraId="57B55F8C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4A94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F6A4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Arterial sinus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7DA7B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0.00005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  <w:tr w:rsidR="00EC4E58" w:rsidRPr="00B6714C" w14:paraId="115A6343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66E8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C573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Arteries</w:t>
            </w:r>
          </w:p>
        </w:tc>
        <w:tc>
          <w:tcPr>
            <w:tcW w:w="3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28738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0.0017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  <w:tr w:rsidR="00EC4E58" w:rsidRPr="00B6714C" w14:paraId="49CD0BAF" w14:textId="77777777" w:rsidTr="00D45DFB">
        <w:trPr>
          <w:trHeight w:val="29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9EB4D1" w14:textId="77777777" w:rsidR="00EC4E58" w:rsidRPr="000F2FD5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0F2FD5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B879A" w14:textId="77777777" w:rsidR="00EC4E58" w:rsidRPr="00B6714C" w:rsidRDefault="00EC4E58" w:rsidP="00D45DFB">
            <w:pPr>
              <w:spacing w:after="0" w:line="480" w:lineRule="auto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Veins</w:t>
            </w:r>
          </w:p>
        </w:tc>
        <w:tc>
          <w:tcPr>
            <w:tcW w:w="3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DD1F9" w14:textId="77777777" w:rsidR="00EC4E58" w:rsidRPr="00B6714C" w:rsidRDefault="00EC4E58" w:rsidP="00D45DFB">
            <w:pPr>
              <w:spacing w:after="0" w:line="48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B6714C">
              <w:rPr>
                <w:rFonts w:ascii="Arial" w:eastAsia="Times New Roman" w:hAnsi="Arial" w:cs="Arial"/>
                <w:color w:val="000000"/>
              </w:rPr>
              <w:t>0.001 mm Hg</w:t>
            </w:r>
            <w:r w:rsidRPr="000F2FD5">
              <w:rPr>
                <w:rFonts w:ascii="Arial" w:eastAsia="Times New Roman" w:hAnsi="Arial" w:cs="Arial"/>
                <w:color w:val="000000"/>
              </w:rPr>
              <w:t>∙</w:t>
            </w:r>
            <w:r w:rsidRPr="00B6714C">
              <w:rPr>
                <w:rFonts w:ascii="Arial" w:eastAsia="Times New Roman" w:hAnsi="Arial" w:cs="Arial"/>
                <w:color w:val="000000"/>
              </w:rPr>
              <w:t>s</w:t>
            </w:r>
            <w:r w:rsidRPr="00B6714C">
              <w:rPr>
                <w:rFonts w:ascii="Arial" w:eastAsia="Times New Roman" w:hAnsi="Arial" w:cs="Arial"/>
                <w:color w:val="000000"/>
                <w:vertAlign w:val="superscript"/>
              </w:rPr>
              <w:t>2</w:t>
            </w:r>
            <w:r w:rsidRPr="00B6714C">
              <w:rPr>
                <w:rFonts w:ascii="Arial" w:eastAsia="Times New Roman" w:hAnsi="Arial" w:cs="Arial"/>
                <w:color w:val="000000"/>
              </w:rPr>
              <w:t>/mL</w:t>
            </w:r>
          </w:p>
        </w:tc>
      </w:tr>
    </w:tbl>
    <w:p w14:paraId="5A460453" w14:textId="77777777" w:rsidR="00EC4E58" w:rsidRPr="00B6714C" w:rsidRDefault="00EC4E58" w:rsidP="00EC4E58">
      <w:pPr>
        <w:pStyle w:val="CommentText"/>
        <w:spacing w:after="0" w:line="480" w:lineRule="auto"/>
        <w:rPr>
          <w:rFonts w:ascii="Arial" w:hAnsi="Arial" w:cs="Arial"/>
          <w:sz w:val="22"/>
          <w:szCs w:val="22"/>
        </w:rPr>
      </w:pPr>
    </w:p>
    <w:p w14:paraId="4B20D67E" w14:textId="77777777" w:rsidR="006F0DDC" w:rsidRPr="0053126D" w:rsidRDefault="00EC4E58" w:rsidP="0053126D">
      <w:pPr>
        <w:pStyle w:val="CommentText"/>
        <w:spacing w:after="0" w:line="480" w:lineRule="auto"/>
        <w:rPr>
          <w:rFonts w:ascii="Arial" w:hAnsi="Arial" w:cs="Arial"/>
        </w:rPr>
      </w:pPr>
      <w:r w:rsidRPr="00B6714C">
        <w:rPr>
          <w:rFonts w:ascii="Arial" w:hAnsi="Arial" w:cs="Arial"/>
          <w:sz w:val="22"/>
          <w:szCs w:val="22"/>
        </w:rPr>
        <w:t>The parameters of heart and valves were set to be inactive.  To set the desired systemic and pulmonary vascular resistance</w:t>
      </w:r>
      <w:r>
        <w:rPr>
          <w:rFonts w:ascii="Arial" w:hAnsi="Arial" w:cs="Arial"/>
          <w:sz w:val="22"/>
          <w:szCs w:val="22"/>
        </w:rPr>
        <w:t>s</w:t>
      </w:r>
      <w:r w:rsidRPr="00B6714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only the values of the capillaries </w:t>
      </w:r>
      <w:r w:rsidRPr="00B6714C">
        <w:rPr>
          <w:rFonts w:ascii="Arial" w:hAnsi="Arial" w:cs="Arial"/>
          <w:sz w:val="22"/>
          <w:szCs w:val="22"/>
        </w:rPr>
        <w:t xml:space="preserve">were changed, simulating the mock-loop valve settings.  The </w:t>
      </w:r>
      <w:r w:rsidRPr="00DE598E">
        <w:rPr>
          <w:rFonts w:ascii="Arial" w:hAnsi="Arial" w:cs="Arial"/>
          <w:sz w:val="22"/>
          <w:szCs w:val="22"/>
        </w:rPr>
        <w:t>bronchial</w:t>
      </w:r>
      <w:r w:rsidRPr="00B6714C">
        <w:rPr>
          <w:rFonts w:ascii="Arial" w:hAnsi="Arial" w:cs="Arial"/>
          <w:sz w:val="22"/>
          <w:szCs w:val="22"/>
        </w:rPr>
        <w:t xml:space="preserve"> shunt was shut off using a high resistance value (1,000), because the mock loop being simulated did not use a </w:t>
      </w:r>
      <w:bookmarkStart w:id="0" w:name="_GoBack"/>
      <w:bookmarkEnd w:id="0"/>
      <w:r w:rsidRPr="00DE598E">
        <w:rPr>
          <w:rFonts w:ascii="Arial" w:hAnsi="Arial" w:cs="Arial"/>
          <w:sz w:val="22"/>
          <w:szCs w:val="22"/>
        </w:rPr>
        <w:t>bronchial shunt.</w:t>
      </w:r>
    </w:p>
    <w:sectPr w:rsidR="006F0DDC" w:rsidRPr="00531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58"/>
    <w:rsid w:val="0053126D"/>
    <w:rsid w:val="006F0DDC"/>
    <w:rsid w:val="008F433C"/>
    <w:rsid w:val="00C078F7"/>
    <w:rsid w:val="00DE598E"/>
    <w:rsid w:val="00E87406"/>
    <w:rsid w:val="00EC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3DA20"/>
  <w15:chartTrackingRefBased/>
  <w15:docId w15:val="{B4926BEA-53AD-4AE0-B13F-B58DBF1C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E58"/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EC4E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C4E58"/>
    <w:rPr>
      <w:rFonts w:ascii="Calibri" w:eastAsia="MS Mincho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433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33C"/>
    <w:rPr>
      <w:rFonts w:ascii="Calibri" w:eastAsia="MS Mincho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3C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Miyamoto, Takuma</dc:creator>
  <cp:keywords/>
  <dc:description/>
  <cp:lastModifiedBy>Miyamoto, Takuma</cp:lastModifiedBy>
  <cp:revision>3</cp:revision>
  <dcterms:created xsi:type="dcterms:W3CDTF">2018-04-25T19:12:00Z</dcterms:created>
  <dcterms:modified xsi:type="dcterms:W3CDTF">2018-05-02T19:01:00Z</dcterms:modified>
</cp:coreProperties>
</file>