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918A" w14:textId="77777777" w:rsidR="000317D8" w:rsidRPr="000A02A5" w:rsidRDefault="000317D8" w:rsidP="000317D8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  <w:r w:rsidRPr="000A02A5">
        <w:rPr>
          <w:b/>
          <w:sz w:val="24"/>
          <w:szCs w:val="24"/>
        </w:rPr>
        <w:t>Supplementary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609"/>
        <w:gridCol w:w="1531"/>
        <w:gridCol w:w="1613"/>
        <w:gridCol w:w="1609"/>
        <w:gridCol w:w="1093"/>
      </w:tblGrid>
      <w:tr w:rsidR="000317D8" w:rsidRPr="007A4D2B" w14:paraId="42BD7BAD" w14:textId="77777777" w:rsidTr="00357F48">
        <w:trPr>
          <w:trHeight w:val="1205"/>
        </w:trPr>
        <w:tc>
          <w:tcPr>
            <w:tcW w:w="1895" w:type="dxa"/>
            <w:tcBorders>
              <w:bottom w:val="single" w:sz="12" w:space="0" w:color="auto"/>
            </w:tcBorders>
            <w:noWrap/>
            <w:hideMark/>
          </w:tcPr>
          <w:p w14:paraId="24824E4D" w14:textId="77777777" w:rsidR="000317D8" w:rsidRPr="007A4D2B" w:rsidRDefault="000317D8" w:rsidP="00357F48">
            <w:r w:rsidRPr="007A4D2B">
              <w:t>AoP (mmHg)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noWrap/>
            <w:hideMark/>
          </w:tcPr>
          <w:p w14:paraId="36029A7E" w14:textId="77777777" w:rsidR="000317D8" w:rsidRPr="007A4D2B" w:rsidRDefault="000317D8" w:rsidP="00357F48">
            <w:r w:rsidRPr="007A4D2B">
              <w:t>Heart Failure (HF) (L)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noWrap/>
            <w:hideMark/>
          </w:tcPr>
          <w:p w14:paraId="1CEDA84C" w14:textId="77777777" w:rsidR="000317D8" w:rsidRPr="007A4D2B" w:rsidRDefault="000317D8" w:rsidP="00357F48">
            <w:r w:rsidRPr="007A4D2B">
              <w:t>Medium (MED) (L)</w:t>
            </w:r>
          </w:p>
        </w:tc>
        <w:tc>
          <w:tcPr>
            <w:tcW w:w="1613" w:type="dxa"/>
            <w:tcBorders>
              <w:bottom w:val="single" w:sz="12" w:space="0" w:color="auto"/>
            </w:tcBorders>
            <w:noWrap/>
            <w:hideMark/>
          </w:tcPr>
          <w:p w14:paraId="645E1AE3" w14:textId="77777777" w:rsidR="000317D8" w:rsidRPr="007A4D2B" w:rsidRDefault="000317D8" w:rsidP="00357F48">
            <w:r w:rsidRPr="007A4D2B">
              <w:t>Normal Operating conditions (NOC) (L)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noWrap/>
            <w:hideMark/>
          </w:tcPr>
          <w:p w14:paraId="093A67E9" w14:textId="77777777" w:rsidR="000317D8" w:rsidRPr="007A4D2B" w:rsidRDefault="000317D8" w:rsidP="00357F48">
            <w:r w:rsidRPr="007A4D2B">
              <w:t>P-value HF to MED</w:t>
            </w:r>
          </w:p>
        </w:tc>
        <w:tc>
          <w:tcPr>
            <w:tcW w:w="1093" w:type="dxa"/>
            <w:tcBorders>
              <w:bottom w:val="single" w:sz="12" w:space="0" w:color="auto"/>
            </w:tcBorders>
            <w:noWrap/>
            <w:hideMark/>
          </w:tcPr>
          <w:p w14:paraId="20B10946" w14:textId="77777777" w:rsidR="000317D8" w:rsidRPr="007A4D2B" w:rsidRDefault="000317D8" w:rsidP="00357F48">
            <w:r w:rsidRPr="007A4D2B">
              <w:t>P-value HF to NOC</w:t>
            </w:r>
          </w:p>
        </w:tc>
      </w:tr>
      <w:tr w:rsidR="000317D8" w:rsidRPr="007A4D2B" w14:paraId="07D62342" w14:textId="77777777" w:rsidTr="00357F48">
        <w:trPr>
          <w:trHeight w:val="300"/>
        </w:trPr>
        <w:tc>
          <w:tcPr>
            <w:tcW w:w="189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7A3E6CFE" w14:textId="77777777" w:rsidR="000317D8" w:rsidRPr="007A4D2B" w:rsidRDefault="000317D8" w:rsidP="00357F48">
            <w:r w:rsidRPr="007A4D2B">
              <w:t>65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47E8419C" w14:textId="77777777" w:rsidR="000317D8" w:rsidRPr="007A4D2B" w:rsidRDefault="000317D8" w:rsidP="00357F48">
            <w:r>
              <w:t>2.517 +/- 0.043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noWrap/>
            <w:hideMark/>
          </w:tcPr>
          <w:p w14:paraId="3429E8E5" w14:textId="77777777" w:rsidR="000317D8" w:rsidRPr="007A4D2B" w:rsidRDefault="000317D8" w:rsidP="00357F48">
            <w:r>
              <w:t>2.611+/- 0.055</w:t>
            </w:r>
          </w:p>
        </w:tc>
        <w:tc>
          <w:tcPr>
            <w:tcW w:w="1613" w:type="dxa"/>
            <w:tcBorders>
              <w:top w:val="single" w:sz="12" w:space="0" w:color="auto"/>
            </w:tcBorders>
            <w:noWrap/>
            <w:hideMark/>
          </w:tcPr>
          <w:p w14:paraId="46D87042" w14:textId="77777777" w:rsidR="000317D8" w:rsidRPr="007A4D2B" w:rsidRDefault="000317D8" w:rsidP="00357F48">
            <w:r>
              <w:t>2.726+/-0.022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noWrap/>
            <w:hideMark/>
          </w:tcPr>
          <w:p w14:paraId="7857705C" w14:textId="77777777" w:rsidR="000317D8" w:rsidRPr="007A4D2B" w:rsidRDefault="000317D8" w:rsidP="00357F48">
            <w:r w:rsidRPr="007A4D2B">
              <w:t>0.0043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noWrap/>
            <w:hideMark/>
          </w:tcPr>
          <w:p w14:paraId="4D7E7833" w14:textId="77777777" w:rsidR="000317D8" w:rsidRPr="007A4D2B" w:rsidRDefault="000317D8" w:rsidP="00357F48">
            <w:r w:rsidRPr="007A4D2B">
              <w:t>0.0022</w:t>
            </w:r>
          </w:p>
        </w:tc>
      </w:tr>
      <w:tr w:rsidR="000317D8" w:rsidRPr="007A4D2B" w14:paraId="3AEF33E4" w14:textId="77777777" w:rsidTr="00357F48">
        <w:trPr>
          <w:trHeight w:val="300"/>
        </w:trPr>
        <w:tc>
          <w:tcPr>
            <w:tcW w:w="1895" w:type="dxa"/>
            <w:tcBorders>
              <w:right w:val="single" w:sz="12" w:space="0" w:color="auto"/>
            </w:tcBorders>
            <w:noWrap/>
            <w:hideMark/>
          </w:tcPr>
          <w:p w14:paraId="3D134F94" w14:textId="77777777" w:rsidR="000317D8" w:rsidRPr="007A4D2B" w:rsidRDefault="000317D8" w:rsidP="00357F48">
            <w:r w:rsidRPr="007A4D2B">
              <w:t>75</w:t>
            </w:r>
          </w:p>
        </w:tc>
        <w:tc>
          <w:tcPr>
            <w:tcW w:w="1609" w:type="dxa"/>
            <w:tcBorders>
              <w:left w:val="single" w:sz="12" w:space="0" w:color="auto"/>
            </w:tcBorders>
            <w:noWrap/>
            <w:hideMark/>
          </w:tcPr>
          <w:p w14:paraId="28E0A7E0" w14:textId="77777777" w:rsidR="000317D8" w:rsidRPr="007A4D2B" w:rsidRDefault="000317D8" w:rsidP="00357F48">
            <w:r>
              <w:t>2.924+/-0.027</w:t>
            </w:r>
          </w:p>
        </w:tc>
        <w:tc>
          <w:tcPr>
            <w:tcW w:w="1531" w:type="dxa"/>
            <w:noWrap/>
            <w:hideMark/>
          </w:tcPr>
          <w:p w14:paraId="4D94FE50" w14:textId="77777777" w:rsidR="000317D8" w:rsidRPr="007A4D2B" w:rsidRDefault="000317D8" w:rsidP="00357F48">
            <w:r>
              <w:t>2.964+/-0.082</w:t>
            </w:r>
          </w:p>
        </w:tc>
        <w:tc>
          <w:tcPr>
            <w:tcW w:w="1613" w:type="dxa"/>
            <w:noWrap/>
            <w:hideMark/>
          </w:tcPr>
          <w:p w14:paraId="67ED16E8" w14:textId="77777777" w:rsidR="000317D8" w:rsidRPr="007A4D2B" w:rsidRDefault="000317D8" w:rsidP="00357F48">
            <w:r>
              <w:t>3.157+/-0.054</w:t>
            </w:r>
          </w:p>
        </w:tc>
        <w:tc>
          <w:tcPr>
            <w:tcW w:w="1609" w:type="dxa"/>
            <w:noWrap/>
            <w:hideMark/>
          </w:tcPr>
          <w:p w14:paraId="0D94A5F0" w14:textId="77777777" w:rsidR="000317D8" w:rsidRPr="007A4D2B" w:rsidRDefault="000317D8" w:rsidP="00357F48">
            <w:r w:rsidRPr="007A4D2B">
              <w:t>0.2403</w:t>
            </w:r>
          </w:p>
        </w:tc>
        <w:tc>
          <w:tcPr>
            <w:tcW w:w="1093" w:type="dxa"/>
            <w:noWrap/>
            <w:hideMark/>
          </w:tcPr>
          <w:p w14:paraId="1AAEB1FF" w14:textId="77777777" w:rsidR="000317D8" w:rsidRPr="007A4D2B" w:rsidRDefault="000317D8" w:rsidP="00357F48">
            <w:r w:rsidRPr="007A4D2B">
              <w:t>0.0022</w:t>
            </w:r>
          </w:p>
        </w:tc>
      </w:tr>
      <w:tr w:rsidR="000317D8" w:rsidRPr="007A4D2B" w14:paraId="196F9A18" w14:textId="77777777" w:rsidTr="00357F48">
        <w:trPr>
          <w:trHeight w:val="300"/>
        </w:trPr>
        <w:tc>
          <w:tcPr>
            <w:tcW w:w="1895" w:type="dxa"/>
            <w:tcBorders>
              <w:right w:val="single" w:sz="12" w:space="0" w:color="auto"/>
            </w:tcBorders>
            <w:noWrap/>
            <w:hideMark/>
          </w:tcPr>
          <w:p w14:paraId="05A68AC6" w14:textId="77777777" w:rsidR="000317D8" w:rsidRPr="007A4D2B" w:rsidRDefault="000317D8" w:rsidP="00357F48">
            <w:r w:rsidRPr="007A4D2B">
              <w:t>85</w:t>
            </w:r>
          </w:p>
        </w:tc>
        <w:tc>
          <w:tcPr>
            <w:tcW w:w="1609" w:type="dxa"/>
            <w:tcBorders>
              <w:left w:val="single" w:sz="12" w:space="0" w:color="auto"/>
            </w:tcBorders>
            <w:noWrap/>
            <w:hideMark/>
          </w:tcPr>
          <w:p w14:paraId="61267258" w14:textId="77777777" w:rsidR="000317D8" w:rsidRPr="007A4D2B" w:rsidRDefault="000317D8" w:rsidP="00357F48">
            <w:r>
              <w:t>3.221+/-.0072</w:t>
            </w:r>
          </w:p>
        </w:tc>
        <w:tc>
          <w:tcPr>
            <w:tcW w:w="1531" w:type="dxa"/>
            <w:noWrap/>
            <w:hideMark/>
          </w:tcPr>
          <w:p w14:paraId="1AFD7E73" w14:textId="77777777" w:rsidR="000317D8" w:rsidRPr="007A4D2B" w:rsidRDefault="000317D8" w:rsidP="00357F48">
            <w:r>
              <w:t>3.391+/-0.069</w:t>
            </w:r>
          </w:p>
        </w:tc>
        <w:tc>
          <w:tcPr>
            <w:tcW w:w="1613" w:type="dxa"/>
            <w:noWrap/>
            <w:hideMark/>
          </w:tcPr>
          <w:p w14:paraId="09E8CB83" w14:textId="77777777" w:rsidR="000317D8" w:rsidRPr="007A4D2B" w:rsidRDefault="000317D8" w:rsidP="00357F48">
            <w:r>
              <w:t>3.459+/-0.096</w:t>
            </w:r>
          </w:p>
        </w:tc>
        <w:tc>
          <w:tcPr>
            <w:tcW w:w="1609" w:type="dxa"/>
            <w:noWrap/>
            <w:hideMark/>
          </w:tcPr>
          <w:p w14:paraId="42D409E0" w14:textId="77777777" w:rsidR="000317D8" w:rsidRPr="007A4D2B" w:rsidRDefault="000317D8" w:rsidP="00357F48">
            <w:r w:rsidRPr="007A4D2B">
              <w:t>0.0022</w:t>
            </w:r>
          </w:p>
        </w:tc>
        <w:tc>
          <w:tcPr>
            <w:tcW w:w="1093" w:type="dxa"/>
            <w:noWrap/>
            <w:hideMark/>
          </w:tcPr>
          <w:p w14:paraId="5B8BB36F" w14:textId="77777777" w:rsidR="000317D8" w:rsidRPr="007A4D2B" w:rsidRDefault="000317D8" w:rsidP="00357F48">
            <w:r w:rsidRPr="007A4D2B">
              <w:t>0.0022</w:t>
            </w:r>
          </w:p>
        </w:tc>
      </w:tr>
      <w:tr w:rsidR="000317D8" w:rsidRPr="007A4D2B" w14:paraId="4F930236" w14:textId="77777777" w:rsidTr="00357F48">
        <w:trPr>
          <w:trHeight w:val="300"/>
        </w:trPr>
        <w:tc>
          <w:tcPr>
            <w:tcW w:w="1895" w:type="dxa"/>
            <w:tcBorders>
              <w:right w:val="single" w:sz="12" w:space="0" w:color="auto"/>
            </w:tcBorders>
            <w:noWrap/>
            <w:hideMark/>
          </w:tcPr>
          <w:p w14:paraId="69774C5B" w14:textId="77777777" w:rsidR="000317D8" w:rsidRPr="007A4D2B" w:rsidRDefault="000317D8" w:rsidP="00357F48">
            <w:r w:rsidRPr="007A4D2B">
              <w:t>95</w:t>
            </w:r>
          </w:p>
        </w:tc>
        <w:tc>
          <w:tcPr>
            <w:tcW w:w="1609" w:type="dxa"/>
            <w:tcBorders>
              <w:left w:val="single" w:sz="12" w:space="0" w:color="auto"/>
            </w:tcBorders>
            <w:noWrap/>
            <w:hideMark/>
          </w:tcPr>
          <w:p w14:paraId="20B91D65" w14:textId="77777777" w:rsidR="000317D8" w:rsidRPr="007A4D2B" w:rsidRDefault="000317D8" w:rsidP="00357F48">
            <w:r w:rsidRPr="007A4D2B">
              <w:t>3.203+/-0.012</w:t>
            </w:r>
          </w:p>
        </w:tc>
        <w:tc>
          <w:tcPr>
            <w:tcW w:w="1531" w:type="dxa"/>
            <w:noWrap/>
            <w:hideMark/>
          </w:tcPr>
          <w:p w14:paraId="78A97977" w14:textId="77777777" w:rsidR="000317D8" w:rsidRPr="007A4D2B" w:rsidRDefault="000317D8" w:rsidP="00357F48">
            <w:r>
              <w:t>3.674+/-0.044</w:t>
            </w:r>
          </w:p>
        </w:tc>
        <w:tc>
          <w:tcPr>
            <w:tcW w:w="1613" w:type="dxa"/>
            <w:noWrap/>
            <w:hideMark/>
          </w:tcPr>
          <w:p w14:paraId="18A5B8E7" w14:textId="77777777" w:rsidR="000317D8" w:rsidRPr="007A4D2B" w:rsidRDefault="000317D8" w:rsidP="00357F48">
            <w:r w:rsidRPr="007A4D2B">
              <w:t>3.918+/-0.050</w:t>
            </w:r>
          </w:p>
        </w:tc>
        <w:tc>
          <w:tcPr>
            <w:tcW w:w="1609" w:type="dxa"/>
            <w:noWrap/>
            <w:hideMark/>
          </w:tcPr>
          <w:p w14:paraId="28B33456" w14:textId="77777777" w:rsidR="000317D8" w:rsidRPr="007A4D2B" w:rsidRDefault="000317D8" w:rsidP="00357F48">
            <w:r w:rsidRPr="007A4D2B">
              <w:t>0.0022</w:t>
            </w:r>
          </w:p>
        </w:tc>
        <w:tc>
          <w:tcPr>
            <w:tcW w:w="1093" w:type="dxa"/>
            <w:noWrap/>
            <w:hideMark/>
          </w:tcPr>
          <w:p w14:paraId="7DEB867A" w14:textId="77777777" w:rsidR="000317D8" w:rsidRPr="007A4D2B" w:rsidRDefault="000317D8" w:rsidP="00357F48">
            <w:r w:rsidRPr="007A4D2B">
              <w:t>0.0022</w:t>
            </w:r>
          </w:p>
        </w:tc>
      </w:tr>
      <w:tr w:rsidR="000317D8" w:rsidRPr="007A4D2B" w14:paraId="2CB3E08F" w14:textId="77777777" w:rsidTr="00357F48">
        <w:trPr>
          <w:trHeight w:val="300"/>
        </w:trPr>
        <w:tc>
          <w:tcPr>
            <w:tcW w:w="1895" w:type="dxa"/>
            <w:tcBorders>
              <w:right w:val="single" w:sz="12" w:space="0" w:color="auto"/>
            </w:tcBorders>
            <w:noWrap/>
            <w:hideMark/>
          </w:tcPr>
          <w:p w14:paraId="55C8B040" w14:textId="77777777" w:rsidR="000317D8" w:rsidRPr="007A4D2B" w:rsidRDefault="000317D8" w:rsidP="00357F48">
            <w:r w:rsidRPr="007A4D2B">
              <w:t>105</w:t>
            </w:r>
          </w:p>
        </w:tc>
        <w:tc>
          <w:tcPr>
            <w:tcW w:w="1609" w:type="dxa"/>
            <w:tcBorders>
              <w:left w:val="single" w:sz="12" w:space="0" w:color="auto"/>
            </w:tcBorders>
            <w:noWrap/>
            <w:hideMark/>
          </w:tcPr>
          <w:p w14:paraId="0F1E70E7" w14:textId="77777777" w:rsidR="000317D8" w:rsidRPr="007A4D2B" w:rsidRDefault="000317D8" w:rsidP="00357F48">
            <w:r w:rsidRPr="007A4D2B">
              <w:t>2.875+/-0.103</w:t>
            </w:r>
          </w:p>
        </w:tc>
        <w:tc>
          <w:tcPr>
            <w:tcW w:w="1531" w:type="dxa"/>
            <w:noWrap/>
            <w:hideMark/>
          </w:tcPr>
          <w:p w14:paraId="1DDE05BE" w14:textId="77777777" w:rsidR="000317D8" w:rsidRPr="007A4D2B" w:rsidRDefault="000317D8" w:rsidP="00357F48">
            <w:r w:rsidRPr="007A4D2B">
              <w:t>3.724+/-0.051</w:t>
            </w:r>
          </w:p>
        </w:tc>
        <w:tc>
          <w:tcPr>
            <w:tcW w:w="1613" w:type="dxa"/>
            <w:noWrap/>
            <w:hideMark/>
          </w:tcPr>
          <w:p w14:paraId="698F09DC" w14:textId="77777777" w:rsidR="000317D8" w:rsidRPr="007A4D2B" w:rsidRDefault="000317D8" w:rsidP="00357F48">
            <w:r w:rsidRPr="007A4D2B">
              <w:t>4.698+/-0.065</w:t>
            </w:r>
          </w:p>
        </w:tc>
        <w:tc>
          <w:tcPr>
            <w:tcW w:w="1609" w:type="dxa"/>
            <w:noWrap/>
            <w:hideMark/>
          </w:tcPr>
          <w:p w14:paraId="2F7A33D6" w14:textId="77777777" w:rsidR="000317D8" w:rsidRPr="007A4D2B" w:rsidRDefault="000317D8" w:rsidP="00357F48">
            <w:r w:rsidRPr="007A4D2B">
              <w:t>0.0022</w:t>
            </w:r>
          </w:p>
        </w:tc>
        <w:tc>
          <w:tcPr>
            <w:tcW w:w="1093" w:type="dxa"/>
            <w:noWrap/>
            <w:hideMark/>
          </w:tcPr>
          <w:p w14:paraId="7E235654" w14:textId="77777777" w:rsidR="000317D8" w:rsidRPr="007A4D2B" w:rsidRDefault="000317D8" w:rsidP="00357F48">
            <w:r w:rsidRPr="007A4D2B">
              <w:t>0.0022</w:t>
            </w:r>
          </w:p>
        </w:tc>
      </w:tr>
      <w:tr w:rsidR="000317D8" w:rsidRPr="007A4D2B" w14:paraId="2616E282" w14:textId="77777777" w:rsidTr="00357F48">
        <w:trPr>
          <w:trHeight w:val="300"/>
        </w:trPr>
        <w:tc>
          <w:tcPr>
            <w:tcW w:w="1895" w:type="dxa"/>
            <w:tcBorders>
              <w:right w:val="single" w:sz="12" w:space="0" w:color="auto"/>
            </w:tcBorders>
            <w:noWrap/>
            <w:hideMark/>
          </w:tcPr>
          <w:p w14:paraId="0BBA9429" w14:textId="77777777" w:rsidR="000317D8" w:rsidRPr="007A4D2B" w:rsidRDefault="000317D8" w:rsidP="00357F48">
            <w:r w:rsidRPr="007A4D2B">
              <w:t>115</w:t>
            </w:r>
          </w:p>
        </w:tc>
        <w:tc>
          <w:tcPr>
            <w:tcW w:w="1609" w:type="dxa"/>
            <w:tcBorders>
              <w:left w:val="single" w:sz="12" w:space="0" w:color="auto"/>
            </w:tcBorders>
            <w:noWrap/>
            <w:hideMark/>
          </w:tcPr>
          <w:p w14:paraId="0FD2A3F1" w14:textId="77777777" w:rsidR="000317D8" w:rsidRPr="007A4D2B" w:rsidRDefault="000317D8" w:rsidP="00357F48">
            <w:r w:rsidRPr="007A4D2B">
              <w:t>2.917+/-0.029</w:t>
            </w:r>
          </w:p>
        </w:tc>
        <w:tc>
          <w:tcPr>
            <w:tcW w:w="1531" w:type="dxa"/>
            <w:noWrap/>
            <w:hideMark/>
          </w:tcPr>
          <w:p w14:paraId="1EE80D20" w14:textId="77777777" w:rsidR="000317D8" w:rsidRPr="007A4D2B" w:rsidRDefault="000317D8" w:rsidP="00357F48">
            <w:r>
              <w:t>3.423+/-0.031</w:t>
            </w:r>
          </w:p>
        </w:tc>
        <w:tc>
          <w:tcPr>
            <w:tcW w:w="1613" w:type="dxa"/>
            <w:noWrap/>
            <w:hideMark/>
          </w:tcPr>
          <w:p w14:paraId="474C3D6C" w14:textId="77777777" w:rsidR="000317D8" w:rsidRPr="007A4D2B" w:rsidRDefault="000317D8" w:rsidP="00357F48">
            <w:r w:rsidRPr="007A4D2B">
              <w:t>5.403+/-0.055</w:t>
            </w:r>
          </w:p>
        </w:tc>
        <w:tc>
          <w:tcPr>
            <w:tcW w:w="1609" w:type="dxa"/>
            <w:noWrap/>
            <w:hideMark/>
          </w:tcPr>
          <w:p w14:paraId="52DD25EF" w14:textId="77777777" w:rsidR="000317D8" w:rsidRPr="007A4D2B" w:rsidRDefault="000317D8" w:rsidP="00357F48">
            <w:r w:rsidRPr="007A4D2B">
              <w:t>0.0022</w:t>
            </w:r>
          </w:p>
        </w:tc>
        <w:tc>
          <w:tcPr>
            <w:tcW w:w="1093" w:type="dxa"/>
            <w:noWrap/>
            <w:hideMark/>
          </w:tcPr>
          <w:p w14:paraId="09052987" w14:textId="77777777" w:rsidR="000317D8" w:rsidRPr="007A4D2B" w:rsidRDefault="000317D8" w:rsidP="00357F48">
            <w:r w:rsidRPr="007A4D2B">
              <w:t>0.0022</w:t>
            </w:r>
          </w:p>
        </w:tc>
      </w:tr>
    </w:tbl>
    <w:p w14:paraId="56FC4D1F" w14:textId="77777777" w:rsidR="000317D8" w:rsidRDefault="000317D8" w:rsidP="000317D8">
      <w:pPr>
        <w:spacing w:line="480" w:lineRule="auto"/>
        <w:rPr>
          <w:sz w:val="24"/>
          <w:szCs w:val="24"/>
        </w:rPr>
      </w:pPr>
    </w:p>
    <w:p w14:paraId="28278B6F" w14:textId="635A3D3A" w:rsidR="000317D8" w:rsidRDefault="000317D8" w:rsidP="000317D8">
      <w:pPr>
        <w:spacing w:line="480" w:lineRule="auto"/>
        <w:rPr>
          <w:sz w:val="24"/>
          <w:szCs w:val="24"/>
        </w:rPr>
      </w:pPr>
      <w:r w:rsidRPr="003A7B36">
        <w:rPr>
          <w:b/>
          <w:sz w:val="24"/>
          <w:szCs w:val="24"/>
        </w:rPr>
        <w:t>Supplement table 1</w:t>
      </w:r>
      <w:r>
        <w:rPr>
          <w:sz w:val="24"/>
          <w:szCs w:val="24"/>
        </w:rPr>
        <w:t xml:space="preserve">: </w:t>
      </w:r>
      <w:r w:rsidRPr="000C7F1B">
        <w:rPr>
          <w:sz w:val="24"/>
          <w:szCs w:val="24"/>
        </w:rPr>
        <w:t>Varying afterload (AoP) whil</w:t>
      </w:r>
      <w:r>
        <w:rPr>
          <w:sz w:val="24"/>
          <w:szCs w:val="24"/>
        </w:rPr>
        <w:t xml:space="preserve">e recording pulsatility under heart failure conditions </w:t>
      </w:r>
      <w:r w:rsidRPr="000C7F1B">
        <w:rPr>
          <w:sz w:val="24"/>
          <w:szCs w:val="24"/>
        </w:rPr>
        <w:t>(</w:t>
      </w:r>
      <w:r>
        <w:rPr>
          <w:sz w:val="24"/>
          <w:szCs w:val="24"/>
        </w:rPr>
        <w:t xml:space="preserve">LV LDP of </w:t>
      </w:r>
      <w:r w:rsidRPr="000C7F1B">
        <w:rPr>
          <w:sz w:val="24"/>
          <w:szCs w:val="24"/>
        </w:rPr>
        <w:t xml:space="preserve">120 mmHg), medium </w:t>
      </w:r>
      <w:r>
        <w:rPr>
          <w:sz w:val="24"/>
          <w:szCs w:val="24"/>
        </w:rPr>
        <w:t>ventricular pumping force</w:t>
      </w:r>
      <w:r w:rsidRPr="000C7F1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LV LDP of 15</w:t>
      </w:r>
      <w:r w:rsidRPr="000C7F1B">
        <w:rPr>
          <w:sz w:val="24"/>
          <w:szCs w:val="24"/>
        </w:rPr>
        <w:t>0 mmHg), and n</w:t>
      </w:r>
      <w:r>
        <w:rPr>
          <w:sz w:val="24"/>
          <w:szCs w:val="24"/>
        </w:rPr>
        <w:t>ormal ventricular pumping force (LV LDP of 180 mmHg). P-values are calculated by comparing HF conditions to MED LV pumping force and HF cond</w:t>
      </w:r>
      <w:r w:rsidR="00CF4C89">
        <w:rPr>
          <w:sz w:val="24"/>
          <w:szCs w:val="24"/>
        </w:rPr>
        <w:t>itions to NOC LV pumping force.</w:t>
      </w:r>
    </w:p>
    <w:p w14:paraId="101CEDC1" w14:textId="77777777" w:rsidR="000317D8" w:rsidRDefault="000317D8" w:rsidP="000317D8">
      <w:pPr>
        <w:spacing w:line="480" w:lineRule="auto"/>
        <w:rPr>
          <w:sz w:val="24"/>
          <w:szCs w:val="24"/>
        </w:rPr>
      </w:pPr>
    </w:p>
    <w:p w14:paraId="40D9C314" w14:textId="77777777" w:rsidR="000317D8" w:rsidRDefault="000317D8" w:rsidP="000317D8">
      <w:pPr>
        <w:spacing w:line="480" w:lineRule="auto"/>
        <w:rPr>
          <w:sz w:val="24"/>
          <w:szCs w:val="24"/>
        </w:rPr>
      </w:pPr>
    </w:p>
    <w:p w14:paraId="7D1DB86B" w14:textId="77777777" w:rsidR="000317D8" w:rsidRDefault="000317D8" w:rsidP="000317D8">
      <w:pPr>
        <w:spacing w:line="480" w:lineRule="auto"/>
        <w:rPr>
          <w:sz w:val="24"/>
          <w:szCs w:val="24"/>
        </w:rPr>
      </w:pPr>
    </w:p>
    <w:p w14:paraId="7838DF1F" w14:textId="77777777" w:rsidR="000317D8" w:rsidRDefault="000317D8" w:rsidP="000317D8">
      <w:pPr>
        <w:spacing w:line="480" w:lineRule="auto"/>
        <w:rPr>
          <w:sz w:val="24"/>
          <w:szCs w:val="24"/>
        </w:rPr>
      </w:pPr>
    </w:p>
    <w:p w14:paraId="38D4AB03" w14:textId="77777777" w:rsidR="000317D8" w:rsidRDefault="000317D8" w:rsidP="000317D8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1552"/>
        <w:gridCol w:w="2041"/>
        <w:gridCol w:w="1609"/>
        <w:gridCol w:w="1093"/>
      </w:tblGrid>
      <w:tr w:rsidR="000317D8" w:rsidRPr="009A317A" w14:paraId="610B4F94" w14:textId="77777777" w:rsidTr="00357F48">
        <w:trPr>
          <w:trHeight w:val="300"/>
        </w:trPr>
        <w:tc>
          <w:tcPr>
            <w:tcW w:w="1345" w:type="dxa"/>
            <w:tcBorders>
              <w:bottom w:val="single" w:sz="12" w:space="0" w:color="auto"/>
            </w:tcBorders>
            <w:noWrap/>
            <w:hideMark/>
          </w:tcPr>
          <w:p w14:paraId="51B16A94" w14:textId="77777777" w:rsidR="000317D8" w:rsidRPr="009A317A" w:rsidRDefault="000317D8" w:rsidP="00357F48">
            <w:r w:rsidRPr="009A317A">
              <w:lastRenderedPageBreak/>
              <w:t>Preload Variation (mmHg)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noWrap/>
            <w:hideMark/>
          </w:tcPr>
          <w:p w14:paraId="1E529D77" w14:textId="77777777" w:rsidR="000317D8" w:rsidRPr="009A317A" w:rsidRDefault="000317D8" w:rsidP="00357F48">
            <w:r w:rsidRPr="009A317A">
              <w:t>Heart Failure (HF) (L)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noWrap/>
            <w:hideMark/>
          </w:tcPr>
          <w:p w14:paraId="626F8EB5" w14:textId="77777777" w:rsidR="000317D8" w:rsidRPr="009A317A" w:rsidRDefault="000317D8" w:rsidP="00357F48">
            <w:r w:rsidRPr="009A317A">
              <w:t>Medium (MED) (L)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noWrap/>
            <w:hideMark/>
          </w:tcPr>
          <w:p w14:paraId="6CC2A399" w14:textId="77777777" w:rsidR="000317D8" w:rsidRPr="009A317A" w:rsidRDefault="000317D8" w:rsidP="00357F48">
            <w:r w:rsidRPr="009A317A">
              <w:t>Normal Operating conditions (NOC) (L)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noWrap/>
            <w:hideMark/>
          </w:tcPr>
          <w:p w14:paraId="020B095D" w14:textId="77777777" w:rsidR="000317D8" w:rsidRPr="009A317A" w:rsidRDefault="000317D8" w:rsidP="00357F48">
            <w:r w:rsidRPr="009A317A">
              <w:t>P-value HF to MED</w:t>
            </w:r>
          </w:p>
        </w:tc>
        <w:tc>
          <w:tcPr>
            <w:tcW w:w="1093" w:type="dxa"/>
            <w:tcBorders>
              <w:bottom w:val="single" w:sz="12" w:space="0" w:color="auto"/>
            </w:tcBorders>
            <w:noWrap/>
            <w:hideMark/>
          </w:tcPr>
          <w:p w14:paraId="7C72F419" w14:textId="77777777" w:rsidR="000317D8" w:rsidRPr="009A317A" w:rsidRDefault="000317D8" w:rsidP="00357F48">
            <w:r w:rsidRPr="009A317A">
              <w:t>P-value HF to NOC</w:t>
            </w:r>
          </w:p>
        </w:tc>
      </w:tr>
      <w:tr w:rsidR="000317D8" w:rsidRPr="009A317A" w14:paraId="20E24210" w14:textId="77777777" w:rsidTr="00357F48">
        <w:trPr>
          <w:trHeight w:val="300"/>
        </w:trPr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09F8D249" w14:textId="77777777" w:rsidR="000317D8" w:rsidRPr="009A317A" w:rsidRDefault="000317D8" w:rsidP="00357F48">
            <w:r w:rsidRPr="009A317A">
              <w:t>0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29A7F51D" w14:textId="77777777" w:rsidR="000317D8" w:rsidRPr="009A317A" w:rsidRDefault="000317D8" w:rsidP="00357F48">
            <w:r w:rsidRPr="009A317A">
              <w:t>4.207+/-0.047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noWrap/>
            <w:hideMark/>
          </w:tcPr>
          <w:p w14:paraId="2B733506" w14:textId="77777777" w:rsidR="000317D8" w:rsidRPr="009A317A" w:rsidRDefault="000317D8" w:rsidP="00357F48">
            <w:r w:rsidRPr="009A317A">
              <w:t>4.506+/-0.190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noWrap/>
            <w:hideMark/>
          </w:tcPr>
          <w:p w14:paraId="7DC5F8B3" w14:textId="77777777" w:rsidR="000317D8" w:rsidRPr="009A317A" w:rsidRDefault="000317D8" w:rsidP="00357F48">
            <w:r w:rsidRPr="009A317A">
              <w:t>5.043+/-0.057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noWrap/>
            <w:hideMark/>
          </w:tcPr>
          <w:p w14:paraId="2EE2DCD8" w14:textId="77777777" w:rsidR="000317D8" w:rsidRPr="009A317A" w:rsidRDefault="000317D8" w:rsidP="00357F48">
            <w:r w:rsidRPr="009A317A">
              <w:t>0.0022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noWrap/>
            <w:hideMark/>
          </w:tcPr>
          <w:p w14:paraId="503F2103" w14:textId="77777777" w:rsidR="000317D8" w:rsidRPr="009A317A" w:rsidRDefault="000317D8" w:rsidP="00357F48">
            <w:r w:rsidRPr="009A317A">
              <w:t>0.0022</w:t>
            </w:r>
          </w:p>
        </w:tc>
      </w:tr>
      <w:tr w:rsidR="000317D8" w:rsidRPr="009A317A" w14:paraId="2E9A8F4B" w14:textId="77777777" w:rsidTr="00357F48">
        <w:trPr>
          <w:trHeight w:val="300"/>
        </w:trPr>
        <w:tc>
          <w:tcPr>
            <w:tcW w:w="1345" w:type="dxa"/>
            <w:tcBorders>
              <w:right w:val="single" w:sz="12" w:space="0" w:color="auto"/>
            </w:tcBorders>
            <w:noWrap/>
            <w:hideMark/>
          </w:tcPr>
          <w:p w14:paraId="230D2EB7" w14:textId="77777777" w:rsidR="000317D8" w:rsidRPr="009A317A" w:rsidRDefault="000317D8" w:rsidP="00357F48">
            <w:r w:rsidRPr="009A317A">
              <w:t>5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noWrap/>
            <w:hideMark/>
          </w:tcPr>
          <w:p w14:paraId="4BC5E039" w14:textId="77777777" w:rsidR="000317D8" w:rsidRPr="009A317A" w:rsidRDefault="000317D8" w:rsidP="00357F48">
            <w:r w:rsidRPr="009A317A">
              <w:t>5.522+/-0.035</w:t>
            </w:r>
          </w:p>
        </w:tc>
        <w:tc>
          <w:tcPr>
            <w:tcW w:w="1552" w:type="dxa"/>
            <w:noWrap/>
            <w:hideMark/>
          </w:tcPr>
          <w:p w14:paraId="0137B7F6" w14:textId="77777777" w:rsidR="000317D8" w:rsidRPr="009A317A" w:rsidRDefault="000317D8" w:rsidP="00357F48">
            <w:r w:rsidRPr="009A317A">
              <w:t>4.733+/-0.071</w:t>
            </w:r>
          </w:p>
        </w:tc>
        <w:tc>
          <w:tcPr>
            <w:tcW w:w="2041" w:type="dxa"/>
            <w:noWrap/>
            <w:hideMark/>
          </w:tcPr>
          <w:p w14:paraId="51991642" w14:textId="77777777" w:rsidR="000317D8" w:rsidRPr="009A317A" w:rsidRDefault="000317D8" w:rsidP="00357F48">
            <w:r w:rsidRPr="009A317A">
              <w:t>5.015+/-0.072</w:t>
            </w:r>
          </w:p>
        </w:tc>
        <w:tc>
          <w:tcPr>
            <w:tcW w:w="1609" w:type="dxa"/>
            <w:noWrap/>
            <w:hideMark/>
          </w:tcPr>
          <w:p w14:paraId="78F7BD2A" w14:textId="77777777" w:rsidR="000317D8" w:rsidRPr="009A317A" w:rsidRDefault="000317D8" w:rsidP="00357F48">
            <w:r w:rsidRPr="009A317A">
              <w:t>0.0022</w:t>
            </w:r>
          </w:p>
        </w:tc>
        <w:tc>
          <w:tcPr>
            <w:tcW w:w="1093" w:type="dxa"/>
            <w:noWrap/>
            <w:hideMark/>
          </w:tcPr>
          <w:p w14:paraId="5320DBBC" w14:textId="77777777" w:rsidR="000317D8" w:rsidRPr="009A317A" w:rsidRDefault="000317D8" w:rsidP="00357F48">
            <w:r w:rsidRPr="009A317A">
              <w:t>0.0022</w:t>
            </w:r>
          </w:p>
        </w:tc>
      </w:tr>
      <w:tr w:rsidR="000317D8" w:rsidRPr="009A317A" w14:paraId="34FE5DA5" w14:textId="77777777" w:rsidTr="00357F48">
        <w:trPr>
          <w:trHeight w:val="300"/>
        </w:trPr>
        <w:tc>
          <w:tcPr>
            <w:tcW w:w="1345" w:type="dxa"/>
            <w:tcBorders>
              <w:right w:val="single" w:sz="12" w:space="0" w:color="auto"/>
            </w:tcBorders>
            <w:noWrap/>
            <w:hideMark/>
          </w:tcPr>
          <w:p w14:paraId="7A77FB79" w14:textId="77777777" w:rsidR="000317D8" w:rsidRPr="009A317A" w:rsidRDefault="000317D8" w:rsidP="00357F48">
            <w:r w:rsidRPr="009A317A">
              <w:t>10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noWrap/>
            <w:hideMark/>
          </w:tcPr>
          <w:p w14:paraId="67F738E1" w14:textId="77777777" w:rsidR="000317D8" w:rsidRPr="009A317A" w:rsidRDefault="000317D8" w:rsidP="00357F48">
            <w:r w:rsidRPr="009A317A">
              <w:t>4.007+/-0.0952</w:t>
            </w:r>
          </w:p>
        </w:tc>
        <w:tc>
          <w:tcPr>
            <w:tcW w:w="1552" w:type="dxa"/>
            <w:noWrap/>
            <w:hideMark/>
          </w:tcPr>
          <w:p w14:paraId="124E0D8C" w14:textId="77777777" w:rsidR="000317D8" w:rsidRPr="009A317A" w:rsidRDefault="000317D8" w:rsidP="00357F48">
            <w:r w:rsidRPr="009A317A">
              <w:t>5.165+/-0.139</w:t>
            </w:r>
          </w:p>
        </w:tc>
        <w:tc>
          <w:tcPr>
            <w:tcW w:w="2041" w:type="dxa"/>
            <w:noWrap/>
            <w:hideMark/>
          </w:tcPr>
          <w:p w14:paraId="576A665C" w14:textId="77777777" w:rsidR="000317D8" w:rsidRPr="009A317A" w:rsidRDefault="000317D8" w:rsidP="00357F48">
            <w:r w:rsidRPr="009A317A">
              <w:t>5.406+/-0.083</w:t>
            </w:r>
          </w:p>
        </w:tc>
        <w:tc>
          <w:tcPr>
            <w:tcW w:w="1609" w:type="dxa"/>
            <w:noWrap/>
            <w:hideMark/>
          </w:tcPr>
          <w:p w14:paraId="27E5C199" w14:textId="77777777" w:rsidR="000317D8" w:rsidRPr="009A317A" w:rsidRDefault="000317D8" w:rsidP="00357F48">
            <w:r w:rsidRPr="009A317A">
              <w:t>0.0022</w:t>
            </w:r>
          </w:p>
        </w:tc>
        <w:tc>
          <w:tcPr>
            <w:tcW w:w="1093" w:type="dxa"/>
            <w:noWrap/>
            <w:hideMark/>
          </w:tcPr>
          <w:p w14:paraId="3440CCD2" w14:textId="77777777" w:rsidR="000317D8" w:rsidRPr="009A317A" w:rsidRDefault="000317D8" w:rsidP="00357F48">
            <w:r w:rsidRPr="009A317A">
              <w:t>0.0022</w:t>
            </w:r>
          </w:p>
        </w:tc>
      </w:tr>
      <w:tr w:rsidR="000317D8" w:rsidRPr="009A317A" w14:paraId="0ED889C6" w14:textId="77777777" w:rsidTr="00357F48">
        <w:trPr>
          <w:trHeight w:val="300"/>
        </w:trPr>
        <w:tc>
          <w:tcPr>
            <w:tcW w:w="1345" w:type="dxa"/>
            <w:tcBorders>
              <w:right w:val="single" w:sz="12" w:space="0" w:color="auto"/>
            </w:tcBorders>
            <w:noWrap/>
            <w:hideMark/>
          </w:tcPr>
          <w:p w14:paraId="1D5B561D" w14:textId="77777777" w:rsidR="000317D8" w:rsidRPr="009A317A" w:rsidRDefault="000317D8" w:rsidP="00357F48">
            <w:r w:rsidRPr="009A317A">
              <w:t>15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noWrap/>
            <w:hideMark/>
          </w:tcPr>
          <w:p w14:paraId="540361D6" w14:textId="77777777" w:rsidR="000317D8" w:rsidRPr="009A317A" w:rsidRDefault="000317D8" w:rsidP="00357F48">
            <w:r w:rsidRPr="009A317A">
              <w:t>3.867+/-0.117</w:t>
            </w:r>
          </w:p>
        </w:tc>
        <w:tc>
          <w:tcPr>
            <w:tcW w:w="1552" w:type="dxa"/>
            <w:noWrap/>
            <w:hideMark/>
          </w:tcPr>
          <w:p w14:paraId="20CD3DA3" w14:textId="77777777" w:rsidR="000317D8" w:rsidRPr="009A317A" w:rsidRDefault="000317D8" w:rsidP="00357F48">
            <w:r w:rsidRPr="009A317A">
              <w:t>4.941+/-0.230</w:t>
            </w:r>
          </w:p>
        </w:tc>
        <w:tc>
          <w:tcPr>
            <w:tcW w:w="2041" w:type="dxa"/>
            <w:noWrap/>
            <w:hideMark/>
          </w:tcPr>
          <w:p w14:paraId="7CC26975" w14:textId="77777777" w:rsidR="000317D8" w:rsidRPr="009A317A" w:rsidRDefault="000317D8" w:rsidP="00357F48">
            <w:r w:rsidRPr="009A317A">
              <w:t>5.673+/-0.051</w:t>
            </w:r>
          </w:p>
        </w:tc>
        <w:tc>
          <w:tcPr>
            <w:tcW w:w="1609" w:type="dxa"/>
            <w:noWrap/>
            <w:hideMark/>
          </w:tcPr>
          <w:p w14:paraId="4954A623" w14:textId="77777777" w:rsidR="000317D8" w:rsidRPr="009A317A" w:rsidRDefault="000317D8" w:rsidP="00357F48">
            <w:r w:rsidRPr="009A317A">
              <w:t>0.0022</w:t>
            </w:r>
          </w:p>
        </w:tc>
        <w:tc>
          <w:tcPr>
            <w:tcW w:w="1093" w:type="dxa"/>
            <w:noWrap/>
            <w:hideMark/>
          </w:tcPr>
          <w:p w14:paraId="4F7677A3" w14:textId="77777777" w:rsidR="000317D8" w:rsidRPr="009A317A" w:rsidRDefault="000317D8" w:rsidP="00357F48">
            <w:r w:rsidRPr="009A317A">
              <w:t>0.0022</w:t>
            </w:r>
          </w:p>
        </w:tc>
      </w:tr>
      <w:tr w:rsidR="000317D8" w:rsidRPr="009A317A" w14:paraId="06DB23F6" w14:textId="77777777" w:rsidTr="00357F48">
        <w:trPr>
          <w:trHeight w:val="300"/>
        </w:trPr>
        <w:tc>
          <w:tcPr>
            <w:tcW w:w="1345" w:type="dxa"/>
            <w:tcBorders>
              <w:right w:val="single" w:sz="12" w:space="0" w:color="auto"/>
            </w:tcBorders>
            <w:noWrap/>
            <w:hideMark/>
          </w:tcPr>
          <w:p w14:paraId="242A3770" w14:textId="77777777" w:rsidR="000317D8" w:rsidRPr="009A317A" w:rsidRDefault="000317D8" w:rsidP="00357F48">
            <w:r w:rsidRPr="009A317A">
              <w:t>20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noWrap/>
            <w:hideMark/>
          </w:tcPr>
          <w:p w14:paraId="029D9A9C" w14:textId="77777777" w:rsidR="000317D8" w:rsidRPr="009A317A" w:rsidRDefault="000317D8" w:rsidP="00357F48">
            <w:r w:rsidRPr="009A317A">
              <w:t>3.902+/-0.070</w:t>
            </w:r>
          </w:p>
        </w:tc>
        <w:tc>
          <w:tcPr>
            <w:tcW w:w="1552" w:type="dxa"/>
            <w:noWrap/>
            <w:hideMark/>
          </w:tcPr>
          <w:p w14:paraId="7340FAC1" w14:textId="77777777" w:rsidR="000317D8" w:rsidRPr="009A317A" w:rsidRDefault="000317D8" w:rsidP="00357F48">
            <w:r w:rsidRPr="009A317A">
              <w:t>4.871+/-0.072</w:t>
            </w:r>
          </w:p>
        </w:tc>
        <w:tc>
          <w:tcPr>
            <w:tcW w:w="2041" w:type="dxa"/>
            <w:noWrap/>
            <w:hideMark/>
          </w:tcPr>
          <w:p w14:paraId="1EE0C524" w14:textId="77777777" w:rsidR="000317D8" w:rsidRPr="009A317A" w:rsidRDefault="000317D8" w:rsidP="00357F48">
            <w:r w:rsidRPr="009A317A">
              <w:t>5.881+/-0.085</w:t>
            </w:r>
          </w:p>
        </w:tc>
        <w:tc>
          <w:tcPr>
            <w:tcW w:w="1609" w:type="dxa"/>
            <w:noWrap/>
            <w:hideMark/>
          </w:tcPr>
          <w:p w14:paraId="2FF7A668" w14:textId="77777777" w:rsidR="000317D8" w:rsidRPr="009A317A" w:rsidRDefault="000317D8" w:rsidP="00357F48">
            <w:r w:rsidRPr="009A317A">
              <w:t>0.0022</w:t>
            </w:r>
          </w:p>
        </w:tc>
        <w:tc>
          <w:tcPr>
            <w:tcW w:w="1093" w:type="dxa"/>
            <w:noWrap/>
            <w:hideMark/>
          </w:tcPr>
          <w:p w14:paraId="4AB7C3B0" w14:textId="77777777" w:rsidR="000317D8" w:rsidRPr="009A317A" w:rsidRDefault="000317D8" w:rsidP="00357F48">
            <w:r w:rsidRPr="009A317A">
              <w:t>0.0022</w:t>
            </w:r>
          </w:p>
        </w:tc>
      </w:tr>
    </w:tbl>
    <w:p w14:paraId="1FFF52DC" w14:textId="77777777" w:rsidR="000317D8" w:rsidRPr="003A7B36" w:rsidRDefault="000317D8" w:rsidP="000317D8">
      <w:pPr>
        <w:spacing w:line="480" w:lineRule="auto"/>
        <w:rPr>
          <w:b/>
          <w:sz w:val="24"/>
          <w:szCs w:val="24"/>
        </w:rPr>
      </w:pPr>
    </w:p>
    <w:p w14:paraId="211A8822" w14:textId="77777777" w:rsidR="000317D8" w:rsidRDefault="000317D8" w:rsidP="000317D8">
      <w:pPr>
        <w:spacing w:line="480" w:lineRule="auto"/>
        <w:rPr>
          <w:sz w:val="24"/>
          <w:szCs w:val="24"/>
        </w:rPr>
      </w:pPr>
      <w:r w:rsidRPr="003A7B36">
        <w:rPr>
          <w:b/>
          <w:sz w:val="24"/>
          <w:szCs w:val="24"/>
        </w:rPr>
        <w:t>Supplement Table 2</w:t>
      </w:r>
      <w:r>
        <w:rPr>
          <w:sz w:val="24"/>
          <w:szCs w:val="24"/>
        </w:rPr>
        <w:t xml:space="preserve">: </w:t>
      </w:r>
      <w:r w:rsidRPr="000C7F1B">
        <w:rPr>
          <w:sz w:val="24"/>
          <w:szCs w:val="24"/>
        </w:rPr>
        <w:t xml:space="preserve">Varying </w:t>
      </w:r>
      <w:r>
        <w:rPr>
          <w:sz w:val="24"/>
          <w:szCs w:val="24"/>
        </w:rPr>
        <w:t xml:space="preserve">preload </w:t>
      </w:r>
      <w:r w:rsidRPr="000C7F1B">
        <w:rPr>
          <w:sz w:val="24"/>
          <w:szCs w:val="24"/>
        </w:rPr>
        <w:t>whil</w:t>
      </w:r>
      <w:r>
        <w:rPr>
          <w:sz w:val="24"/>
          <w:szCs w:val="24"/>
        </w:rPr>
        <w:t xml:space="preserve">e recording pulsatility under heart failure conditions </w:t>
      </w:r>
      <w:r w:rsidRPr="000C7F1B">
        <w:rPr>
          <w:sz w:val="24"/>
          <w:szCs w:val="24"/>
        </w:rPr>
        <w:t>(</w:t>
      </w:r>
      <w:r>
        <w:rPr>
          <w:sz w:val="24"/>
          <w:szCs w:val="24"/>
        </w:rPr>
        <w:t xml:space="preserve">LV LDP of </w:t>
      </w:r>
      <w:r w:rsidRPr="000C7F1B">
        <w:rPr>
          <w:sz w:val="24"/>
          <w:szCs w:val="24"/>
        </w:rPr>
        <w:t xml:space="preserve">120 mmHg), medium </w:t>
      </w:r>
      <w:r>
        <w:rPr>
          <w:sz w:val="24"/>
          <w:szCs w:val="24"/>
        </w:rPr>
        <w:t>ventricular pumping force</w:t>
      </w:r>
      <w:r w:rsidRPr="000C7F1B">
        <w:rPr>
          <w:sz w:val="24"/>
          <w:szCs w:val="24"/>
        </w:rPr>
        <w:t xml:space="preserve"> (</w:t>
      </w:r>
      <w:r>
        <w:rPr>
          <w:sz w:val="24"/>
          <w:szCs w:val="24"/>
        </w:rPr>
        <w:t>LV LDP of 15</w:t>
      </w:r>
      <w:r w:rsidRPr="000C7F1B">
        <w:rPr>
          <w:sz w:val="24"/>
          <w:szCs w:val="24"/>
        </w:rPr>
        <w:t>0 mmHg), and n</w:t>
      </w:r>
      <w:r>
        <w:rPr>
          <w:sz w:val="24"/>
          <w:szCs w:val="24"/>
        </w:rPr>
        <w:t xml:space="preserve">ormal ventricular pumping force (LV LDP of 180 mmHg). P-values are calculated by comparing HF conditions to MED LV pumping force and HF conditions to NOC LV pumping force. </w:t>
      </w:r>
    </w:p>
    <w:p w14:paraId="11E53B66" w14:textId="77777777" w:rsidR="000317D8" w:rsidRDefault="000317D8" w:rsidP="000317D8">
      <w:pPr>
        <w:spacing w:line="480" w:lineRule="auto"/>
        <w:rPr>
          <w:sz w:val="24"/>
          <w:szCs w:val="24"/>
        </w:rPr>
      </w:pPr>
      <w:r w:rsidRPr="000C7F1B">
        <w:rPr>
          <w:noProof/>
          <w:sz w:val="24"/>
          <w:szCs w:val="24"/>
        </w:rPr>
        <w:drawing>
          <wp:inline distT="0" distB="0" distL="0" distR="0" wp14:anchorId="2682006E" wp14:editId="64573521">
            <wp:extent cx="5943600" cy="3712845"/>
            <wp:effectExtent l="0" t="0" r="0" b="1905"/>
            <wp:docPr id="4" name="Picture 4" descr="../Screen%20Shot%202016-04-30%20at%205.16.3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6-04-30%20at%205.16.38%20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470A1" w14:textId="77777777" w:rsidR="000317D8" w:rsidRPr="000C7F1B" w:rsidRDefault="000317D8" w:rsidP="000317D8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Supplement Figure 1</w:t>
      </w:r>
      <w:r w:rsidRPr="000C7F1B">
        <w:rPr>
          <w:b/>
          <w:sz w:val="24"/>
          <w:szCs w:val="24"/>
        </w:rPr>
        <w:t xml:space="preserve">: </w:t>
      </w:r>
      <w:r w:rsidRPr="000C7F1B">
        <w:rPr>
          <w:sz w:val="24"/>
          <w:szCs w:val="24"/>
        </w:rPr>
        <w:t>Total Cardiac Output at low, medium, and normal operating conditions under various afterloads</w:t>
      </w:r>
    </w:p>
    <w:p w14:paraId="6B018948" w14:textId="77777777" w:rsidR="000317D8" w:rsidRDefault="000317D8" w:rsidP="000317D8"/>
    <w:p w14:paraId="34FC8339" w14:textId="77777777" w:rsidR="0071333C" w:rsidRDefault="0071333C"/>
    <w:sectPr w:rsidR="0071333C" w:rsidSect="0007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D8"/>
    <w:rsid w:val="000317D8"/>
    <w:rsid w:val="00076ACD"/>
    <w:rsid w:val="000B27EB"/>
    <w:rsid w:val="00127C85"/>
    <w:rsid w:val="001551AA"/>
    <w:rsid w:val="00250AC1"/>
    <w:rsid w:val="002E7D45"/>
    <w:rsid w:val="003C0A9E"/>
    <w:rsid w:val="003F335C"/>
    <w:rsid w:val="00424AFD"/>
    <w:rsid w:val="0044125B"/>
    <w:rsid w:val="00642C14"/>
    <w:rsid w:val="0071333C"/>
    <w:rsid w:val="007510A1"/>
    <w:rsid w:val="00786F66"/>
    <w:rsid w:val="00794531"/>
    <w:rsid w:val="007A7DAB"/>
    <w:rsid w:val="0086556C"/>
    <w:rsid w:val="00B54346"/>
    <w:rsid w:val="00CF4C89"/>
    <w:rsid w:val="00D76456"/>
    <w:rsid w:val="00E8339A"/>
    <w:rsid w:val="00EA0B0F"/>
    <w:rsid w:val="00EC4913"/>
    <w:rsid w:val="00F1669E"/>
    <w:rsid w:val="00F311AF"/>
    <w:rsid w:val="00F9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EB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7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Mikail</dc:creator>
  <cp:keywords/>
  <dc:description/>
  <cp:lastModifiedBy>Microsoft Office User</cp:lastModifiedBy>
  <cp:revision>2</cp:revision>
  <dcterms:created xsi:type="dcterms:W3CDTF">2018-05-08T17:03:00Z</dcterms:created>
  <dcterms:modified xsi:type="dcterms:W3CDTF">2018-05-08T17:03:00Z</dcterms:modified>
</cp:coreProperties>
</file>