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D0" w:rsidRPr="004675F5" w:rsidRDefault="004675F5">
      <w:pPr>
        <w:rPr>
          <w:b/>
          <w:lang w:val="en-US"/>
        </w:rPr>
      </w:pPr>
      <w:r w:rsidRPr="004675F5">
        <w:rPr>
          <w:b/>
          <w:lang w:val="en-US"/>
        </w:rPr>
        <w:t>Supplementary material 2 – Preliminary simulations and advanced simulation settings</w:t>
      </w:r>
    </w:p>
    <w:p w:rsidR="004675F5" w:rsidRDefault="004675F5">
      <w:pPr>
        <w:rPr>
          <w:lang w:val="en-US"/>
        </w:rPr>
      </w:pPr>
    </w:p>
    <w:p w:rsidR="004675F5" w:rsidRDefault="004675F5">
      <w:pPr>
        <w:rPr>
          <w:b/>
          <w:lang w:val="en-US"/>
        </w:rPr>
      </w:pPr>
      <w:r w:rsidRPr="004675F5">
        <w:rPr>
          <w:b/>
          <w:lang w:val="en-US"/>
        </w:rPr>
        <w:t>Mesh</w:t>
      </w:r>
      <w:r>
        <w:rPr>
          <w:b/>
          <w:lang w:val="en-US"/>
        </w:rPr>
        <w:t>ing</w:t>
      </w:r>
    </w:p>
    <w:p w:rsidR="004675F5" w:rsidRDefault="004675F5">
      <w:pPr>
        <w:rPr>
          <w:lang w:val="en-US"/>
        </w:rPr>
      </w:pPr>
      <w:r>
        <w:rPr>
          <w:lang w:val="en-US"/>
        </w:rPr>
        <w:t xml:space="preserve">This section shows the mesh independence study for the fluid mesh. Further on, the material parameters for </w:t>
      </w:r>
      <w:r w:rsidR="008B6F2D">
        <w:rPr>
          <w:lang w:val="en-US"/>
        </w:rPr>
        <w:t xml:space="preserve">the </w:t>
      </w:r>
      <w:r>
        <w:rPr>
          <w:lang w:val="en-US"/>
        </w:rPr>
        <w:t xml:space="preserve">4 structural meshes are presented. </w:t>
      </w:r>
      <w:r w:rsidR="00852DB0">
        <w:rPr>
          <w:lang w:val="en-US"/>
        </w:rPr>
        <w:t>T</w:t>
      </w:r>
      <w:r>
        <w:rPr>
          <w:lang w:val="en-US"/>
        </w:rPr>
        <w:t xml:space="preserve">he meshes </w:t>
      </w:r>
      <w:r w:rsidR="008B6F2D">
        <w:rPr>
          <w:lang w:val="en-US"/>
        </w:rPr>
        <w:t xml:space="preserve">used </w:t>
      </w:r>
      <w:r>
        <w:rPr>
          <w:lang w:val="en-US"/>
        </w:rPr>
        <w:t>for the fluid and structure simulations are</w:t>
      </w:r>
      <w:r w:rsidR="00852DB0">
        <w:rPr>
          <w:lang w:val="en-US"/>
        </w:rPr>
        <w:t xml:space="preserve"> also</w:t>
      </w:r>
      <w:r>
        <w:rPr>
          <w:lang w:val="en-US"/>
        </w:rPr>
        <w:t xml:space="preserve"> shown. </w:t>
      </w:r>
    </w:p>
    <w:p w:rsidR="004675F5" w:rsidRDefault="004675F5">
      <w:pPr>
        <w:rPr>
          <w:lang w:val="en-US"/>
        </w:rPr>
      </w:pPr>
    </w:p>
    <w:p w:rsidR="001737E0" w:rsidRDefault="001737E0">
      <w:pPr>
        <w:rPr>
          <w:i/>
          <w:lang w:val="en-US"/>
        </w:rPr>
      </w:pPr>
      <w:r>
        <w:rPr>
          <w:i/>
          <w:lang w:val="en-US"/>
        </w:rPr>
        <w:t>Mesh independence</w:t>
      </w:r>
    </w:p>
    <w:p w:rsidR="00F104DF" w:rsidRDefault="00F104DF">
      <w:pPr>
        <w:rPr>
          <w:lang w:val="en-US"/>
        </w:rPr>
      </w:pPr>
      <w:r>
        <w:rPr>
          <w:lang w:val="en-US"/>
        </w:rPr>
        <w:t>Three unstructured tetrahedral meshes with 3 prismatic boundary layers were created with the following sizes:</w:t>
      </w:r>
    </w:p>
    <w:p w:rsidR="00F104DF" w:rsidRDefault="00F104DF">
      <w:pPr>
        <w:rPr>
          <w:lang w:val="en-US"/>
        </w:rPr>
      </w:pPr>
      <w:r>
        <w:rPr>
          <w:lang w:val="en-US"/>
        </w:rPr>
        <w:t>coarse – 200k elements</w:t>
      </w:r>
    </w:p>
    <w:p w:rsidR="00F104DF" w:rsidRDefault="00F104DF">
      <w:pPr>
        <w:rPr>
          <w:lang w:val="en-US"/>
        </w:rPr>
      </w:pPr>
      <w:r>
        <w:rPr>
          <w:lang w:val="en-US"/>
        </w:rPr>
        <w:t>medium – 500k elements</w:t>
      </w:r>
    </w:p>
    <w:p w:rsidR="00F104DF" w:rsidRDefault="00F104DF">
      <w:pPr>
        <w:rPr>
          <w:lang w:val="en-US"/>
        </w:rPr>
      </w:pPr>
      <w:r>
        <w:rPr>
          <w:lang w:val="en-US"/>
        </w:rPr>
        <w:t>fine – 1.2mio elements</w:t>
      </w:r>
    </w:p>
    <w:p w:rsidR="00F104DF" w:rsidRDefault="00F104DF">
      <w:pPr>
        <w:rPr>
          <w:lang w:val="en-US"/>
        </w:rPr>
      </w:pPr>
    </w:p>
    <w:p w:rsidR="00F104DF" w:rsidRDefault="00F104DF">
      <w:pPr>
        <w:rPr>
          <w:lang w:val="en-US"/>
        </w:rPr>
      </w:pPr>
      <w:r>
        <w:rPr>
          <w:lang w:val="en-US"/>
        </w:rPr>
        <w:t>At first a visual comparison of velocity distribution at a transversal plane</w:t>
      </w:r>
      <w:r w:rsidR="006F1D6C">
        <w:rPr>
          <w:lang w:val="en-US"/>
        </w:rPr>
        <w:t xml:space="preserve"> located in the center of the left ventricle</w:t>
      </w:r>
      <w:r>
        <w:rPr>
          <w:lang w:val="en-US"/>
        </w:rPr>
        <w:t xml:space="preserve"> </w:t>
      </w:r>
      <w:r w:rsidR="006F1D6C">
        <w:rPr>
          <w:lang w:val="en-US"/>
        </w:rPr>
        <w:t xml:space="preserve">at t=0.4 s of the second cycle </w:t>
      </w:r>
      <w:r>
        <w:rPr>
          <w:lang w:val="en-US"/>
        </w:rPr>
        <w:t>was done</w:t>
      </w:r>
      <w:r w:rsidR="008B6F2D">
        <w:rPr>
          <w:lang w:val="en-US"/>
        </w:rPr>
        <w:t>;</w:t>
      </w:r>
      <w:r>
        <w:rPr>
          <w:lang w:val="en-US"/>
        </w:rPr>
        <w:t xml:space="preserve"> </w:t>
      </w:r>
      <w:r w:rsidR="006F1D6C">
        <w:rPr>
          <w:lang w:val="en-US"/>
        </w:rPr>
        <w:t>see</w:t>
      </w:r>
      <w:r>
        <w:rPr>
          <w:lang w:val="en-US"/>
        </w:rPr>
        <w:t xml:space="preserve"> Figure 1:</w:t>
      </w:r>
    </w:p>
    <w:p w:rsidR="006F1D6C" w:rsidRDefault="006F1D6C">
      <w:pPr>
        <w:rPr>
          <w:lang w:val="en-US"/>
        </w:rPr>
      </w:pPr>
    </w:p>
    <w:p w:rsidR="006F1D6C" w:rsidRDefault="006F1D6C" w:rsidP="006F1D6C">
      <w:pPr>
        <w:keepNext/>
      </w:pPr>
      <w:r>
        <w:rPr>
          <w:noProof/>
          <w:lang w:val="en-US" w:eastAsia="ko-KR"/>
        </w:rPr>
        <w:drawing>
          <wp:inline distT="0" distB="0" distL="0" distR="0">
            <wp:extent cx="5251438" cy="136017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hIndV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38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4DF" w:rsidRDefault="006F1D6C" w:rsidP="006F1D6C">
      <w:pPr>
        <w:pStyle w:val="Beschriftung"/>
        <w:rPr>
          <w:i w:val="0"/>
          <w:color w:val="auto"/>
          <w:sz w:val="24"/>
          <w:szCs w:val="24"/>
          <w:lang w:val="en-US"/>
        </w:rPr>
      </w:pPr>
      <w:r w:rsidRPr="006F1D6C">
        <w:rPr>
          <w:i w:val="0"/>
          <w:color w:val="auto"/>
          <w:sz w:val="24"/>
          <w:szCs w:val="24"/>
          <w:lang w:val="en-US"/>
        </w:rPr>
        <w:t xml:space="preserve">Figure </w:t>
      </w:r>
      <w:r w:rsidRPr="006F1D6C">
        <w:rPr>
          <w:i w:val="0"/>
          <w:color w:val="auto"/>
          <w:sz w:val="24"/>
          <w:szCs w:val="24"/>
        </w:rPr>
        <w:fldChar w:fldCharType="begin"/>
      </w:r>
      <w:r w:rsidRPr="006F1D6C">
        <w:rPr>
          <w:i w:val="0"/>
          <w:color w:val="auto"/>
          <w:sz w:val="24"/>
          <w:szCs w:val="24"/>
          <w:lang w:val="en-US"/>
        </w:rPr>
        <w:instrText xml:space="preserve"> SEQ Figure \* ARABIC </w:instrText>
      </w:r>
      <w:r w:rsidRPr="006F1D6C">
        <w:rPr>
          <w:i w:val="0"/>
          <w:color w:val="auto"/>
          <w:sz w:val="24"/>
          <w:szCs w:val="24"/>
        </w:rPr>
        <w:fldChar w:fldCharType="separate"/>
      </w:r>
      <w:r w:rsidR="008B6F2D">
        <w:rPr>
          <w:i w:val="0"/>
          <w:noProof/>
          <w:color w:val="auto"/>
          <w:sz w:val="24"/>
          <w:szCs w:val="24"/>
          <w:lang w:val="en-US"/>
        </w:rPr>
        <w:t>1</w:t>
      </w:r>
      <w:r w:rsidRPr="006F1D6C">
        <w:rPr>
          <w:i w:val="0"/>
          <w:color w:val="auto"/>
          <w:sz w:val="24"/>
          <w:szCs w:val="24"/>
        </w:rPr>
        <w:fldChar w:fldCharType="end"/>
      </w:r>
      <w:r w:rsidRPr="006F1D6C">
        <w:rPr>
          <w:i w:val="0"/>
          <w:color w:val="auto"/>
          <w:sz w:val="24"/>
          <w:szCs w:val="24"/>
          <w:lang w:val="en-US"/>
        </w:rPr>
        <w:t>: Loca</w:t>
      </w:r>
      <w:r w:rsidR="00794590">
        <w:rPr>
          <w:i w:val="0"/>
          <w:color w:val="auto"/>
          <w:sz w:val="24"/>
          <w:szCs w:val="24"/>
          <w:lang w:val="en-US"/>
        </w:rPr>
        <w:t xml:space="preserve">tion of the cut plane (red) and the evaluation region of </w:t>
      </w:r>
      <w:r w:rsidR="008B6F2D">
        <w:rPr>
          <w:i w:val="0"/>
          <w:color w:val="auto"/>
          <w:sz w:val="24"/>
          <w:szCs w:val="24"/>
          <w:lang w:val="en-US"/>
        </w:rPr>
        <w:t>wall shear stress</w:t>
      </w:r>
      <w:r w:rsidR="00794590">
        <w:rPr>
          <w:i w:val="0"/>
          <w:color w:val="auto"/>
          <w:sz w:val="24"/>
          <w:szCs w:val="24"/>
          <w:lang w:val="en-US"/>
        </w:rPr>
        <w:t xml:space="preserve"> (blue)</w:t>
      </w:r>
      <w:r w:rsidRPr="006F1D6C">
        <w:rPr>
          <w:i w:val="0"/>
          <w:color w:val="auto"/>
          <w:sz w:val="24"/>
          <w:szCs w:val="24"/>
          <w:lang w:val="en-US"/>
        </w:rPr>
        <w:t xml:space="preserve">. Velocity distribution at the plane at </w:t>
      </w:r>
      <w:r w:rsidRPr="00B61B7A">
        <w:rPr>
          <w:color w:val="auto"/>
          <w:sz w:val="24"/>
          <w:szCs w:val="24"/>
          <w:lang w:val="en-US"/>
        </w:rPr>
        <w:t>t</w:t>
      </w:r>
      <w:r w:rsidRPr="006F1D6C">
        <w:rPr>
          <w:i w:val="0"/>
          <w:color w:val="auto"/>
          <w:sz w:val="24"/>
          <w:szCs w:val="24"/>
          <w:lang w:val="en-US"/>
        </w:rPr>
        <w:t xml:space="preserve">=0.4 s (second cycle) for the </w:t>
      </w:r>
      <w:proofErr w:type="gramStart"/>
      <w:r w:rsidRPr="006F1D6C">
        <w:rPr>
          <w:i w:val="0"/>
          <w:color w:val="auto"/>
          <w:sz w:val="24"/>
          <w:szCs w:val="24"/>
          <w:lang w:val="en-US"/>
        </w:rPr>
        <w:t>coarse</w:t>
      </w:r>
      <w:proofErr w:type="gramEnd"/>
      <w:r w:rsidRPr="006F1D6C">
        <w:rPr>
          <w:i w:val="0"/>
          <w:color w:val="auto"/>
          <w:sz w:val="24"/>
          <w:szCs w:val="24"/>
          <w:lang w:val="en-US"/>
        </w:rPr>
        <w:t>, medium</w:t>
      </w:r>
      <w:r w:rsidR="008B6F2D">
        <w:rPr>
          <w:i w:val="0"/>
          <w:color w:val="auto"/>
          <w:sz w:val="24"/>
          <w:szCs w:val="24"/>
          <w:lang w:val="en-US"/>
        </w:rPr>
        <w:t>,</w:t>
      </w:r>
      <w:r w:rsidRPr="006F1D6C">
        <w:rPr>
          <w:i w:val="0"/>
          <w:color w:val="auto"/>
          <w:sz w:val="24"/>
          <w:szCs w:val="24"/>
          <w:lang w:val="en-US"/>
        </w:rPr>
        <w:t xml:space="preserve"> and fine mesh</w:t>
      </w:r>
      <w:r w:rsidR="008B6F2D">
        <w:rPr>
          <w:i w:val="0"/>
          <w:color w:val="auto"/>
          <w:sz w:val="24"/>
          <w:szCs w:val="24"/>
          <w:lang w:val="en-US"/>
        </w:rPr>
        <w:t>,</w:t>
      </w:r>
      <w:r w:rsidRPr="006F1D6C">
        <w:rPr>
          <w:i w:val="0"/>
          <w:color w:val="auto"/>
          <w:sz w:val="24"/>
          <w:szCs w:val="24"/>
          <w:lang w:val="en-US"/>
        </w:rPr>
        <w:t xml:space="preserve"> respectively</w:t>
      </w:r>
      <w:r>
        <w:rPr>
          <w:i w:val="0"/>
          <w:color w:val="auto"/>
          <w:sz w:val="24"/>
          <w:szCs w:val="24"/>
          <w:lang w:val="en-US"/>
        </w:rPr>
        <w:t>.</w:t>
      </w:r>
    </w:p>
    <w:p w:rsidR="00F104DF" w:rsidRDefault="006F1D6C">
      <w:pPr>
        <w:rPr>
          <w:lang w:val="en-US"/>
        </w:rPr>
      </w:pPr>
      <w:r>
        <w:rPr>
          <w:lang w:val="en-US"/>
        </w:rPr>
        <w:t xml:space="preserve">Differences are observable regarding the maximal velocity value and the contours of the velocity distribution. </w:t>
      </w:r>
      <w:r w:rsidR="00794590">
        <w:rPr>
          <w:lang w:val="en-US"/>
        </w:rPr>
        <w:t>To consider the transient behavior of the simulations and include a more quantitative comparison</w:t>
      </w:r>
      <w:r w:rsidR="008B6F2D">
        <w:rPr>
          <w:lang w:val="en-US"/>
        </w:rPr>
        <w:t>,</w:t>
      </w:r>
      <w:r w:rsidR="00794590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F104DF">
        <w:rPr>
          <w:lang w:val="en-US"/>
        </w:rPr>
        <w:t>weighted mean relative difference (WMRD)</w:t>
      </w:r>
      <w:r>
        <w:rPr>
          <w:lang w:val="en-US"/>
        </w:rPr>
        <w:t xml:space="preserve"> was used. </w:t>
      </w:r>
      <w:r w:rsidR="00F104DF">
        <w:rPr>
          <w:lang w:val="en-US"/>
        </w:rPr>
        <w:t>WMRD was calculated by the following formula:</w:t>
      </w:r>
    </w:p>
    <w:p w:rsidR="00F62C7E" w:rsidRDefault="00F62C7E">
      <w:pPr>
        <w:rPr>
          <w:lang w:val="en-US"/>
        </w:rPr>
      </w:pPr>
    </w:p>
    <w:p w:rsidR="00F104DF" w:rsidRPr="001737E0" w:rsidRDefault="00F104DF">
      <w:pPr>
        <w:rPr>
          <w:lang w:val="en-US"/>
        </w:rPr>
      </w:pPr>
      <m:oMath>
        <m:r>
          <w:rPr>
            <w:rFonts w:ascii="Cambria Math" w:hAnsi="Cambria Math"/>
            <w:lang w:val="en-US"/>
          </w:rPr>
          <m:t xml:space="preserve">WMRD=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  <m:sup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'</m:t>
                        </m:r>
                      </m:sup>
                    </m:sSubSup>
                  </m:e>
                </m:d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'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  <w:lang w:val="en-US"/>
                  </w:rPr>
                  <m:t>/2</m:t>
                </m:r>
              </m:e>
            </m:nary>
          </m:den>
        </m:f>
      </m:oMath>
      <w:r>
        <w:rPr>
          <w:lang w:val="en-US"/>
        </w:rPr>
        <w:t xml:space="preserve"> </w:t>
      </w:r>
    </w:p>
    <w:p w:rsidR="00F104DF" w:rsidRDefault="00F104DF">
      <w:pPr>
        <w:rPr>
          <w:lang w:val="en-US"/>
        </w:rPr>
      </w:pPr>
    </w:p>
    <w:p w:rsidR="001737E0" w:rsidRDefault="006F1D6C">
      <w:pPr>
        <w:rPr>
          <w:lang w:val="en-US"/>
        </w:rPr>
      </w:pPr>
      <w:r>
        <w:rPr>
          <w:lang w:val="en-US"/>
        </w:rPr>
        <w:t>It calculated</w:t>
      </w:r>
      <w:r w:rsidR="00F104DF">
        <w:rPr>
          <w:lang w:val="en-US"/>
        </w:rPr>
        <w:t xml:space="preserve"> the ratio between the absolute difference to the mean between two (time-dependent) variable</w:t>
      </w:r>
      <w:r w:rsidR="008B6F2D">
        <w:rPr>
          <w:lang w:val="en-US"/>
        </w:rPr>
        <w:t>s</w:t>
      </w:r>
      <w:r w:rsidR="00F104DF">
        <w:rPr>
          <w:lang w:val="en-US"/>
        </w:rPr>
        <w:t xml:space="preserve"> </w:t>
      </w:r>
      <w:r w:rsidR="00F104DF" w:rsidRPr="00F104DF">
        <w:rPr>
          <w:i/>
          <w:lang w:val="en-US"/>
        </w:rPr>
        <w:t>g</w:t>
      </w:r>
      <w:r w:rsidR="00E44EBB">
        <w:rPr>
          <w:lang w:val="en-US"/>
        </w:rPr>
        <w:t xml:space="preserve"> and</w:t>
      </w:r>
      <w:r w:rsidR="00F104DF">
        <w:rPr>
          <w:lang w:val="en-US"/>
        </w:rPr>
        <w:t xml:space="preserve"> </w:t>
      </w:r>
      <w:r w:rsidR="00F104DF" w:rsidRPr="00F104DF">
        <w:rPr>
          <w:i/>
          <w:lang w:val="en-US"/>
        </w:rPr>
        <w:t>g’</w:t>
      </w:r>
      <w:r w:rsidR="00F104DF">
        <w:rPr>
          <w:lang w:val="en-US"/>
        </w:rPr>
        <w:t xml:space="preserve"> belong</w:t>
      </w:r>
      <w:r w:rsidR="008B6F2D">
        <w:rPr>
          <w:lang w:val="en-US"/>
        </w:rPr>
        <w:t>ing</w:t>
      </w:r>
      <w:r w:rsidR="00F104DF">
        <w:rPr>
          <w:lang w:val="en-US"/>
        </w:rPr>
        <w:t xml:space="preserve"> to two different scenarios (two different mesh sizes). More information can be found in (Duffield et al.</w:t>
      </w:r>
      <w:r w:rsidR="008B6F2D">
        <w:rPr>
          <w:lang w:val="en-US"/>
        </w:rPr>
        <w:t xml:space="preserve"> </w:t>
      </w:r>
      <w:r w:rsidR="00F104DF">
        <w:rPr>
          <w:lang w:val="en-US"/>
        </w:rPr>
        <w:t xml:space="preserve">2003).  </w:t>
      </w:r>
    </w:p>
    <w:p w:rsidR="006F1D6C" w:rsidRDefault="006F1D6C">
      <w:pPr>
        <w:rPr>
          <w:lang w:val="en-US"/>
        </w:rPr>
      </w:pPr>
      <w:r>
        <w:rPr>
          <w:lang w:val="en-US"/>
        </w:rPr>
        <w:t>Comparisons between coarse and medium (mesh 1 vs. mesh 2) and medium and fine (mesh 2 vs. mesh 3) were done. The maximum plane velocity (</w:t>
      </w:r>
      <w:r w:rsidR="00794590">
        <w:rPr>
          <w:lang w:val="en-US"/>
        </w:rPr>
        <w:t>red</w:t>
      </w:r>
      <w:r>
        <w:rPr>
          <w:lang w:val="en-US"/>
        </w:rPr>
        <w:t xml:space="preserve"> plane in Figure 1), the average plane velocity, the kinetic energy</w:t>
      </w:r>
      <w:r w:rsidR="00794590">
        <w:rPr>
          <w:lang w:val="en-US"/>
        </w:rPr>
        <w:t xml:space="preserve"> </w:t>
      </w:r>
      <w:r w:rsidR="008B6F2D">
        <w:rPr>
          <w:lang w:val="en-US"/>
        </w:rPr>
        <w:t>(</w:t>
      </w:r>
      <w:r w:rsidR="00794590">
        <w:rPr>
          <w:lang w:val="en-US"/>
        </w:rPr>
        <w:t>KE</w:t>
      </w:r>
      <w:r w:rsidR="008B6F2D">
        <w:rPr>
          <w:lang w:val="en-US"/>
        </w:rPr>
        <w:t>)</w:t>
      </w:r>
      <w:r w:rsidR="00794590">
        <w:rPr>
          <w:lang w:val="en-US"/>
        </w:rPr>
        <w:t xml:space="preserve"> inside the entire ventricle, </w:t>
      </w:r>
      <w:r>
        <w:rPr>
          <w:lang w:val="en-US"/>
        </w:rPr>
        <w:t>the</w:t>
      </w:r>
      <w:r w:rsidR="00794590">
        <w:rPr>
          <w:lang w:val="en-US"/>
        </w:rPr>
        <w:t xml:space="preserve"> maximal </w:t>
      </w:r>
      <w:r w:rsidR="008B6F2D" w:rsidRPr="008B6F2D">
        <w:rPr>
          <w:lang w:val="en-US"/>
        </w:rPr>
        <w:t>wall shear stress</w:t>
      </w:r>
      <w:r w:rsidR="008B6F2D">
        <w:rPr>
          <w:lang w:val="en-US"/>
        </w:rPr>
        <w:t xml:space="preserve"> (</w:t>
      </w:r>
      <w:r>
        <w:rPr>
          <w:lang w:val="en-US"/>
        </w:rPr>
        <w:t>WSS</w:t>
      </w:r>
      <w:r w:rsidR="008B6F2D">
        <w:rPr>
          <w:lang w:val="en-US"/>
        </w:rPr>
        <w:t>),</w:t>
      </w:r>
      <w:r w:rsidR="00794590">
        <w:rPr>
          <w:lang w:val="en-US"/>
        </w:rPr>
        <w:t xml:space="preserve"> and the average WSS at the cannula tip (blue region in Figure 1) </w:t>
      </w:r>
      <w:r w:rsidR="008B6F2D">
        <w:rPr>
          <w:lang w:val="en-US"/>
        </w:rPr>
        <w:t xml:space="preserve">were </w:t>
      </w:r>
      <w:r w:rsidR="00794590">
        <w:rPr>
          <w:lang w:val="en-US"/>
        </w:rPr>
        <w:t>evaluated for one cycle. Table 1 shows the results:</w:t>
      </w:r>
    </w:p>
    <w:p w:rsidR="00794590" w:rsidRDefault="0079459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161"/>
        <w:gridCol w:w="1302"/>
        <w:gridCol w:w="1302"/>
      </w:tblGrid>
      <w:tr w:rsidR="00794590" w:rsidRPr="00932562" w:rsidTr="00932562">
        <w:tc>
          <w:tcPr>
            <w:tcW w:w="4531" w:type="dxa"/>
          </w:tcPr>
          <w:p w:rsidR="00794590" w:rsidRPr="00932562" w:rsidRDefault="009325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Variable of investigation</w:t>
            </w:r>
          </w:p>
        </w:tc>
        <w:tc>
          <w:tcPr>
            <w:tcW w:w="1161" w:type="dxa"/>
          </w:tcPr>
          <w:p w:rsidR="00794590" w:rsidRPr="00932562" w:rsidRDefault="009325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Mesh 1</w:t>
            </w:r>
          </w:p>
        </w:tc>
        <w:tc>
          <w:tcPr>
            <w:tcW w:w="1302" w:type="dxa"/>
          </w:tcPr>
          <w:p w:rsidR="00794590" w:rsidRPr="00932562" w:rsidRDefault="009325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Mesh 2</w:t>
            </w:r>
          </w:p>
        </w:tc>
        <w:tc>
          <w:tcPr>
            <w:tcW w:w="1302" w:type="dxa"/>
          </w:tcPr>
          <w:p w:rsidR="00932562" w:rsidRPr="00932562" w:rsidRDefault="009325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Mesh 3</w:t>
            </w:r>
          </w:p>
        </w:tc>
      </w:tr>
      <w:tr w:rsidR="00794590" w:rsidRPr="00932562" w:rsidTr="00932562">
        <w:tc>
          <w:tcPr>
            <w:tcW w:w="4531" w:type="dxa"/>
          </w:tcPr>
          <w:p w:rsidR="00794590" w:rsidRPr="00932562" w:rsidRDefault="00932562" w:rsidP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plane velocity WMRD [%]</w:t>
            </w:r>
          </w:p>
        </w:tc>
        <w:tc>
          <w:tcPr>
            <w:tcW w:w="1161" w:type="dxa"/>
          </w:tcPr>
          <w:p w:rsidR="00794590" w:rsidRPr="00932562" w:rsidRDefault="00932562" w:rsidP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02" w:type="dxa"/>
          </w:tcPr>
          <w:p w:rsidR="00794590" w:rsidRPr="00932562" w:rsidRDefault="00932562" w:rsidP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02" w:type="dxa"/>
          </w:tcPr>
          <w:p w:rsidR="00794590" w:rsidRPr="00932562" w:rsidRDefault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2562" w:rsidRPr="00932562" w:rsidTr="00932562">
        <w:tc>
          <w:tcPr>
            <w:tcW w:w="4531" w:type="dxa"/>
          </w:tcPr>
          <w:p w:rsidR="00932562" w:rsidRPr="00932562" w:rsidRDefault="00932562" w:rsidP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plane velocity WMRD [%]</w:t>
            </w:r>
          </w:p>
        </w:tc>
        <w:tc>
          <w:tcPr>
            <w:tcW w:w="1161" w:type="dxa"/>
          </w:tcPr>
          <w:p w:rsidR="00932562" w:rsidRPr="00932562" w:rsidRDefault="00932562" w:rsidP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02" w:type="dxa"/>
          </w:tcPr>
          <w:p w:rsidR="00932562" w:rsidRPr="00932562" w:rsidRDefault="00932562" w:rsidP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02" w:type="dxa"/>
          </w:tcPr>
          <w:p w:rsidR="00932562" w:rsidRPr="00932562" w:rsidRDefault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2562" w:rsidRPr="00932562" w:rsidTr="00932562">
        <w:tc>
          <w:tcPr>
            <w:tcW w:w="4531" w:type="dxa"/>
          </w:tcPr>
          <w:p w:rsidR="00932562" w:rsidRPr="00932562" w:rsidRDefault="00932562" w:rsidP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ventricular kinetic energy WMRD [%]</w:t>
            </w:r>
          </w:p>
        </w:tc>
        <w:tc>
          <w:tcPr>
            <w:tcW w:w="1161" w:type="dxa"/>
          </w:tcPr>
          <w:p w:rsidR="00932562" w:rsidRPr="00932562" w:rsidRDefault="00932562" w:rsidP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302" w:type="dxa"/>
          </w:tcPr>
          <w:p w:rsidR="00932562" w:rsidRPr="00932562" w:rsidRDefault="00932562" w:rsidP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2" w:type="dxa"/>
          </w:tcPr>
          <w:p w:rsidR="00932562" w:rsidRPr="00932562" w:rsidRDefault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2562" w:rsidRPr="00932562" w:rsidTr="00932562">
        <w:tc>
          <w:tcPr>
            <w:tcW w:w="4531" w:type="dxa"/>
          </w:tcPr>
          <w:p w:rsidR="00932562" w:rsidRPr="00932562" w:rsidRDefault="00932562" w:rsidP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Maximum cannula tip WSS WMRD [%]  </w:t>
            </w:r>
          </w:p>
        </w:tc>
        <w:tc>
          <w:tcPr>
            <w:tcW w:w="1161" w:type="dxa"/>
          </w:tcPr>
          <w:p w:rsidR="00932562" w:rsidRPr="00932562" w:rsidRDefault="00932562" w:rsidP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302" w:type="dxa"/>
          </w:tcPr>
          <w:p w:rsidR="00932562" w:rsidRPr="00932562" w:rsidRDefault="00932562" w:rsidP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02" w:type="dxa"/>
          </w:tcPr>
          <w:p w:rsidR="00932562" w:rsidRPr="00932562" w:rsidRDefault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2562" w:rsidRPr="00932562" w:rsidTr="00932562">
        <w:tc>
          <w:tcPr>
            <w:tcW w:w="4531" w:type="dxa"/>
          </w:tcPr>
          <w:p w:rsidR="00932562" w:rsidRPr="00932562" w:rsidRDefault="00932562" w:rsidP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cannula tip WSS WMRD [%]</w:t>
            </w:r>
          </w:p>
        </w:tc>
        <w:tc>
          <w:tcPr>
            <w:tcW w:w="1161" w:type="dxa"/>
          </w:tcPr>
          <w:p w:rsidR="00932562" w:rsidRPr="00932562" w:rsidRDefault="00932562" w:rsidP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302" w:type="dxa"/>
          </w:tcPr>
          <w:p w:rsidR="00932562" w:rsidRPr="00932562" w:rsidRDefault="00932562" w:rsidP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02" w:type="dxa"/>
          </w:tcPr>
          <w:p w:rsidR="00932562" w:rsidRPr="00932562" w:rsidRDefault="0093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94590" w:rsidRDefault="00794590">
      <w:pPr>
        <w:rPr>
          <w:lang w:val="en-US"/>
        </w:rPr>
      </w:pPr>
    </w:p>
    <w:p w:rsidR="00932562" w:rsidRDefault="00932562">
      <w:pPr>
        <w:rPr>
          <w:lang w:val="en-US"/>
        </w:rPr>
      </w:pPr>
      <w:r>
        <w:rPr>
          <w:lang w:val="en-US"/>
        </w:rPr>
        <w:t xml:space="preserve">Table 1: WMRD values in % for three meshes </w:t>
      </w:r>
      <w:r w:rsidR="008B6F2D">
        <w:rPr>
          <w:lang w:val="en-US"/>
        </w:rPr>
        <w:t xml:space="preserve">used in </w:t>
      </w:r>
      <w:r>
        <w:rPr>
          <w:lang w:val="en-US"/>
        </w:rPr>
        <w:t>CFD simulations.</w:t>
      </w:r>
    </w:p>
    <w:p w:rsidR="00AB69C2" w:rsidRDefault="00AB69C2">
      <w:pPr>
        <w:rPr>
          <w:lang w:val="en-US"/>
        </w:rPr>
      </w:pPr>
    </w:p>
    <w:p w:rsidR="00FF0072" w:rsidRDefault="00AB69C2">
      <w:pPr>
        <w:rPr>
          <w:lang w:val="en-US"/>
        </w:rPr>
      </w:pPr>
      <w:r>
        <w:rPr>
          <w:lang w:val="en-US"/>
        </w:rPr>
        <w:t xml:space="preserve">There is always a big reduction of WMRD when changing from the </w:t>
      </w:r>
      <w:proofErr w:type="gramStart"/>
      <w:r>
        <w:rPr>
          <w:lang w:val="en-US"/>
        </w:rPr>
        <w:t>coarse</w:t>
      </w:r>
      <w:proofErr w:type="gramEnd"/>
      <w:r>
        <w:rPr>
          <w:lang w:val="en-US"/>
        </w:rPr>
        <w:t xml:space="preserve"> to the medium mesh. </w:t>
      </w:r>
      <w:r w:rsidR="00FF0072">
        <w:rPr>
          <w:lang w:val="en-US"/>
        </w:rPr>
        <w:t xml:space="preserve">The coarse mesh shows </w:t>
      </w:r>
      <w:r w:rsidR="008B6F2D">
        <w:rPr>
          <w:lang w:val="en-US"/>
        </w:rPr>
        <w:t xml:space="preserve">a </w:t>
      </w:r>
      <w:bookmarkStart w:id="0" w:name="_GoBack"/>
      <w:bookmarkEnd w:id="0"/>
      <w:r w:rsidR="008B6F2D">
        <w:rPr>
          <w:lang w:val="en-US"/>
        </w:rPr>
        <w:t xml:space="preserve">large </w:t>
      </w:r>
      <w:r w:rsidR="00FF0072">
        <w:rPr>
          <w:lang w:val="en-US"/>
        </w:rPr>
        <w:t>WMRD</w:t>
      </w:r>
      <w:r w:rsidR="008B6F2D">
        <w:rPr>
          <w:lang w:val="en-US"/>
        </w:rPr>
        <w:t>,</w:t>
      </w:r>
      <w:r w:rsidR="00FF0072">
        <w:rPr>
          <w:lang w:val="en-US"/>
        </w:rPr>
        <w:t xml:space="preserve"> with 4 of 5 </w:t>
      </w:r>
      <w:r w:rsidR="008B6F2D">
        <w:rPr>
          <w:lang w:val="en-US"/>
        </w:rPr>
        <w:t xml:space="preserve">variables larger than </w:t>
      </w:r>
      <w:r w:rsidR="00FF0072">
        <w:rPr>
          <w:lang w:val="en-US"/>
        </w:rPr>
        <w:t>30%.</w:t>
      </w:r>
    </w:p>
    <w:p w:rsidR="00AB69C2" w:rsidRDefault="00AB69C2">
      <w:pPr>
        <w:rPr>
          <w:lang w:val="en-US"/>
        </w:rPr>
      </w:pPr>
      <w:r>
        <w:rPr>
          <w:lang w:val="en-US"/>
        </w:rPr>
        <w:t>Velocity and kinetic energy show mean relative differences of arou</w:t>
      </w:r>
      <w:r w:rsidR="00FF0072">
        <w:rPr>
          <w:lang w:val="en-US"/>
        </w:rPr>
        <w:t xml:space="preserve">nd 10% for the medium mesh. </w:t>
      </w:r>
      <w:r w:rsidR="008B6F2D">
        <w:rPr>
          <w:lang w:val="en-US"/>
        </w:rPr>
        <w:t>WSS</w:t>
      </w:r>
      <w:r w:rsidR="00FF0072">
        <w:rPr>
          <w:lang w:val="en-US"/>
        </w:rPr>
        <w:t xml:space="preserve"> (max and mean) show bigger deviances with WMRD </w:t>
      </w:r>
      <w:r w:rsidR="008B6F2D">
        <w:rPr>
          <w:lang w:val="en-US"/>
        </w:rPr>
        <w:t xml:space="preserve">of </w:t>
      </w:r>
      <w:r w:rsidR="00FF0072">
        <w:rPr>
          <w:lang w:val="en-US"/>
        </w:rPr>
        <w:t>around 20% for the medium mesh. The full mesh, a cross-section at a coronal plane and an apex close-up of the mesh</w:t>
      </w:r>
      <w:r w:rsidR="008B6F2D">
        <w:rPr>
          <w:lang w:val="en-US"/>
        </w:rPr>
        <w:t>,</w:t>
      </w:r>
      <w:r w:rsidR="00FF0072">
        <w:rPr>
          <w:lang w:val="en-US"/>
        </w:rPr>
        <w:t xml:space="preserve"> </w:t>
      </w:r>
      <w:r w:rsidR="008B6F2D">
        <w:rPr>
          <w:lang w:val="en-US"/>
        </w:rPr>
        <w:t>is</w:t>
      </w:r>
      <w:r w:rsidR="00FF0072">
        <w:rPr>
          <w:lang w:val="en-US"/>
        </w:rPr>
        <w:t xml:space="preserve"> shown in Figure 2:</w:t>
      </w:r>
    </w:p>
    <w:p w:rsidR="00F62C7E" w:rsidRDefault="00F62C7E">
      <w:pPr>
        <w:rPr>
          <w:lang w:val="en-US"/>
        </w:rPr>
      </w:pPr>
    </w:p>
    <w:p w:rsidR="00FF0072" w:rsidRDefault="00FF0072" w:rsidP="00FF0072">
      <w:pPr>
        <w:keepNext/>
      </w:pPr>
      <w:r>
        <w:rPr>
          <w:noProof/>
          <w:lang w:val="en-US" w:eastAsia="ko-KR"/>
        </w:rPr>
        <w:drawing>
          <wp:inline distT="0" distB="0" distL="0" distR="0">
            <wp:extent cx="5274310" cy="20789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uidMes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072" w:rsidRPr="00FF0072" w:rsidRDefault="00FF0072" w:rsidP="00FF0072">
      <w:pPr>
        <w:pStyle w:val="Beschriftung"/>
        <w:rPr>
          <w:i w:val="0"/>
          <w:color w:val="auto"/>
          <w:sz w:val="24"/>
          <w:szCs w:val="24"/>
          <w:lang w:val="en-US"/>
        </w:rPr>
      </w:pPr>
      <w:r w:rsidRPr="00FF0072">
        <w:rPr>
          <w:i w:val="0"/>
          <w:color w:val="auto"/>
          <w:sz w:val="24"/>
          <w:szCs w:val="24"/>
          <w:lang w:val="en-US"/>
        </w:rPr>
        <w:t xml:space="preserve">Figure </w:t>
      </w:r>
      <w:r w:rsidRPr="00FF0072">
        <w:rPr>
          <w:i w:val="0"/>
          <w:color w:val="auto"/>
          <w:sz w:val="24"/>
          <w:szCs w:val="24"/>
        </w:rPr>
        <w:fldChar w:fldCharType="begin"/>
      </w:r>
      <w:r w:rsidRPr="00FF0072">
        <w:rPr>
          <w:i w:val="0"/>
          <w:color w:val="auto"/>
          <w:sz w:val="24"/>
          <w:szCs w:val="24"/>
          <w:lang w:val="en-US"/>
        </w:rPr>
        <w:instrText xml:space="preserve"> SEQ Figure \* ARABIC </w:instrText>
      </w:r>
      <w:r w:rsidRPr="00FF0072">
        <w:rPr>
          <w:i w:val="0"/>
          <w:color w:val="auto"/>
          <w:sz w:val="24"/>
          <w:szCs w:val="24"/>
        </w:rPr>
        <w:fldChar w:fldCharType="separate"/>
      </w:r>
      <w:r w:rsidR="008B6F2D">
        <w:rPr>
          <w:i w:val="0"/>
          <w:noProof/>
          <w:color w:val="auto"/>
          <w:sz w:val="24"/>
          <w:szCs w:val="24"/>
          <w:lang w:val="en-US"/>
        </w:rPr>
        <w:t>2</w:t>
      </w:r>
      <w:r w:rsidRPr="00FF0072">
        <w:rPr>
          <w:i w:val="0"/>
          <w:color w:val="auto"/>
          <w:sz w:val="24"/>
          <w:szCs w:val="24"/>
        </w:rPr>
        <w:fldChar w:fldCharType="end"/>
      </w:r>
      <w:r w:rsidRPr="00FF0072">
        <w:rPr>
          <w:i w:val="0"/>
          <w:color w:val="auto"/>
          <w:sz w:val="24"/>
          <w:szCs w:val="24"/>
          <w:lang w:val="en-US"/>
        </w:rPr>
        <w:t>: CFD mesh showing the entire LV, a coronal cross</w:t>
      </w:r>
      <w:r w:rsidR="008B6F2D">
        <w:rPr>
          <w:i w:val="0"/>
          <w:color w:val="auto"/>
          <w:sz w:val="24"/>
          <w:szCs w:val="24"/>
          <w:lang w:val="en-US"/>
        </w:rPr>
        <w:t>-</w:t>
      </w:r>
      <w:r w:rsidRPr="00FF0072">
        <w:rPr>
          <w:i w:val="0"/>
          <w:color w:val="auto"/>
          <w:sz w:val="24"/>
          <w:szCs w:val="24"/>
          <w:lang w:val="en-US"/>
        </w:rPr>
        <w:t>section and a close-up at the apex region of the ventricle.</w:t>
      </w:r>
    </w:p>
    <w:p w:rsidR="001737E0" w:rsidRDefault="001737E0">
      <w:pPr>
        <w:rPr>
          <w:lang w:val="en-US"/>
        </w:rPr>
      </w:pPr>
    </w:p>
    <w:p w:rsidR="001737E0" w:rsidRDefault="001737E0" w:rsidP="001737E0">
      <w:pPr>
        <w:rPr>
          <w:i/>
          <w:lang w:val="en-US"/>
        </w:rPr>
      </w:pPr>
      <w:r>
        <w:rPr>
          <w:i/>
          <w:lang w:val="en-US"/>
        </w:rPr>
        <w:t>FEM material parameters</w:t>
      </w:r>
      <w:r w:rsidR="00FF0072">
        <w:rPr>
          <w:i/>
          <w:lang w:val="en-US"/>
        </w:rPr>
        <w:t xml:space="preserve"> and FEM mesh </w:t>
      </w:r>
    </w:p>
    <w:p w:rsidR="001737E0" w:rsidRDefault="001737E0" w:rsidP="001737E0">
      <w:pPr>
        <w:rPr>
          <w:lang w:val="en-US"/>
        </w:rPr>
      </w:pPr>
      <w:r>
        <w:rPr>
          <w:lang w:val="en-US"/>
        </w:rPr>
        <w:t xml:space="preserve">Table </w:t>
      </w:r>
      <w:r w:rsidR="008B6F2D">
        <w:rPr>
          <w:lang w:val="en-US"/>
        </w:rPr>
        <w:t>2</w:t>
      </w:r>
      <w:r>
        <w:rPr>
          <w:lang w:val="en-US"/>
        </w:rPr>
        <w:t xml:space="preserve"> shows the material parameters chosen for the 4 simulation conditions </w:t>
      </w:r>
      <w:r w:rsidR="008B6F2D">
        <w:rPr>
          <w:lang w:val="en-US"/>
        </w:rPr>
        <w:t xml:space="preserve">P3 100 VAD, P3 70 VAD, </w:t>
      </w:r>
      <w:r>
        <w:rPr>
          <w:lang w:val="en-US"/>
        </w:rPr>
        <w:t xml:space="preserve">P6 100 VAD, </w:t>
      </w:r>
      <w:r w:rsidR="008B6F2D">
        <w:rPr>
          <w:lang w:val="en-US"/>
        </w:rPr>
        <w:t xml:space="preserve">and </w:t>
      </w:r>
      <w:r>
        <w:rPr>
          <w:lang w:val="en-US"/>
        </w:rPr>
        <w:t xml:space="preserve">P6 70VAD. Once again, it should be mentioned that </w:t>
      </w:r>
      <w:r w:rsidR="008B6F2D">
        <w:rPr>
          <w:lang w:val="en-US"/>
        </w:rPr>
        <w:t xml:space="preserve">because </w:t>
      </w:r>
      <w:r>
        <w:rPr>
          <w:lang w:val="en-US"/>
        </w:rPr>
        <w:t xml:space="preserve">we </w:t>
      </w:r>
      <w:r w:rsidR="008B6F2D">
        <w:rPr>
          <w:lang w:val="en-US"/>
        </w:rPr>
        <w:t xml:space="preserve">were </w:t>
      </w:r>
      <w:r>
        <w:rPr>
          <w:lang w:val="en-US"/>
        </w:rPr>
        <w:t>not interested in material stresses</w:t>
      </w:r>
      <w:r w:rsidR="008B6F2D">
        <w:rPr>
          <w:lang w:val="en-US"/>
        </w:rPr>
        <w:t>,</w:t>
      </w:r>
      <w:r>
        <w:rPr>
          <w:lang w:val="en-US"/>
        </w:rPr>
        <w:t xml:space="preserve"> a simple isotropic elastic model was chosen with a Young’s modulus that allows a stable deformation of the model. Thus, low Young’s moduli might result in folding of FEM mesh elements and high Young’s moduli result in very low deformations.</w:t>
      </w:r>
    </w:p>
    <w:p w:rsidR="001737E0" w:rsidRPr="00F97A0E" w:rsidRDefault="001737E0" w:rsidP="001737E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1132"/>
        <w:gridCol w:w="567"/>
      </w:tblGrid>
      <w:tr w:rsidR="001737E0" w:rsidRPr="00F97A0E" w:rsidTr="005E73D3">
        <w:tc>
          <w:tcPr>
            <w:tcW w:w="2265" w:type="dxa"/>
          </w:tcPr>
          <w:p w:rsidR="001737E0" w:rsidRPr="00932562" w:rsidRDefault="001737E0" w:rsidP="005E73D3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132" w:type="dxa"/>
          </w:tcPr>
          <w:p w:rsidR="001737E0" w:rsidRPr="00932562" w:rsidRDefault="001737E0" w:rsidP="005E73D3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62">
              <w:rPr>
                <w:rFonts w:ascii="Times New Roman" w:hAnsi="Times New Roman" w:cs="Times New Roman"/>
                <w:b/>
                <w:sz w:val="24"/>
                <w:szCs w:val="24"/>
              </w:rPr>
              <w:t>E [MPa]</w:t>
            </w:r>
          </w:p>
        </w:tc>
        <w:tc>
          <w:tcPr>
            <w:tcW w:w="567" w:type="dxa"/>
          </w:tcPr>
          <w:p w:rsidR="001737E0" w:rsidRPr="00932562" w:rsidRDefault="001737E0" w:rsidP="005E73D3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62">
              <w:rPr>
                <w:rFonts w:ascii="Times New Roman" w:hAnsi="Times New Roman" w:cs="Times New Roman"/>
                <w:b/>
                <w:sz w:val="24"/>
                <w:szCs w:val="24"/>
              </w:rPr>
              <w:t>ν</w:t>
            </w:r>
          </w:p>
        </w:tc>
      </w:tr>
      <w:tr w:rsidR="001737E0" w:rsidRPr="00F97A0E" w:rsidTr="005E73D3">
        <w:tc>
          <w:tcPr>
            <w:tcW w:w="2265" w:type="dxa"/>
          </w:tcPr>
          <w:p w:rsidR="001737E0" w:rsidRPr="00F97A0E" w:rsidRDefault="001737E0" w:rsidP="005E73D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97A0E">
              <w:rPr>
                <w:rFonts w:ascii="Times New Roman" w:hAnsi="Times New Roman" w:cs="Times New Roman"/>
                <w:sz w:val="24"/>
                <w:szCs w:val="24"/>
              </w:rPr>
              <w:t>P3 100 VAD</w:t>
            </w:r>
          </w:p>
        </w:tc>
        <w:tc>
          <w:tcPr>
            <w:tcW w:w="1132" w:type="dxa"/>
          </w:tcPr>
          <w:p w:rsidR="001737E0" w:rsidRPr="00F97A0E" w:rsidRDefault="001737E0" w:rsidP="005E73D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97A0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67" w:type="dxa"/>
          </w:tcPr>
          <w:p w:rsidR="001737E0" w:rsidRPr="00F97A0E" w:rsidRDefault="001737E0" w:rsidP="005E73D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97A0E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737E0" w:rsidRPr="00F97A0E" w:rsidTr="005E73D3">
        <w:tc>
          <w:tcPr>
            <w:tcW w:w="2265" w:type="dxa"/>
          </w:tcPr>
          <w:p w:rsidR="001737E0" w:rsidRPr="00F97A0E" w:rsidRDefault="001737E0" w:rsidP="005E73D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97A0E">
              <w:rPr>
                <w:rFonts w:ascii="Times New Roman" w:hAnsi="Times New Roman" w:cs="Times New Roman"/>
                <w:sz w:val="24"/>
                <w:szCs w:val="24"/>
              </w:rPr>
              <w:t>P3 70 VAD</w:t>
            </w:r>
          </w:p>
        </w:tc>
        <w:tc>
          <w:tcPr>
            <w:tcW w:w="1132" w:type="dxa"/>
          </w:tcPr>
          <w:p w:rsidR="001737E0" w:rsidRPr="00F97A0E" w:rsidRDefault="001737E0" w:rsidP="005E73D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97A0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" w:type="dxa"/>
          </w:tcPr>
          <w:p w:rsidR="001737E0" w:rsidRPr="00F97A0E" w:rsidRDefault="001737E0" w:rsidP="005E73D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97A0E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737E0" w:rsidRPr="00F97A0E" w:rsidTr="005E73D3">
        <w:tc>
          <w:tcPr>
            <w:tcW w:w="2265" w:type="dxa"/>
          </w:tcPr>
          <w:p w:rsidR="001737E0" w:rsidRPr="00F97A0E" w:rsidRDefault="001737E0" w:rsidP="005E73D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97A0E">
              <w:rPr>
                <w:rFonts w:ascii="Times New Roman" w:hAnsi="Times New Roman" w:cs="Times New Roman"/>
                <w:sz w:val="24"/>
                <w:szCs w:val="24"/>
              </w:rPr>
              <w:t>P6 100 VAD</w:t>
            </w:r>
          </w:p>
        </w:tc>
        <w:tc>
          <w:tcPr>
            <w:tcW w:w="1132" w:type="dxa"/>
          </w:tcPr>
          <w:p w:rsidR="001737E0" w:rsidRPr="00F97A0E" w:rsidRDefault="001737E0" w:rsidP="005E73D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97A0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" w:type="dxa"/>
          </w:tcPr>
          <w:p w:rsidR="001737E0" w:rsidRPr="00F97A0E" w:rsidRDefault="001737E0" w:rsidP="005E73D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97A0E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737E0" w:rsidRPr="00F97A0E" w:rsidTr="005E73D3">
        <w:tc>
          <w:tcPr>
            <w:tcW w:w="2265" w:type="dxa"/>
          </w:tcPr>
          <w:p w:rsidR="001737E0" w:rsidRPr="00F97A0E" w:rsidRDefault="001737E0" w:rsidP="005E73D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97A0E">
              <w:rPr>
                <w:rFonts w:ascii="Times New Roman" w:hAnsi="Times New Roman" w:cs="Times New Roman"/>
                <w:sz w:val="24"/>
                <w:szCs w:val="24"/>
              </w:rPr>
              <w:t>P6 70 VAD</w:t>
            </w:r>
          </w:p>
        </w:tc>
        <w:tc>
          <w:tcPr>
            <w:tcW w:w="1132" w:type="dxa"/>
          </w:tcPr>
          <w:p w:rsidR="001737E0" w:rsidRPr="00F97A0E" w:rsidRDefault="001737E0" w:rsidP="005E73D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97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737E0" w:rsidRPr="00F97A0E" w:rsidRDefault="001737E0" w:rsidP="005E73D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97A0E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</w:tbl>
    <w:p w:rsidR="001737E0" w:rsidRPr="00F97A0E" w:rsidRDefault="001737E0" w:rsidP="001737E0">
      <w:pPr>
        <w:rPr>
          <w:lang w:val="en-US"/>
        </w:rPr>
      </w:pPr>
      <w:r>
        <w:rPr>
          <w:lang w:val="en-US"/>
        </w:rPr>
        <w:t xml:space="preserve">  Table </w:t>
      </w:r>
      <w:r w:rsidR="008B6F2D">
        <w:rPr>
          <w:lang w:val="en-US"/>
        </w:rPr>
        <w:t>2</w:t>
      </w:r>
      <w:r>
        <w:rPr>
          <w:lang w:val="en-US"/>
        </w:rPr>
        <w:t>: Material parameters (Young’s modulus E and Poisson’s ration ν) chosen for the four simulation scenarios</w:t>
      </w:r>
      <w:r w:rsidR="00767207">
        <w:rPr>
          <w:lang w:val="en-US"/>
        </w:rPr>
        <w:t>.</w:t>
      </w:r>
    </w:p>
    <w:p w:rsidR="004675F5" w:rsidRDefault="004675F5">
      <w:pPr>
        <w:rPr>
          <w:lang w:val="en-US"/>
        </w:rPr>
      </w:pPr>
    </w:p>
    <w:p w:rsidR="00852DB0" w:rsidRDefault="00852DB0">
      <w:pPr>
        <w:rPr>
          <w:lang w:val="en-US"/>
        </w:rPr>
      </w:pPr>
      <w:r>
        <w:rPr>
          <w:lang w:val="en-US"/>
        </w:rPr>
        <w:t>A representative FEM mesh for P6 is shown in Figure 3. Shell elements with a thickness of 5</w:t>
      </w:r>
      <w:r w:rsidR="0046512F">
        <w:rPr>
          <w:lang w:val="en-US"/>
        </w:rPr>
        <w:t xml:space="preserve"> </w:t>
      </w:r>
      <w:r>
        <w:rPr>
          <w:lang w:val="en-US"/>
        </w:rPr>
        <w:t xml:space="preserve">mm were chosen. The full mesh and a cross-section along a coronal plane </w:t>
      </w:r>
      <w:r w:rsidR="00384162">
        <w:rPr>
          <w:lang w:val="en-US"/>
        </w:rPr>
        <w:t xml:space="preserve">are </w:t>
      </w:r>
      <w:r>
        <w:rPr>
          <w:lang w:val="en-US"/>
        </w:rPr>
        <w:t>shown:</w:t>
      </w:r>
    </w:p>
    <w:p w:rsidR="00852DB0" w:rsidRDefault="00852DB0" w:rsidP="00852DB0">
      <w:pPr>
        <w:keepNext/>
      </w:pPr>
      <w:r>
        <w:rPr>
          <w:noProof/>
          <w:lang w:val="en-US" w:eastAsia="ko-KR"/>
        </w:rPr>
        <w:drawing>
          <wp:inline distT="0" distB="0" distL="0" distR="0">
            <wp:extent cx="5274310" cy="28162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MMes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B0" w:rsidRPr="00852DB0" w:rsidRDefault="00852DB0" w:rsidP="00852DB0">
      <w:pPr>
        <w:pStyle w:val="Beschriftung"/>
        <w:rPr>
          <w:i w:val="0"/>
          <w:color w:val="auto"/>
          <w:sz w:val="24"/>
          <w:szCs w:val="24"/>
          <w:lang w:val="en-US"/>
        </w:rPr>
      </w:pPr>
      <w:r w:rsidRPr="00852DB0">
        <w:rPr>
          <w:i w:val="0"/>
          <w:color w:val="auto"/>
          <w:sz w:val="24"/>
          <w:szCs w:val="24"/>
          <w:lang w:val="en-US"/>
        </w:rPr>
        <w:t xml:space="preserve">Figure </w:t>
      </w:r>
      <w:r w:rsidRPr="00852DB0">
        <w:rPr>
          <w:i w:val="0"/>
          <w:color w:val="auto"/>
          <w:sz w:val="24"/>
          <w:szCs w:val="24"/>
        </w:rPr>
        <w:fldChar w:fldCharType="begin"/>
      </w:r>
      <w:r w:rsidRPr="00852DB0">
        <w:rPr>
          <w:i w:val="0"/>
          <w:color w:val="auto"/>
          <w:sz w:val="24"/>
          <w:szCs w:val="24"/>
          <w:lang w:val="en-US"/>
        </w:rPr>
        <w:instrText xml:space="preserve"> SEQ Figure \* ARABIC </w:instrText>
      </w:r>
      <w:r w:rsidRPr="00852DB0">
        <w:rPr>
          <w:i w:val="0"/>
          <w:color w:val="auto"/>
          <w:sz w:val="24"/>
          <w:szCs w:val="24"/>
        </w:rPr>
        <w:fldChar w:fldCharType="separate"/>
      </w:r>
      <w:r w:rsidR="008B6F2D">
        <w:rPr>
          <w:i w:val="0"/>
          <w:noProof/>
          <w:color w:val="auto"/>
          <w:sz w:val="24"/>
          <w:szCs w:val="24"/>
          <w:lang w:val="en-US"/>
        </w:rPr>
        <w:t>3</w:t>
      </w:r>
      <w:r w:rsidRPr="00852DB0">
        <w:rPr>
          <w:i w:val="0"/>
          <w:color w:val="auto"/>
          <w:sz w:val="24"/>
          <w:szCs w:val="24"/>
        </w:rPr>
        <w:fldChar w:fldCharType="end"/>
      </w:r>
      <w:r w:rsidRPr="00852DB0">
        <w:rPr>
          <w:i w:val="0"/>
          <w:color w:val="auto"/>
          <w:sz w:val="24"/>
          <w:szCs w:val="24"/>
          <w:lang w:val="en-US"/>
        </w:rPr>
        <w:t>: FEM mesh used for the simulations. Full view and cross-section</w:t>
      </w:r>
      <w:r w:rsidR="00384162">
        <w:rPr>
          <w:i w:val="0"/>
          <w:color w:val="auto"/>
          <w:sz w:val="24"/>
          <w:szCs w:val="24"/>
          <w:lang w:val="en-US"/>
        </w:rPr>
        <w:t>.</w:t>
      </w:r>
    </w:p>
    <w:p w:rsidR="00852DB0" w:rsidRDefault="00852DB0">
      <w:pPr>
        <w:rPr>
          <w:lang w:val="en-US"/>
        </w:rPr>
      </w:pPr>
    </w:p>
    <w:p w:rsidR="001737E0" w:rsidRDefault="001737E0">
      <w:pPr>
        <w:rPr>
          <w:lang w:val="en-US"/>
        </w:rPr>
      </w:pPr>
    </w:p>
    <w:p w:rsidR="004675F5" w:rsidRDefault="00F97A0E">
      <w:pPr>
        <w:rPr>
          <w:b/>
          <w:lang w:val="en-US"/>
        </w:rPr>
      </w:pPr>
      <w:r>
        <w:rPr>
          <w:b/>
          <w:lang w:val="en-US"/>
        </w:rPr>
        <w:t>Fluid mesh deformati</w:t>
      </w:r>
      <w:r w:rsidR="00106E44">
        <w:rPr>
          <w:b/>
          <w:lang w:val="en-US"/>
        </w:rPr>
        <w:t xml:space="preserve">on and </w:t>
      </w:r>
      <w:r w:rsidR="00852DB0">
        <w:rPr>
          <w:b/>
          <w:lang w:val="en-US"/>
        </w:rPr>
        <w:t>convergence of FSI simulation</w:t>
      </w:r>
      <w:r>
        <w:rPr>
          <w:b/>
          <w:lang w:val="en-US"/>
        </w:rPr>
        <w:t xml:space="preserve"> </w:t>
      </w:r>
    </w:p>
    <w:p w:rsidR="00F97A0E" w:rsidRDefault="00F97A0E">
      <w:pPr>
        <w:rPr>
          <w:lang w:val="en-US"/>
        </w:rPr>
      </w:pPr>
    </w:p>
    <w:p w:rsidR="00F97A0E" w:rsidRPr="00F97A0E" w:rsidRDefault="00F97A0E">
      <w:pPr>
        <w:rPr>
          <w:i/>
          <w:lang w:val="en-US"/>
        </w:rPr>
      </w:pPr>
      <w:r>
        <w:rPr>
          <w:i/>
          <w:lang w:val="en-US"/>
        </w:rPr>
        <w:t>Fluid mesh deformation</w:t>
      </w:r>
    </w:p>
    <w:p w:rsidR="004675F5" w:rsidRDefault="007709A5">
      <w:pPr>
        <w:rPr>
          <w:lang w:val="en-US"/>
        </w:rPr>
      </w:pPr>
      <w:r>
        <w:rPr>
          <w:lang w:val="en-US"/>
        </w:rPr>
        <w:t>T</w:t>
      </w:r>
      <w:r w:rsidR="004675F5">
        <w:rPr>
          <w:lang w:val="en-US"/>
        </w:rPr>
        <w:t>he settings in Ansys CFX to achieve one-way fluid structure interaction are shown. More specifically</w:t>
      </w:r>
      <w:r w:rsidR="00384162">
        <w:rPr>
          <w:lang w:val="en-US"/>
        </w:rPr>
        <w:t>,</w:t>
      </w:r>
      <w:r w:rsidR="004675F5">
        <w:rPr>
          <w:lang w:val="en-US"/>
        </w:rPr>
        <w:t xml:space="preserve"> wall displacement is translated into displacement of the fluid mesh. Thus</w:t>
      </w:r>
      <w:r w:rsidR="00384162">
        <w:rPr>
          <w:lang w:val="en-US"/>
        </w:rPr>
        <w:t>,</w:t>
      </w:r>
      <w:r w:rsidR="004675F5">
        <w:rPr>
          <w:lang w:val="en-US"/>
        </w:rPr>
        <w:t xml:space="preserve"> an appropriate mesh quality </w:t>
      </w:r>
      <w:proofErr w:type="gramStart"/>
      <w:r w:rsidR="004675F5">
        <w:rPr>
          <w:lang w:val="en-US"/>
        </w:rPr>
        <w:t>has to</w:t>
      </w:r>
      <w:proofErr w:type="gramEnd"/>
      <w:r w:rsidR="004675F5">
        <w:rPr>
          <w:lang w:val="en-US"/>
        </w:rPr>
        <w:t xml:space="preserve"> be ensured. </w:t>
      </w:r>
      <w:r>
        <w:rPr>
          <w:lang w:val="en-US"/>
        </w:rPr>
        <w:t xml:space="preserve">An approach to maintain high mesh quality is to adapt the mesh stiffness (mesh diffusivity) depending on the size of the finite volumes. The following equation was used: </w:t>
      </w:r>
      <w:r w:rsidRPr="00852DB0">
        <w:rPr>
          <w:lang w:val="en-US"/>
        </w:rPr>
        <w:t>1</w:t>
      </w:r>
      <w:r w:rsidR="00852DB0" w:rsidRPr="00852DB0">
        <w:rPr>
          <w:lang w:val="en-US"/>
        </w:rPr>
        <w:t>[m^5 s^-1]</w:t>
      </w:r>
      <w:r w:rsidRPr="00852DB0">
        <w:rPr>
          <w:lang w:val="en-US"/>
        </w:rPr>
        <w:t>/</w:t>
      </w:r>
      <w:proofErr w:type="spellStart"/>
      <w:r w:rsidRPr="00852DB0">
        <w:rPr>
          <w:lang w:val="en-US"/>
        </w:rPr>
        <w:t>volcvol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Volcvol</w:t>
      </w:r>
      <w:proofErr w:type="spellEnd"/>
      <w:r>
        <w:rPr>
          <w:lang w:val="en-US"/>
        </w:rPr>
        <w:t xml:space="preserve"> is the volume of the finite volumes</w:t>
      </w:r>
      <w:r w:rsidR="007466BD">
        <w:rPr>
          <w:lang w:val="en-US"/>
        </w:rPr>
        <w:t xml:space="preserve"> (mesh elements)</w:t>
      </w:r>
      <w:r>
        <w:rPr>
          <w:lang w:val="en-US"/>
        </w:rPr>
        <w:t>. Therefore</w:t>
      </w:r>
      <w:r w:rsidR="00384162">
        <w:rPr>
          <w:lang w:val="en-US"/>
        </w:rPr>
        <w:t>,</w:t>
      </w:r>
      <w:r>
        <w:rPr>
          <w:lang w:val="en-US"/>
        </w:rPr>
        <w:t xml:space="preserve"> not only mesh elements that are close at the fluid-structure boundary (LV wall) are deformed but the deformation is</w:t>
      </w:r>
      <w:r w:rsidR="00F97A0E">
        <w:rPr>
          <w:lang w:val="en-US"/>
        </w:rPr>
        <w:t xml:space="preserve"> also</w:t>
      </w:r>
      <w:r>
        <w:rPr>
          <w:lang w:val="en-US"/>
        </w:rPr>
        <w:t xml:space="preserve"> translated (diffused) to mesh elements that are further away from the boundary</w:t>
      </w:r>
      <w:r w:rsidR="00384162">
        <w:rPr>
          <w:lang w:val="en-US"/>
        </w:rPr>
        <w:t>,</w:t>
      </w:r>
      <w:r>
        <w:rPr>
          <w:lang w:val="en-US"/>
        </w:rPr>
        <w:t xml:space="preserve"> resulting in preservation of overall high quality of the mesh.</w:t>
      </w:r>
    </w:p>
    <w:p w:rsidR="00F97A0E" w:rsidRDefault="00F97A0E">
      <w:pPr>
        <w:rPr>
          <w:lang w:val="en-US"/>
        </w:rPr>
      </w:pPr>
    </w:p>
    <w:p w:rsidR="007A151D" w:rsidRDefault="007A151D">
      <w:pPr>
        <w:rPr>
          <w:lang w:val="en-US"/>
        </w:rPr>
      </w:pPr>
    </w:p>
    <w:p w:rsidR="007A151D" w:rsidRDefault="007A151D">
      <w:pPr>
        <w:rPr>
          <w:lang w:val="en-US"/>
        </w:rPr>
      </w:pPr>
    </w:p>
    <w:p w:rsidR="007A151D" w:rsidRDefault="007A151D">
      <w:pPr>
        <w:rPr>
          <w:i/>
          <w:lang w:val="en-US"/>
        </w:rPr>
      </w:pPr>
      <w:r>
        <w:rPr>
          <w:i/>
          <w:lang w:val="en-US"/>
        </w:rPr>
        <w:lastRenderedPageBreak/>
        <w:t>Convergence plot</w:t>
      </w:r>
    </w:p>
    <w:p w:rsidR="007A151D" w:rsidRDefault="007A151D">
      <w:pPr>
        <w:rPr>
          <w:i/>
          <w:lang w:val="en-US"/>
        </w:rPr>
      </w:pPr>
    </w:p>
    <w:p w:rsidR="007A151D" w:rsidRDefault="007A151D">
      <w:pPr>
        <w:rPr>
          <w:lang w:val="en-US"/>
        </w:rPr>
      </w:pPr>
      <w:r>
        <w:rPr>
          <w:lang w:val="en-US"/>
        </w:rPr>
        <w:t xml:space="preserve">Figure 4 shows the convergence as the </w:t>
      </w:r>
      <w:r w:rsidR="00E12962">
        <w:rPr>
          <w:lang w:val="en-US"/>
        </w:rPr>
        <w:t>root mean square (RMS) of mass and momentum for the FSI simulations of P6 100 VAD.</w:t>
      </w:r>
    </w:p>
    <w:p w:rsidR="00E12962" w:rsidRDefault="00E12962">
      <w:pPr>
        <w:rPr>
          <w:lang w:val="en-US"/>
        </w:rPr>
      </w:pPr>
    </w:p>
    <w:p w:rsidR="00E12962" w:rsidRDefault="00E12962" w:rsidP="00E12962">
      <w:pPr>
        <w:keepNext/>
      </w:pPr>
      <w:r>
        <w:rPr>
          <w:noProof/>
          <w:lang w:val="en-US" w:eastAsia="ko-KR"/>
        </w:rPr>
        <w:drawing>
          <wp:inline distT="0" distB="0" distL="0" distR="0">
            <wp:extent cx="5274310" cy="32353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vergen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962" w:rsidRPr="00E12962" w:rsidRDefault="00E12962" w:rsidP="00E12962">
      <w:pPr>
        <w:pStyle w:val="Beschriftung"/>
        <w:rPr>
          <w:i w:val="0"/>
          <w:color w:val="auto"/>
          <w:sz w:val="24"/>
          <w:szCs w:val="24"/>
          <w:lang w:val="en-US"/>
        </w:rPr>
      </w:pPr>
      <w:r w:rsidRPr="00E12962">
        <w:rPr>
          <w:i w:val="0"/>
          <w:color w:val="auto"/>
          <w:sz w:val="24"/>
          <w:szCs w:val="24"/>
          <w:lang w:val="en-US"/>
        </w:rPr>
        <w:t xml:space="preserve">Figure </w:t>
      </w:r>
      <w:r w:rsidRPr="00E12962">
        <w:rPr>
          <w:i w:val="0"/>
          <w:color w:val="auto"/>
          <w:sz w:val="24"/>
          <w:szCs w:val="24"/>
        </w:rPr>
        <w:fldChar w:fldCharType="begin"/>
      </w:r>
      <w:r w:rsidRPr="00E12962">
        <w:rPr>
          <w:i w:val="0"/>
          <w:color w:val="auto"/>
          <w:sz w:val="24"/>
          <w:szCs w:val="24"/>
          <w:lang w:val="en-US"/>
        </w:rPr>
        <w:instrText xml:space="preserve"> SEQ Figure \* ARABIC </w:instrText>
      </w:r>
      <w:r w:rsidRPr="00E12962">
        <w:rPr>
          <w:i w:val="0"/>
          <w:color w:val="auto"/>
          <w:sz w:val="24"/>
          <w:szCs w:val="24"/>
        </w:rPr>
        <w:fldChar w:fldCharType="separate"/>
      </w:r>
      <w:r w:rsidR="008B6F2D">
        <w:rPr>
          <w:i w:val="0"/>
          <w:noProof/>
          <w:color w:val="auto"/>
          <w:sz w:val="24"/>
          <w:szCs w:val="24"/>
          <w:lang w:val="en-US"/>
        </w:rPr>
        <w:t>4</w:t>
      </w:r>
      <w:r w:rsidRPr="00E12962">
        <w:rPr>
          <w:i w:val="0"/>
          <w:color w:val="auto"/>
          <w:sz w:val="24"/>
          <w:szCs w:val="24"/>
        </w:rPr>
        <w:fldChar w:fldCharType="end"/>
      </w:r>
      <w:r w:rsidRPr="00E12962">
        <w:rPr>
          <w:i w:val="0"/>
          <w:color w:val="auto"/>
          <w:sz w:val="24"/>
          <w:szCs w:val="24"/>
          <w:lang w:val="en-US"/>
        </w:rPr>
        <w:t xml:space="preserve">: Convergence plot of mass and momentum for FSI simulations of P6 100 VAD. Black dashed line shows the convergence criterion of 1e-3, </w:t>
      </w:r>
      <w:r w:rsidR="00384162">
        <w:rPr>
          <w:i w:val="0"/>
          <w:color w:val="auto"/>
          <w:sz w:val="24"/>
          <w:szCs w:val="24"/>
          <w:lang w:val="en-US"/>
        </w:rPr>
        <w:t xml:space="preserve">and </w:t>
      </w:r>
      <w:r w:rsidRPr="00E12962">
        <w:rPr>
          <w:i w:val="0"/>
          <w:color w:val="auto"/>
          <w:sz w:val="24"/>
          <w:szCs w:val="24"/>
          <w:lang w:val="en-US"/>
        </w:rPr>
        <w:t>the two solid black lines show where the cycles stop and end.</w:t>
      </w:r>
    </w:p>
    <w:p w:rsidR="007A151D" w:rsidRDefault="00E12962">
      <w:pPr>
        <w:rPr>
          <w:lang w:val="en-US"/>
        </w:rPr>
      </w:pPr>
      <w:r>
        <w:rPr>
          <w:lang w:val="en-US"/>
        </w:rPr>
        <w:t xml:space="preserve">From the figure it can be observed that already during the second cycle the threshold of 1e-3 is exceeded just at minor parts of the time (1.55-1.6 s) and around 0.9-0.95s. The first quarter of the cycle is critical with RMS values close to the threshold of 1e-3. Afterward the values drop to 4e-5. It is seen that the third cycle </w:t>
      </w:r>
      <w:r w:rsidR="00753EE3">
        <w:rPr>
          <w:lang w:val="en-US"/>
        </w:rPr>
        <w:t xml:space="preserve">does </w:t>
      </w:r>
      <w:r>
        <w:rPr>
          <w:lang w:val="en-US"/>
        </w:rPr>
        <w:t>not produce significantly better results when compared to the second cycle</w:t>
      </w:r>
      <w:r w:rsidR="00753EE3">
        <w:rPr>
          <w:lang w:val="en-US"/>
        </w:rPr>
        <w:t>;</w:t>
      </w:r>
      <w:r>
        <w:rPr>
          <w:lang w:val="en-US"/>
        </w:rPr>
        <w:t xml:space="preserve"> thus</w:t>
      </w:r>
      <w:r w:rsidR="00753EE3">
        <w:rPr>
          <w:lang w:val="en-US"/>
        </w:rPr>
        <w:t>,</w:t>
      </w:r>
      <w:r>
        <w:rPr>
          <w:lang w:val="en-US"/>
        </w:rPr>
        <w:t xml:space="preserve"> the second cycle </w:t>
      </w:r>
      <w:r w:rsidR="00753EE3">
        <w:rPr>
          <w:lang w:val="en-US"/>
        </w:rPr>
        <w:t xml:space="preserve">was </w:t>
      </w:r>
      <w:r>
        <w:rPr>
          <w:lang w:val="en-US"/>
        </w:rPr>
        <w:t>chosen for evaluation.</w:t>
      </w:r>
    </w:p>
    <w:p w:rsidR="00E12962" w:rsidRDefault="00E12962">
      <w:pPr>
        <w:rPr>
          <w:lang w:val="en-US"/>
        </w:rPr>
      </w:pPr>
      <w:r>
        <w:rPr>
          <w:lang w:val="en-US"/>
        </w:rPr>
        <w:t>It should be noted that the time of the vortex-cannula interaction (see Figure 7 and Figure 8b of the main manuscript) happens between 0.4</w:t>
      </w:r>
      <w:r w:rsidR="00753EE3">
        <w:rPr>
          <w:lang w:val="en-US"/>
        </w:rPr>
        <w:t xml:space="preserve"> and </w:t>
      </w:r>
      <w:r>
        <w:rPr>
          <w:lang w:val="en-US"/>
        </w:rPr>
        <w:t xml:space="preserve">0.6 s (1.2s-1.4s for the total time). This timeframe is characterized by very low RMS (4e-5) in Figure 4, </w:t>
      </w:r>
      <w:r w:rsidR="009A1F8C">
        <w:rPr>
          <w:lang w:val="en-US"/>
        </w:rPr>
        <w:t>so it is appropriate to use the second cycle for evaluation, especially of this timeframe.</w:t>
      </w:r>
    </w:p>
    <w:p w:rsidR="00126688" w:rsidRDefault="00126688">
      <w:pPr>
        <w:rPr>
          <w:lang w:val="en-US"/>
        </w:rPr>
      </w:pPr>
    </w:p>
    <w:p w:rsidR="00126688" w:rsidRPr="00126688" w:rsidRDefault="00126688">
      <w:pPr>
        <w:rPr>
          <w:b/>
          <w:lang w:val="en-US"/>
        </w:rPr>
      </w:pPr>
    </w:p>
    <w:p w:rsidR="00F97A0E" w:rsidRDefault="00F97A0E">
      <w:pPr>
        <w:rPr>
          <w:i/>
          <w:lang w:val="en-US"/>
        </w:rPr>
      </w:pPr>
    </w:p>
    <w:p w:rsidR="00F97A0E" w:rsidRDefault="00F97A0E">
      <w:pPr>
        <w:rPr>
          <w:i/>
          <w:lang w:val="en-US"/>
        </w:rPr>
      </w:pPr>
    </w:p>
    <w:p w:rsidR="00F97A0E" w:rsidRDefault="00F97A0E">
      <w:pPr>
        <w:rPr>
          <w:i/>
          <w:lang w:val="en-US"/>
        </w:rPr>
      </w:pPr>
    </w:p>
    <w:p w:rsidR="00F97A0E" w:rsidRDefault="00F97A0E">
      <w:pPr>
        <w:rPr>
          <w:i/>
          <w:lang w:val="en-US"/>
        </w:rPr>
      </w:pPr>
    </w:p>
    <w:sectPr w:rsidR="00F97A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797"/>
    <w:rsid w:val="000632AC"/>
    <w:rsid w:val="000A1F3C"/>
    <w:rsid w:val="00106E44"/>
    <w:rsid w:val="00126688"/>
    <w:rsid w:val="001737E0"/>
    <w:rsid w:val="00384162"/>
    <w:rsid w:val="0046512F"/>
    <w:rsid w:val="004675F5"/>
    <w:rsid w:val="006F1D6C"/>
    <w:rsid w:val="007466BD"/>
    <w:rsid w:val="00753EE3"/>
    <w:rsid w:val="00767207"/>
    <w:rsid w:val="007709A5"/>
    <w:rsid w:val="00794590"/>
    <w:rsid w:val="007A151D"/>
    <w:rsid w:val="00852DB0"/>
    <w:rsid w:val="00872CD0"/>
    <w:rsid w:val="008B6F2D"/>
    <w:rsid w:val="00932562"/>
    <w:rsid w:val="00947D14"/>
    <w:rsid w:val="009A1F8C"/>
    <w:rsid w:val="00AB69C2"/>
    <w:rsid w:val="00B15797"/>
    <w:rsid w:val="00B61B7A"/>
    <w:rsid w:val="00C22247"/>
    <w:rsid w:val="00CE6EB0"/>
    <w:rsid w:val="00D25EB9"/>
    <w:rsid w:val="00E12962"/>
    <w:rsid w:val="00E44EBB"/>
    <w:rsid w:val="00F104DF"/>
    <w:rsid w:val="00F62C7E"/>
    <w:rsid w:val="00F97A0E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EDB01-3DC4-4F50-8F4A-2CDF1D34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7A0E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4DF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6F1D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6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6F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F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F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F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F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14AA-58F5-43A0-BF15-9FFD55F5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Neidlin</dc:creator>
  <cp:lastModifiedBy>Simon Sonntag</cp:lastModifiedBy>
  <cp:revision>9</cp:revision>
  <cp:lastPrinted>2018-06-19T20:17:00Z</cp:lastPrinted>
  <dcterms:created xsi:type="dcterms:W3CDTF">2018-06-19T20:16:00Z</dcterms:created>
  <dcterms:modified xsi:type="dcterms:W3CDTF">2018-06-25T12:36:00Z</dcterms:modified>
</cp:coreProperties>
</file>