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2C" w:rsidRPr="00AB49B8" w:rsidRDefault="0019032C" w:rsidP="0019032C">
      <w:pPr>
        <w:rPr>
          <w:rFonts w:ascii="Times New Roman" w:hAnsi="Times New Roman" w:cs="Times New Roman"/>
          <w:b/>
          <w:lang w:val="en-US"/>
        </w:rPr>
      </w:pPr>
      <w:r w:rsidRPr="00AB49B8">
        <w:rPr>
          <w:rFonts w:ascii="Times New Roman" w:hAnsi="Times New Roman" w:cs="Times New Roman"/>
          <w:b/>
          <w:lang w:val="en-US"/>
        </w:rPr>
        <w:t>SUPPLEMENTAL DIGITAL CONTENT</w:t>
      </w:r>
    </w:p>
    <w:p w:rsidR="0019032C" w:rsidRPr="00AB49B8" w:rsidRDefault="0019032C" w:rsidP="0019032C">
      <w:pPr>
        <w:rPr>
          <w:rFonts w:ascii="Times New Roman" w:hAnsi="Times New Roman" w:cs="Times New Roman"/>
          <w:b/>
          <w:lang w:val="en-US"/>
        </w:rPr>
      </w:pPr>
      <w:r w:rsidRPr="00AB49B8">
        <w:rPr>
          <w:rFonts w:ascii="Times New Roman" w:hAnsi="Times New Roman" w:cs="Times New Roman"/>
          <w:b/>
          <w:lang w:val="en-US"/>
        </w:rPr>
        <w:t>TABLES</w:t>
      </w:r>
    </w:p>
    <w:p w:rsidR="0019032C" w:rsidRPr="00AB49B8" w:rsidRDefault="0019032C" w:rsidP="0019032C">
      <w:pPr>
        <w:rPr>
          <w:rFonts w:ascii="Times New Roman" w:hAnsi="Times New Roman" w:cs="Times New Roman"/>
          <w:lang w:val="en-US"/>
        </w:rPr>
      </w:pPr>
    </w:p>
    <w:p w:rsidR="0019032C" w:rsidRPr="00AB49B8" w:rsidRDefault="00207E79" w:rsidP="0019032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SDC </w:t>
      </w:r>
      <w:r w:rsidR="0019032C" w:rsidRPr="00AB49B8">
        <w:rPr>
          <w:rFonts w:ascii="Times New Roman" w:hAnsi="Times New Roman" w:cs="Times New Roman"/>
          <w:b/>
          <w:lang w:val="en-US"/>
        </w:rPr>
        <w:t xml:space="preserve">Table 1 </w:t>
      </w:r>
      <w:r w:rsidR="0019032C" w:rsidRPr="00AB49B8">
        <w:rPr>
          <w:rFonts w:ascii="Times New Roman" w:hAnsi="Times New Roman" w:cs="Times New Roman"/>
          <w:lang w:val="en-US"/>
        </w:rPr>
        <w:t>Database fields and captured information</w:t>
      </w:r>
      <w:r w:rsidR="0019032C" w:rsidRPr="00AB49B8">
        <w:rPr>
          <w:rStyle w:val="EndnoteReference"/>
          <w:rFonts w:ascii="Times New Roman" w:hAnsi="Times New Roman" w:cs="Times New Roman"/>
          <w:lang w:val="en-US"/>
        </w:rPr>
        <w:endnoteReference w:id="1"/>
      </w:r>
    </w:p>
    <w:tbl>
      <w:tblPr>
        <w:tblStyle w:val="TableGrid"/>
        <w:tblW w:w="9180" w:type="dxa"/>
        <w:tblBorders>
          <w:insideH w:val="none" w:sz="0" w:space="0" w:color="auto"/>
        </w:tblBorders>
        <w:tblLook w:val="04A0"/>
      </w:tblPr>
      <w:tblGrid>
        <w:gridCol w:w="4786"/>
        <w:gridCol w:w="4394"/>
      </w:tblGrid>
      <w:tr w:rsidR="0019032C" w:rsidRPr="00C249C4" w:rsidTr="0014686C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b/>
                <w:lang w:val="en-US"/>
              </w:rPr>
            </w:pPr>
            <w:r w:rsidRPr="00AB49B8">
              <w:rPr>
                <w:rFonts w:asciiTheme="minorHAnsi" w:hAnsiTheme="minorHAnsi"/>
                <w:b/>
                <w:lang w:val="en-US"/>
              </w:rPr>
              <w:t>NHFD fields and information</w:t>
            </w:r>
          </w:p>
        </w:tc>
      </w:tr>
      <w:tr w:rsidR="0019032C" w:rsidRPr="00C249C4" w:rsidTr="0014686C">
        <w:tc>
          <w:tcPr>
            <w:tcW w:w="4786" w:type="dxa"/>
            <w:tcBorders>
              <w:top w:val="single" w:sz="4" w:space="0" w:color="auto"/>
            </w:tcBorders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Hospital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ASA grade</w:t>
            </w:r>
          </w:p>
        </w:tc>
      </w:tr>
      <w:tr w:rsidR="0019032C" w:rsidRPr="00C249C4" w:rsidTr="0014686C">
        <w:tc>
          <w:tcPr>
            <w:tcW w:w="4786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Admission to pathway</w:t>
            </w:r>
          </w:p>
        </w:tc>
        <w:tc>
          <w:tcPr>
            <w:tcW w:w="4394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Preoperative assessment</w:t>
            </w:r>
          </w:p>
        </w:tc>
      </w:tr>
      <w:tr w:rsidR="0019032C" w:rsidRPr="00C249C4" w:rsidTr="0014686C">
        <w:tc>
          <w:tcPr>
            <w:tcW w:w="4786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Admission to orthopaedic ward</w:t>
            </w:r>
          </w:p>
        </w:tc>
        <w:tc>
          <w:tcPr>
            <w:tcW w:w="4394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Operation type</w:t>
            </w:r>
          </w:p>
        </w:tc>
      </w:tr>
      <w:tr w:rsidR="0019032C" w:rsidRPr="00C249C4" w:rsidTr="0014686C">
        <w:tc>
          <w:tcPr>
            <w:tcW w:w="4786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Geriatrician General Medical Council number</w:t>
            </w:r>
          </w:p>
        </w:tc>
        <w:tc>
          <w:tcPr>
            <w:tcW w:w="4394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Reason 36 hours (delay)</w:t>
            </w:r>
          </w:p>
        </w:tc>
      </w:tr>
      <w:tr w:rsidR="0019032C" w:rsidRPr="00C249C4" w:rsidTr="0014686C">
        <w:tc>
          <w:tcPr>
            <w:tcW w:w="4786" w:type="dxa"/>
          </w:tcPr>
          <w:p w:rsidR="0019032C" w:rsidRPr="00AB49B8" w:rsidRDefault="0019032C" w:rsidP="0014686C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Orthopaedic surgeon General Medical Council number</w:t>
            </w:r>
          </w:p>
        </w:tc>
        <w:tc>
          <w:tcPr>
            <w:tcW w:w="4394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Specialist falls assessment</w:t>
            </w:r>
          </w:p>
        </w:tc>
      </w:tr>
      <w:tr w:rsidR="0019032C" w:rsidRPr="00C249C4" w:rsidTr="0014686C">
        <w:tc>
          <w:tcPr>
            <w:tcW w:w="4786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Admitted under assessment protocol</w:t>
            </w:r>
          </w:p>
        </w:tc>
        <w:tc>
          <w:tcPr>
            <w:tcW w:w="4394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Bone protection medication 30 days/120 days</w:t>
            </w:r>
          </w:p>
        </w:tc>
      </w:tr>
      <w:tr w:rsidR="0019032C" w:rsidRPr="00C249C4" w:rsidTr="0014686C">
        <w:tc>
          <w:tcPr>
            <w:tcW w:w="4786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Demographic details of patient</w:t>
            </w:r>
          </w:p>
        </w:tc>
        <w:tc>
          <w:tcPr>
            <w:tcW w:w="4394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Multidisciplinary team assessment</w:t>
            </w:r>
          </w:p>
        </w:tc>
      </w:tr>
      <w:tr w:rsidR="0019032C" w:rsidRPr="00C249C4" w:rsidTr="0014686C">
        <w:tc>
          <w:tcPr>
            <w:tcW w:w="4786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Admitted from</w:t>
            </w:r>
          </w:p>
        </w:tc>
        <w:tc>
          <w:tcPr>
            <w:tcW w:w="4394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Mobilised day of surgery</w:t>
            </w:r>
          </w:p>
        </w:tc>
      </w:tr>
      <w:tr w:rsidR="0019032C" w:rsidRPr="00C249C4" w:rsidTr="0014686C">
        <w:tc>
          <w:tcPr>
            <w:tcW w:w="4786" w:type="dxa"/>
          </w:tcPr>
          <w:p w:rsidR="0019032C" w:rsidRPr="00AB49B8" w:rsidRDefault="0019032C" w:rsidP="0014686C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Prefracture mobility – Abbreviated Mental Test Scores</w:t>
            </w:r>
          </w:p>
        </w:tc>
        <w:tc>
          <w:tcPr>
            <w:tcW w:w="4394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Discharge ward date/destination</w:t>
            </w:r>
          </w:p>
        </w:tc>
      </w:tr>
      <w:tr w:rsidR="0019032C" w:rsidRPr="00C249C4" w:rsidTr="0014686C">
        <w:tc>
          <w:tcPr>
            <w:tcW w:w="4786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Fracture side and type</w:t>
            </w:r>
          </w:p>
        </w:tc>
        <w:tc>
          <w:tcPr>
            <w:tcW w:w="4394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 xml:space="preserve">Residential 30/120/365 days mobility </w:t>
            </w:r>
            <w:r>
              <w:rPr>
                <w:rFonts w:asciiTheme="minorHAnsi" w:hAnsiTheme="minorHAnsi"/>
                <w:lang w:val="en-US"/>
              </w:rPr>
              <w:t>–</w:t>
            </w:r>
            <w:r w:rsidRPr="00AB49B8">
              <w:rPr>
                <w:rFonts w:asciiTheme="minorHAnsi" w:hAnsiTheme="minorHAnsi"/>
                <w:lang w:val="en-US"/>
              </w:rPr>
              <w:t xml:space="preserve"> mortality</w:t>
            </w:r>
          </w:p>
        </w:tc>
      </w:tr>
      <w:tr w:rsidR="0019032C" w:rsidRPr="00C249C4" w:rsidTr="0014686C">
        <w:tc>
          <w:tcPr>
            <w:tcW w:w="4786" w:type="dxa"/>
          </w:tcPr>
          <w:p w:rsidR="0019032C" w:rsidRPr="00AB49B8" w:rsidRDefault="0019032C" w:rsidP="0014686C">
            <w:pPr>
              <w:keepNext/>
              <w:keepLines/>
              <w:spacing w:after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Date and time of surgery</w:t>
            </w:r>
          </w:p>
        </w:tc>
        <w:tc>
          <w:tcPr>
            <w:tcW w:w="4394" w:type="dxa"/>
          </w:tcPr>
          <w:p w:rsidR="0019032C" w:rsidRPr="00AB49B8" w:rsidRDefault="0019032C" w:rsidP="0014686C">
            <w:pPr>
              <w:rPr>
                <w:lang w:val="en-US"/>
              </w:rPr>
            </w:pPr>
          </w:p>
        </w:tc>
      </w:tr>
    </w:tbl>
    <w:p w:rsidR="0019032C" w:rsidRPr="00AB49B8" w:rsidRDefault="0019032C" w:rsidP="0019032C">
      <w:pPr>
        <w:rPr>
          <w:rFonts w:ascii="Times New Roman" w:hAnsi="Times New Roman" w:cs="Times New Roman"/>
          <w:lang w:val="en-US"/>
        </w:rPr>
      </w:pPr>
    </w:p>
    <w:p w:rsidR="0019032C" w:rsidRPr="00AB49B8" w:rsidRDefault="0019032C" w:rsidP="0019032C">
      <w:pPr>
        <w:rPr>
          <w:rFonts w:ascii="Times New Roman" w:hAnsi="Times New Roman" w:cs="Times New Roman"/>
          <w:lang w:val="en-US"/>
        </w:rPr>
      </w:pPr>
    </w:p>
    <w:p w:rsidR="0019032C" w:rsidRPr="00AB49B8" w:rsidRDefault="0019032C" w:rsidP="0019032C">
      <w:pPr>
        <w:rPr>
          <w:rFonts w:ascii="Times New Roman" w:hAnsi="Times New Roman" w:cs="Times New Roman"/>
          <w:lang w:val="en-US"/>
        </w:rPr>
      </w:pPr>
    </w:p>
    <w:p w:rsidR="0019032C" w:rsidRPr="00AB49B8" w:rsidRDefault="0019032C" w:rsidP="0019032C">
      <w:pPr>
        <w:rPr>
          <w:rFonts w:ascii="Times New Roman" w:hAnsi="Times New Roman" w:cs="Times New Roman"/>
          <w:b/>
          <w:lang w:val="en-US"/>
        </w:rPr>
      </w:pPr>
      <w:r w:rsidRPr="00AB49B8">
        <w:rPr>
          <w:rFonts w:ascii="Times New Roman" w:hAnsi="Times New Roman" w:cs="Times New Roman"/>
          <w:b/>
          <w:lang w:val="en-US"/>
        </w:rPr>
        <w:br w:type="page"/>
      </w:r>
      <w:bookmarkStart w:id="0" w:name="_GoBack"/>
      <w:bookmarkEnd w:id="0"/>
    </w:p>
    <w:p w:rsidR="0019032C" w:rsidRPr="00AB49B8" w:rsidRDefault="00207E79" w:rsidP="0019032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SDC </w:t>
      </w:r>
      <w:r w:rsidR="0019032C" w:rsidRPr="00AB49B8">
        <w:rPr>
          <w:rFonts w:ascii="Times New Roman" w:hAnsi="Times New Roman" w:cs="Times New Roman"/>
          <w:b/>
          <w:lang w:val="en-US"/>
        </w:rPr>
        <w:t>Table 2</w:t>
      </w:r>
      <w:r w:rsidR="0019032C" w:rsidRPr="00AB49B8">
        <w:rPr>
          <w:rFonts w:ascii="Times New Roman" w:hAnsi="Times New Roman" w:cs="Times New Roman"/>
          <w:lang w:val="en-US"/>
        </w:rPr>
        <w:t xml:space="preserve"> Department of Health’s Best Practice Tariff (BPT) initiative, which rewards the achievement of specified standards,</w:t>
      </w:r>
      <w:r w:rsidR="0019032C" w:rsidRPr="00AB49B8">
        <w:rPr>
          <w:rStyle w:val="EndnoteReference"/>
          <w:rFonts w:ascii="Times New Roman" w:hAnsi="Times New Roman" w:cs="Times New Roman"/>
          <w:lang w:val="en-US"/>
        </w:rPr>
        <w:endnoteReference w:id="2"/>
      </w:r>
      <w:r w:rsidR="0019032C" w:rsidRPr="00AB49B8">
        <w:rPr>
          <w:rFonts w:ascii="Times New Roman" w:hAnsi="Times New Roman" w:cs="Times New Roman"/>
          <w:lang w:val="en-US"/>
        </w:rPr>
        <w:t xml:space="preserve"> as shown below:</w:t>
      </w:r>
    </w:p>
    <w:tbl>
      <w:tblPr>
        <w:tblStyle w:val="TableGrid"/>
        <w:tblW w:w="7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685"/>
      </w:tblGrid>
      <w:tr w:rsidR="0019032C" w:rsidRPr="00C249C4" w:rsidTr="0014686C"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b/>
                <w:lang w:val="en-US"/>
              </w:rPr>
              <w:t>Standards included in BPT</w:t>
            </w:r>
          </w:p>
        </w:tc>
      </w:tr>
      <w:tr w:rsidR="0019032C" w:rsidRPr="00C249C4" w:rsidTr="001468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C" w:rsidRPr="00AB49B8" w:rsidRDefault="0019032C" w:rsidP="0014686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Surgery within 36 hours</w:t>
            </w:r>
          </w:p>
          <w:p w:rsidR="0019032C" w:rsidRPr="00AB49B8" w:rsidRDefault="0019032C" w:rsidP="0014686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Shared care by surgeon and geriatrician</w:t>
            </w:r>
          </w:p>
          <w:p w:rsidR="0019032C" w:rsidRPr="000A314D" w:rsidRDefault="0019032C" w:rsidP="0014686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Case protocol agreed by geriatrician, surgeon, and anesthetist</w:t>
            </w:r>
          </w:p>
          <w:p w:rsidR="0019032C" w:rsidRPr="000A314D" w:rsidRDefault="0019032C" w:rsidP="0014686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8"/>
              <w:rPr>
                <w:lang w:val="en-US"/>
              </w:rPr>
            </w:pPr>
            <w:r w:rsidRPr="000A314D">
              <w:rPr>
                <w:lang w:val="en-US"/>
              </w:rPr>
              <w:t>Assessment by geriatrician within 72 hours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C" w:rsidRPr="000A314D" w:rsidRDefault="0019032C" w:rsidP="0014686C">
            <w:pPr>
              <w:pStyle w:val="ListParagraph"/>
              <w:keepNext/>
              <w:keepLines/>
              <w:spacing w:before="240"/>
              <w:ind w:left="714"/>
              <w:outlineLvl w:val="8"/>
              <w:rPr>
                <w:lang w:val="en-US"/>
              </w:rPr>
            </w:pPr>
          </w:p>
          <w:p w:rsidR="0019032C" w:rsidRPr="00AB49B8" w:rsidRDefault="0019032C" w:rsidP="0014686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40"/>
              <w:ind w:left="714" w:hanging="357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Pre- and post-operative abbreviated mental test score assessment</w:t>
            </w:r>
          </w:p>
          <w:p w:rsidR="0019032C" w:rsidRPr="00AB49B8" w:rsidRDefault="0019032C" w:rsidP="0014686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Geriatrician-led multi-disciplinary rehabilitation</w:t>
            </w:r>
          </w:p>
          <w:p w:rsidR="0019032C" w:rsidRPr="000A314D" w:rsidRDefault="0019032C" w:rsidP="0014686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Secondary prevention of falls</w:t>
            </w:r>
          </w:p>
          <w:p w:rsidR="0019032C" w:rsidRPr="000A314D" w:rsidRDefault="0019032C" w:rsidP="0014686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 w:after="200"/>
              <w:ind w:left="714" w:hanging="357"/>
              <w:outlineLvl w:val="8"/>
              <w:rPr>
                <w:lang w:val="en-US"/>
              </w:rPr>
            </w:pPr>
            <w:r w:rsidRPr="000A314D">
              <w:rPr>
                <w:lang w:val="en-US"/>
              </w:rPr>
              <w:t>Bone health assessment</w:t>
            </w:r>
          </w:p>
        </w:tc>
      </w:tr>
    </w:tbl>
    <w:p w:rsidR="0019032C" w:rsidRPr="00AB49B8" w:rsidRDefault="0019032C" w:rsidP="0019032C">
      <w:pPr>
        <w:rPr>
          <w:rFonts w:ascii="Times New Roman" w:hAnsi="Times New Roman" w:cs="Times New Roman"/>
          <w:lang w:val="en-US"/>
        </w:rPr>
      </w:pPr>
    </w:p>
    <w:p w:rsidR="0019032C" w:rsidRPr="00AB49B8" w:rsidRDefault="0019032C" w:rsidP="0019032C">
      <w:pPr>
        <w:rPr>
          <w:rFonts w:ascii="Times New Roman" w:hAnsi="Times New Roman" w:cs="Times New Roman"/>
          <w:b/>
          <w:lang w:val="en-US"/>
        </w:rPr>
      </w:pPr>
    </w:p>
    <w:p w:rsidR="0019032C" w:rsidRPr="00AB49B8" w:rsidRDefault="0019032C" w:rsidP="0019032C">
      <w:pPr>
        <w:rPr>
          <w:rFonts w:ascii="Times New Roman" w:hAnsi="Times New Roman" w:cs="Times New Roman"/>
          <w:b/>
          <w:lang w:val="en-US"/>
        </w:rPr>
      </w:pPr>
      <w:r w:rsidRPr="00AB49B8">
        <w:rPr>
          <w:rFonts w:ascii="Times New Roman" w:hAnsi="Times New Roman" w:cs="Times New Roman"/>
          <w:b/>
          <w:lang w:val="en-US"/>
        </w:rPr>
        <w:br w:type="page"/>
      </w:r>
    </w:p>
    <w:p w:rsidR="0019032C" w:rsidRPr="00AB49B8" w:rsidRDefault="00207E79" w:rsidP="0019032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SDC </w:t>
      </w:r>
      <w:r w:rsidR="0019032C" w:rsidRPr="00AB49B8">
        <w:rPr>
          <w:rFonts w:ascii="Times New Roman" w:hAnsi="Times New Roman" w:cs="Times New Roman"/>
          <w:b/>
          <w:lang w:val="en-US"/>
        </w:rPr>
        <w:t xml:space="preserve">Table 3 </w:t>
      </w:r>
      <w:r w:rsidR="0019032C" w:rsidRPr="00AB49B8">
        <w:rPr>
          <w:rFonts w:ascii="Times New Roman" w:hAnsi="Times New Roman" w:cs="Times New Roman"/>
          <w:lang w:val="en-US"/>
        </w:rPr>
        <w:t>Information that the NHFD does not capture</w:t>
      </w:r>
    </w:p>
    <w:tbl>
      <w:tblPr>
        <w:tblStyle w:val="TableGrid"/>
        <w:tblW w:w="0" w:type="auto"/>
        <w:tblLook w:val="04A0"/>
      </w:tblPr>
      <w:tblGrid>
        <w:gridCol w:w="4077"/>
      </w:tblGrid>
      <w:tr w:rsidR="0019032C" w:rsidRPr="00C249C4" w:rsidTr="0014686C">
        <w:tc>
          <w:tcPr>
            <w:tcW w:w="4077" w:type="dxa"/>
          </w:tcPr>
          <w:p w:rsidR="0019032C" w:rsidRPr="00AB49B8" w:rsidRDefault="0019032C" w:rsidP="0014686C">
            <w:pPr>
              <w:keepNext/>
              <w:keepLines/>
              <w:spacing w:before="200"/>
              <w:outlineLvl w:val="8"/>
              <w:rPr>
                <w:b/>
                <w:lang w:val="en-US"/>
              </w:rPr>
            </w:pPr>
            <w:r w:rsidRPr="00AB49B8">
              <w:rPr>
                <w:rFonts w:asciiTheme="minorHAnsi" w:hAnsiTheme="minorHAnsi"/>
                <w:b/>
                <w:lang w:val="en-US"/>
              </w:rPr>
              <w:t>Information not captured in the NHFD</w:t>
            </w:r>
          </w:p>
        </w:tc>
      </w:tr>
      <w:tr w:rsidR="0019032C" w:rsidRPr="00C249C4" w:rsidTr="0014686C">
        <w:tc>
          <w:tcPr>
            <w:tcW w:w="4077" w:type="dxa"/>
          </w:tcPr>
          <w:p w:rsidR="0019032C" w:rsidRPr="00AB49B8" w:rsidRDefault="0019032C" w:rsidP="0014686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Overall medication intake</w:t>
            </w:r>
          </w:p>
          <w:p w:rsidR="0019032C" w:rsidRPr="00AB49B8" w:rsidRDefault="0019032C" w:rsidP="0014686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Biochemical profile – Blood transfusion</w:t>
            </w:r>
          </w:p>
          <w:p w:rsidR="0019032C" w:rsidRPr="00AB49B8" w:rsidRDefault="0019032C" w:rsidP="0014686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Level of surgeon</w:t>
            </w:r>
          </w:p>
          <w:p w:rsidR="0019032C" w:rsidRPr="00AB49B8" w:rsidRDefault="0019032C" w:rsidP="0014686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Length of surgery – Type of prosthesis</w:t>
            </w:r>
          </w:p>
          <w:p w:rsidR="0019032C" w:rsidRPr="00AB49B8" w:rsidRDefault="0019032C" w:rsidP="0014686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Perioperative complications</w:t>
            </w:r>
          </w:p>
          <w:p w:rsidR="0019032C" w:rsidRPr="000A314D" w:rsidRDefault="0019032C" w:rsidP="0014686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Additional surgeries</w:t>
            </w:r>
          </w:p>
          <w:p w:rsidR="0019032C" w:rsidRPr="000A314D" w:rsidRDefault="0019032C" w:rsidP="0014686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 w:after="200"/>
              <w:ind w:left="714" w:hanging="357"/>
              <w:outlineLvl w:val="8"/>
              <w:rPr>
                <w:lang w:val="en-US"/>
              </w:rPr>
            </w:pPr>
            <w:r w:rsidRPr="000A314D">
              <w:rPr>
                <w:lang w:val="en-US"/>
              </w:rPr>
              <w:t>Cause of mortality</w:t>
            </w:r>
          </w:p>
        </w:tc>
      </w:tr>
    </w:tbl>
    <w:p w:rsidR="0019032C" w:rsidRDefault="0019032C" w:rsidP="0019032C">
      <w:pPr>
        <w:rPr>
          <w:rFonts w:ascii="Times New Roman" w:hAnsi="Times New Roman" w:cs="Times New Roman"/>
          <w:lang w:val="en-US"/>
        </w:rPr>
      </w:pPr>
    </w:p>
    <w:p w:rsidR="00E0276C" w:rsidRPr="00AB49B8" w:rsidRDefault="00E0276C" w:rsidP="00E027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4</w:t>
      </w:r>
      <w:r w:rsidRPr="00AB49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Differences between </w:t>
      </w:r>
      <w:r w:rsidRPr="00AB49B8">
        <w:rPr>
          <w:rFonts w:ascii="Times New Roman" w:hAnsi="Times New Roman" w:cs="Times New Roman"/>
          <w:lang w:val="en-US"/>
        </w:rPr>
        <w:t>randomized trial</w:t>
      </w:r>
      <w:r>
        <w:rPr>
          <w:rFonts w:ascii="Times New Roman" w:hAnsi="Times New Roman" w:cs="Times New Roman"/>
          <w:lang w:val="en-US"/>
        </w:rPr>
        <w:t xml:space="preserve"> data </w:t>
      </w:r>
      <w:r w:rsidRPr="00AB49B8">
        <w:rPr>
          <w:rFonts w:ascii="Times New Roman" w:hAnsi="Times New Roman" w:cs="Times New Roman"/>
          <w:lang w:val="en-US"/>
        </w:rPr>
        <w:t xml:space="preserve">and </w:t>
      </w:r>
      <w:r>
        <w:rPr>
          <w:rFonts w:ascii="Times New Roman" w:hAnsi="Times New Roman" w:cs="Times New Roman"/>
          <w:lang w:val="en-US"/>
        </w:rPr>
        <w:t xml:space="preserve">a </w:t>
      </w:r>
      <w:r w:rsidRPr="00AB49B8">
        <w:rPr>
          <w:rFonts w:ascii="Times New Roman" w:hAnsi="Times New Roman" w:cs="Times New Roman"/>
          <w:lang w:val="en-US"/>
        </w:rPr>
        <w:t>registry study comparing internal fixation and arthroplasty in elderly patients with femoral neck fractures</w:t>
      </w:r>
      <w:r>
        <w:rPr>
          <w:rFonts w:ascii="Times New Roman" w:hAnsi="Times New Roman" w:cs="Times New Roman"/>
          <w:lang w:val="en-US"/>
        </w:rPr>
        <w:t>.</w:t>
      </w:r>
      <w:r w:rsidRPr="00AB49B8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leGrid"/>
        <w:tblW w:w="9473" w:type="dxa"/>
        <w:tblLook w:val="00A0"/>
      </w:tblPr>
      <w:tblGrid>
        <w:gridCol w:w="2096"/>
        <w:gridCol w:w="2265"/>
        <w:gridCol w:w="2523"/>
        <w:gridCol w:w="2589"/>
      </w:tblGrid>
      <w:tr w:rsidR="00E0276C" w:rsidRPr="00C249C4" w:rsidTr="0061486F">
        <w:trPr>
          <w:trHeight w:val="300"/>
        </w:trPr>
        <w:tc>
          <w:tcPr>
            <w:tcW w:w="2096" w:type="dxa"/>
            <w:vMerge w:val="restart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 </w:t>
            </w:r>
          </w:p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 </w:t>
            </w:r>
          </w:p>
        </w:tc>
        <w:tc>
          <w:tcPr>
            <w:tcW w:w="4788" w:type="dxa"/>
            <w:gridSpan w:val="2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Randomized controlled trials</w:t>
            </w:r>
          </w:p>
        </w:tc>
        <w:tc>
          <w:tcPr>
            <w:tcW w:w="2589" w:type="dxa"/>
            <w:vAlign w:val="center"/>
          </w:tcPr>
          <w:p w:rsidR="00E0276C" w:rsidRPr="00AB49B8" w:rsidRDefault="00E0276C" w:rsidP="0061486F">
            <w:pPr>
              <w:keepNext/>
              <w:keepLines/>
              <w:outlineLvl w:val="8"/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Registry study</w:t>
            </w:r>
          </w:p>
        </w:tc>
      </w:tr>
      <w:tr w:rsidR="00E0276C" w:rsidRPr="00C249C4" w:rsidTr="0061486F">
        <w:trPr>
          <w:trHeight w:val="405"/>
        </w:trPr>
        <w:tc>
          <w:tcPr>
            <w:tcW w:w="2096" w:type="dxa"/>
            <w:vMerge/>
          </w:tcPr>
          <w:p w:rsidR="00E0276C" w:rsidRPr="00AB49B8" w:rsidRDefault="00E0276C" w:rsidP="0061486F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E0276C" w:rsidRPr="00AB49B8" w:rsidRDefault="00E0276C" w:rsidP="0061486F">
            <w:pPr>
              <w:rPr>
                <w:b/>
                <w:lang w:val="en-US"/>
              </w:rPr>
            </w:pPr>
            <w:r w:rsidRPr="00AB49B8">
              <w:rPr>
                <w:rFonts w:asciiTheme="minorHAnsi" w:hAnsiTheme="minorHAnsi"/>
                <w:b/>
                <w:lang w:val="en-US"/>
              </w:rPr>
              <w:t>Frihagen BMJ 2007</w:t>
            </w:r>
            <w:r w:rsidRPr="00AB49B8">
              <w:rPr>
                <w:rFonts w:asciiTheme="minorHAnsi" w:hAnsiTheme="minorHAnsi"/>
                <w:noProof/>
                <w:vertAlign w:val="superscript"/>
                <w:lang w:val="en-US"/>
              </w:rPr>
              <w:t>6</w:t>
            </w:r>
          </w:p>
        </w:tc>
        <w:tc>
          <w:tcPr>
            <w:tcW w:w="2523" w:type="dxa"/>
            <w:vAlign w:val="center"/>
          </w:tcPr>
          <w:p w:rsidR="00E0276C" w:rsidRPr="00AB49B8" w:rsidRDefault="00E0276C" w:rsidP="0061486F">
            <w:pPr>
              <w:rPr>
                <w:b/>
                <w:lang w:val="en-US"/>
              </w:rPr>
            </w:pPr>
            <w:r w:rsidRPr="00AB49B8">
              <w:rPr>
                <w:rFonts w:asciiTheme="minorHAnsi" w:hAnsiTheme="minorHAnsi"/>
                <w:b/>
                <w:lang w:val="en-US"/>
              </w:rPr>
              <w:t>Tidermark JBJS B 2003</w:t>
            </w:r>
            <w:r w:rsidRPr="00AB49B8">
              <w:rPr>
                <w:rFonts w:asciiTheme="minorHAnsi" w:hAnsiTheme="minorHAnsi"/>
                <w:noProof/>
                <w:vertAlign w:val="superscript"/>
                <w:lang w:val="en-US"/>
              </w:rPr>
              <w:t>7</w:t>
            </w:r>
          </w:p>
        </w:tc>
        <w:tc>
          <w:tcPr>
            <w:tcW w:w="2589" w:type="dxa"/>
            <w:vAlign w:val="center"/>
          </w:tcPr>
          <w:p w:rsidR="00E0276C" w:rsidRPr="00AB49B8" w:rsidRDefault="00E0276C" w:rsidP="0061486F">
            <w:pPr>
              <w:rPr>
                <w:b/>
                <w:lang w:val="en-US"/>
              </w:rPr>
            </w:pPr>
            <w:r w:rsidRPr="00AB49B8">
              <w:rPr>
                <w:rFonts w:asciiTheme="minorHAnsi" w:hAnsiTheme="minorHAnsi"/>
                <w:b/>
                <w:lang w:val="en-US"/>
              </w:rPr>
              <w:t>Gjertsen JBJS A 2010</w:t>
            </w:r>
            <w:r w:rsidRPr="00AB49B8">
              <w:rPr>
                <w:rFonts w:asciiTheme="minorHAnsi" w:hAnsiTheme="minorHAnsi"/>
                <w:noProof/>
                <w:vertAlign w:val="superscript"/>
                <w:lang w:val="en-US"/>
              </w:rPr>
              <w:t>4</w:t>
            </w:r>
          </w:p>
        </w:tc>
      </w:tr>
      <w:tr w:rsidR="00E0276C" w:rsidRPr="00C249C4" w:rsidTr="0061486F">
        <w:trPr>
          <w:trHeight w:val="283"/>
        </w:trPr>
        <w:tc>
          <w:tcPr>
            <w:tcW w:w="2096" w:type="dxa"/>
            <w:vAlign w:val="center"/>
          </w:tcPr>
          <w:p w:rsidR="00E0276C" w:rsidRPr="00AB49B8" w:rsidRDefault="00E0276C" w:rsidP="0061486F">
            <w:pPr>
              <w:rPr>
                <w:b/>
                <w:lang w:val="en-US"/>
              </w:rPr>
            </w:pPr>
            <w:r w:rsidRPr="00AB49B8">
              <w:rPr>
                <w:rFonts w:asciiTheme="minorHAnsi" w:hAnsiTheme="minorHAnsi"/>
                <w:b/>
                <w:lang w:val="en-US"/>
              </w:rPr>
              <w:t>Reoperation rate</w:t>
            </w:r>
          </w:p>
        </w:tc>
        <w:tc>
          <w:tcPr>
            <w:tcW w:w="2265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40% vs 10%</w:t>
            </w:r>
          </w:p>
        </w:tc>
        <w:tc>
          <w:tcPr>
            <w:tcW w:w="2523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 xml:space="preserve">42% vs 4% </w:t>
            </w:r>
          </w:p>
        </w:tc>
        <w:tc>
          <w:tcPr>
            <w:tcW w:w="2589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 xml:space="preserve">23% vs 3% </w:t>
            </w:r>
          </w:p>
        </w:tc>
      </w:tr>
      <w:tr w:rsidR="00E0276C" w:rsidRPr="00C249C4" w:rsidTr="0061486F">
        <w:trPr>
          <w:trHeight w:val="259"/>
        </w:trPr>
        <w:tc>
          <w:tcPr>
            <w:tcW w:w="2096" w:type="dxa"/>
            <w:vAlign w:val="center"/>
          </w:tcPr>
          <w:p w:rsidR="00E0276C" w:rsidRPr="00AB49B8" w:rsidRDefault="00E0276C" w:rsidP="0061486F">
            <w:pPr>
              <w:rPr>
                <w:b/>
                <w:lang w:val="en-US"/>
              </w:rPr>
            </w:pPr>
            <w:r w:rsidRPr="00AB49B8">
              <w:rPr>
                <w:rFonts w:asciiTheme="minorHAnsi" w:hAnsiTheme="minorHAnsi"/>
                <w:b/>
                <w:lang w:val="en-US"/>
              </w:rPr>
              <w:t>Eq5d 12 months</w:t>
            </w:r>
          </w:p>
        </w:tc>
        <w:tc>
          <w:tcPr>
            <w:tcW w:w="2265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0.61 vs 0.72</w:t>
            </w:r>
          </w:p>
        </w:tc>
        <w:tc>
          <w:tcPr>
            <w:tcW w:w="2523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0.63 vs 0.73</w:t>
            </w:r>
          </w:p>
        </w:tc>
        <w:tc>
          <w:tcPr>
            <w:tcW w:w="2589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0.51 vs 0.60</w:t>
            </w:r>
          </w:p>
        </w:tc>
      </w:tr>
      <w:tr w:rsidR="00E0276C" w:rsidRPr="00C249C4" w:rsidTr="0061486F">
        <w:trPr>
          <w:trHeight w:val="277"/>
        </w:trPr>
        <w:tc>
          <w:tcPr>
            <w:tcW w:w="2096" w:type="dxa"/>
            <w:vAlign w:val="center"/>
          </w:tcPr>
          <w:p w:rsidR="00E0276C" w:rsidRPr="00AB49B8" w:rsidRDefault="00E0276C" w:rsidP="0061486F">
            <w:pPr>
              <w:rPr>
                <w:b/>
                <w:lang w:val="en-US"/>
              </w:rPr>
            </w:pPr>
            <w:r w:rsidRPr="00AB49B8">
              <w:rPr>
                <w:rFonts w:asciiTheme="minorHAnsi" w:hAnsiTheme="minorHAnsi"/>
                <w:b/>
                <w:lang w:val="en-US"/>
              </w:rPr>
              <w:t>Functional score*</w:t>
            </w:r>
          </w:p>
        </w:tc>
        <w:tc>
          <w:tcPr>
            <w:tcW w:w="2265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66 vs 73</w:t>
            </w:r>
          </w:p>
        </w:tc>
        <w:tc>
          <w:tcPr>
            <w:tcW w:w="2523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13 vs 15</w:t>
            </w:r>
          </w:p>
        </w:tc>
        <w:tc>
          <w:tcPr>
            <w:tcW w:w="2589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23 vs 35</w:t>
            </w:r>
          </w:p>
        </w:tc>
      </w:tr>
      <w:tr w:rsidR="00E0276C" w:rsidRPr="00C249C4" w:rsidTr="0061486F">
        <w:trPr>
          <w:trHeight w:val="267"/>
        </w:trPr>
        <w:tc>
          <w:tcPr>
            <w:tcW w:w="2096" w:type="dxa"/>
            <w:vAlign w:val="center"/>
          </w:tcPr>
          <w:p w:rsidR="00E0276C" w:rsidRPr="00AB49B8" w:rsidRDefault="00E0276C" w:rsidP="0061486F">
            <w:pPr>
              <w:rPr>
                <w:b/>
                <w:lang w:val="en-US"/>
              </w:rPr>
            </w:pPr>
            <w:r w:rsidRPr="00AB49B8">
              <w:rPr>
                <w:rFonts w:asciiTheme="minorHAnsi" w:hAnsiTheme="minorHAnsi"/>
                <w:b/>
                <w:lang w:val="en-US"/>
              </w:rPr>
              <w:t>Mortality</w:t>
            </w:r>
          </w:p>
        </w:tc>
        <w:tc>
          <w:tcPr>
            <w:tcW w:w="2265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 xml:space="preserve">26% vs 21% </w:t>
            </w:r>
          </w:p>
        </w:tc>
        <w:tc>
          <w:tcPr>
            <w:tcW w:w="2523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>10% vs 19%</w:t>
            </w:r>
          </w:p>
        </w:tc>
        <w:tc>
          <w:tcPr>
            <w:tcW w:w="2589" w:type="dxa"/>
            <w:vAlign w:val="center"/>
          </w:tcPr>
          <w:p w:rsidR="00E0276C" w:rsidRPr="00AB49B8" w:rsidRDefault="00E0276C" w:rsidP="0061486F">
            <w:pPr>
              <w:rPr>
                <w:lang w:val="en-US"/>
              </w:rPr>
            </w:pPr>
            <w:r w:rsidRPr="00AB49B8">
              <w:rPr>
                <w:rFonts w:asciiTheme="minorHAnsi" w:hAnsiTheme="minorHAnsi"/>
                <w:lang w:val="en-US"/>
              </w:rPr>
              <w:t xml:space="preserve">25% vs 27% </w:t>
            </w:r>
          </w:p>
        </w:tc>
      </w:tr>
    </w:tbl>
    <w:p w:rsidR="00E0276C" w:rsidRDefault="00E0276C" w:rsidP="00E0276C">
      <w:r w:rsidRPr="00AB49B8">
        <w:rPr>
          <w:rFonts w:ascii="Times New Roman" w:hAnsi="Times New Roman" w:cs="Times New Roman"/>
          <w:lang w:val="en-US"/>
        </w:rPr>
        <w:t>*</w:t>
      </w:r>
      <w:r w:rsidRPr="00AB49B8">
        <w:rPr>
          <w:rFonts w:ascii="Times New Roman" w:hAnsi="Times New Roman" w:cs="Times New Roman"/>
          <w:sz w:val="20"/>
          <w:szCs w:val="20"/>
          <w:lang w:val="en-US"/>
        </w:rPr>
        <w:t>Adapted from each publication</w:t>
      </w:r>
    </w:p>
    <w:p w:rsidR="00E0276C" w:rsidRPr="00AB49B8" w:rsidRDefault="00E0276C" w:rsidP="0019032C">
      <w:pPr>
        <w:rPr>
          <w:rFonts w:ascii="Times New Roman" w:hAnsi="Times New Roman" w:cs="Times New Roman"/>
          <w:lang w:val="en-US"/>
        </w:rPr>
      </w:pPr>
    </w:p>
    <w:p w:rsidR="0019032C" w:rsidRPr="005428AF" w:rsidRDefault="0019032C" w:rsidP="0019032C">
      <w:pPr>
        <w:rPr>
          <w:rFonts w:ascii="Calibri" w:hAnsi="Calibri"/>
          <w:b/>
        </w:rPr>
      </w:pPr>
      <w:r w:rsidRPr="005428AF">
        <w:rPr>
          <w:rFonts w:ascii="Calibri" w:hAnsi="Calibri"/>
          <w:b/>
        </w:rPr>
        <w:br w:type="page"/>
      </w:r>
    </w:p>
    <w:p w:rsidR="00B74F1B" w:rsidRDefault="00B74F1B"/>
    <w:sectPr w:rsidR="00B74F1B" w:rsidSect="00B7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0B" w:rsidRDefault="000A760B" w:rsidP="0019032C">
      <w:r>
        <w:separator/>
      </w:r>
    </w:p>
  </w:endnote>
  <w:endnote w:type="continuationSeparator" w:id="0">
    <w:p w:rsidR="000A760B" w:rsidRDefault="000A760B" w:rsidP="0019032C">
      <w:r>
        <w:continuationSeparator/>
      </w:r>
    </w:p>
  </w:endnote>
  <w:endnote w:id="1">
    <w:p w:rsidR="0019032C" w:rsidRPr="00AC69DC" w:rsidRDefault="0019032C" w:rsidP="0019032C">
      <w:pPr>
        <w:pStyle w:val="EndnoteText"/>
        <w:rPr>
          <w:rFonts w:ascii="Times New Roman" w:hAnsi="Times New Roman" w:cs="Times New Roman"/>
        </w:rPr>
      </w:pPr>
      <w:r w:rsidRPr="00AC69DC">
        <w:rPr>
          <w:rStyle w:val="EndnoteReference"/>
          <w:rFonts w:ascii="Times New Roman" w:hAnsi="Times New Roman" w:cs="Times New Roman"/>
        </w:rPr>
        <w:endnoteRef/>
      </w:r>
      <w:r w:rsidRPr="00AC69DC">
        <w:rPr>
          <w:rFonts w:ascii="Times New Roman" w:hAnsi="Times New Roman" w:cs="Times New Roman"/>
        </w:rPr>
        <w:t xml:space="preserve"> Website user guide V8.The national hip fracture database. Royal College of Physicians. Available at: </w:t>
      </w:r>
      <w:hyperlink r:id="rId1" w:history="1">
        <w:r w:rsidRPr="00AC69DC">
          <w:rPr>
            <w:rStyle w:val="Hyperlink"/>
            <w:rFonts w:ascii="Times New Roman" w:hAnsi="Times New Roman" w:cs="Times New Roman"/>
          </w:rPr>
          <w:t>http://www.nhfd.co.uk/20/hipfractureR.nsf/ResourceDisplay</w:t>
        </w:r>
      </w:hyperlink>
      <w:r w:rsidRPr="00AC69DC">
        <w:rPr>
          <w:rFonts w:ascii="Times New Roman" w:hAnsi="Times New Roman" w:cs="Times New Roman"/>
        </w:rPr>
        <w:t>. Last accessed: August 4, 2015.</w:t>
      </w:r>
    </w:p>
    <w:p w:rsidR="0019032C" w:rsidRPr="00AC69DC" w:rsidRDefault="0019032C" w:rsidP="0019032C">
      <w:pPr>
        <w:pStyle w:val="EndnoteText"/>
        <w:rPr>
          <w:rFonts w:ascii="Times New Roman" w:hAnsi="Times New Roman" w:cs="Times New Roman"/>
        </w:rPr>
      </w:pPr>
    </w:p>
  </w:endnote>
  <w:endnote w:id="2">
    <w:p w:rsidR="0019032C" w:rsidRDefault="0019032C" w:rsidP="0019032C">
      <w:pPr>
        <w:pStyle w:val="EndnoteText"/>
      </w:pPr>
      <w:r w:rsidRPr="00AC69DC">
        <w:rPr>
          <w:rStyle w:val="EndnoteReference"/>
          <w:rFonts w:ascii="Times New Roman" w:hAnsi="Times New Roman" w:cs="Times New Roman"/>
        </w:rPr>
        <w:endnoteRef/>
      </w:r>
      <w:r w:rsidRPr="00AC69DC">
        <w:rPr>
          <w:rFonts w:ascii="Times New Roman" w:hAnsi="Times New Roman" w:cs="Times New Roman"/>
        </w:rPr>
        <w:t xml:space="preserve"> NICE commissioning guides.The national hip fracture database. Royal College of Physicians. Available at: https://www.nice.org.uk/guidance/cmg46/chapter/33-quality-measures. Last accessed: August 4, 2015.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0B" w:rsidRDefault="000A760B" w:rsidP="0019032C">
      <w:r>
        <w:separator/>
      </w:r>
    </w:p>
  </w:footnote>
  <w:footnote w:type="continuationSeparator" w:id="0">
    <w:p w:rsidR="000A760B" w:rsidRDefault="000A760B" w:rsidP="00190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2AA"/>
    <w:multiLevelType w:val="hybridMultilevel"/>
    <w:tmpl w:val="7C14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E475F"/>
    <w:multiLevelType w:val="hybridMultilevel"/>
    <w:tmpl w:val="96F2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6BB"/>
    <w:rsid w:val="000A760B"/>
    <w:rsid w:val="0019032C"/>
    <w:rsid w:val="00207E79"/>
    <w:rsid w:val="003C2826"/>
    <w:rsid w:val="00660114"/>
    <w:rsid w:val="0070114D"/>
    <w:rsid w:val="007636BB"/>
    <w:rsid w:val="00B74F1B"/>
    <w:rsid w:val="00E0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2C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19032C"/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9032C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903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0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fd.co.uk/20/hipfractureR.nsf/ResourceDis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Storm</dc:creator>
  <cp:lastModifiedBy>Krista Storm</cp:lastModifiedBy>
  <cp:revision>4</cp:revision>
  <dcterms:created xsi:type="dcterms:W3CDTF">2015-09-05T16:19:00Z</dcterms:created>
  <dcterms:modified xsi:type="dcterms:W3CDTF">2015-09-17T13:15:00Z</dcterms:modified>
</cp:coreProperties>
</file>