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89" w:rsidRDefault="0046031F" w:rsidP="00A211C7">
      <w:pPr>
        <w:rPr>
          <w:b/>
        </w:rPr>
      </w:pPr>
      <w:r>
        <w:rPr>
          <w:b/>
        </w:rPr>
        <w:t xml:space="preserve">Appendix, </w:t>
      </w:r>
      <w:bookmarkStart w:id="0" w:name="_GoBack"/>
      <w:bookmarkEnd w:id="0"/>
      <w:r>
        <w:rPr>
          <w:b/>
        </w:rPr>
        <w:t>Supplemental Digital Content 2.</w:t>
      </w:r>
    </w:p>
    <w:p w:rsidR="0046031F" w:rsidRDefault="0046031F" w:rsidP="00A211C7">
      <w:pPr>
        <w:rPr>
          <w:b/>
        </w:rPr>
      </w:pPr>
    </w:p>
    <w:p w:rsidR="00673B89" w:rsidRDefault="00673B89" w:rsidP="00673B89">
      <w:pPr>
        <w:jc w:val="center"/>
        <w:rPr>
          <w:b/>
        </w:rPr>
      </w:pPr>
      <w:r>
        <w:rPr>
          <w:b/>
        </w:rPr>
        <w:t>FUNCTIONAL OUTCOMES AFTER TIBIAL NAILING: REPEATED MEASURES ANALYSIS</w:t>
      </w:r>
    </w:p>
    <w:p w:rsidR="00673B89" w:rsidRDefault="00673B89" w:rsidP="00A211C7"/>
    <w:p w:rsidR="00A211C7" w:rsidRDefault="00A211C7" w:rsidP="00A211C7">
      <w:r>
        <w:t xml:space="preserve">Values for repeated measures analysis. HRQL at 2-weeks, 3-, 6-, and 12-months were the dependent variables.  Treatment, time, treatment by time interaction, baseline HRQL, open vs closed, open vs closed by time interaction, </w:t>
      </w:r>
      <w:r w:rsidRPr="00686126">
        <w:rPr>
          <w:b/>
        </w:rPr>
        <w:t xml:space="preserve">open vs closed by treatment interaction </w:t>
      </w:r>
      <w:r>
        <w:t xml:space="preserve">and </w:t>
      </w:r>
      <w:proofErr w:type="spellStart"/>
      <w:r>
        <w:t>centre</w:t>
      </w:r>
      <w:proofErr w:type="spellEnd"/>
      <w:r>
        <w:t xml:space="preserve"> were the independent variables.  Only patients with the HRQL value for at least one of 3-, 6-, or 12-months are included in the analyses.  </w:t>
      </w:r>
    </w:p>
    <w:p w:rsidR="00B064A0" w:rsidRDefault="00B064A0" w:rsidP="000E35CA"/>
    <w:p w:rsidR="00A211C7" w:rsidRPr="0003323B" w:rsidRDefault="00A211C7" w:rsidP="00A211C7">
      <w:pPr>
        <w:rPr>
          <w:b/>
        </w:rPr>
      </w:pPr>
      <w:r>
        <w:rPr>
          <w:b/>
        </w:rPr>
        <w:t>SF-36 PCS</w:t>
      </w:r>
      <w:r w:rsidRPr="0003323B">
        <w:rPr>
          <w:b/>
        </w:rPr>
        <w:t>.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1785"/>
        <w:gridCol w:w="1383"/>
        <w:gridCol w:w="2188"/>
        <w:gridCol w:w="2132"/>
        <w:gridCol w:w="2132"/>
      </w:tblGrid>
      <w:tr w:rsidR="00A211C7" w:rsidRPr="00C53D5D" w:rsidTr="000F1B80">
        <w:tc>
          <w:tcPr>
            <w:tcW w:w="1785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N</w:t>
            </w:r>
          </w:p>
        </w:tc>
        <w:tc>
          <w:tcPr>
            <w:tcW w:w="2188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C53D5D">
              <w:rPr>
                <w:b/>
              </w:rPr>
              <w:t>Reamed</w:t>
            </w:r>
          </w:p>
        </w:tc>
        <w:tc>
          <w:tcPr>
            <w:tcW w:w="2132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proofErr w:type="spellStart"/>
            <w:r w:rsidRPr="00C53D5D">
              <w:rPr>
                <w:b/>
              </w:rPr>
              <w:t>Nonreamed</w:t>
            </w:r>
            <w:proofErr w:type="spellEnd"/>
          </w:p>
        </w:tc>
        <w:tc>
          <w:tcPr>
            <w:tcW w:w="2132" w:type="dxa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A211C7" w:rsidTr="000F1B80">
        <w:tc>
          <w:tcPr>
            <w:tcW w:w="1785" w:type="dxa"/>
            <w:vMerge/>
          </w:tcPr>
          <w:p w:rsidR="00A211C7" w:rsidRPr="00C03F8B" w:rsidRDefault="00A211C7" w:rsidP="000F1B80">
            <w:pPr>
              <w:rPr>
                <w:b/>
              </w:rPr>
            </w:pPr>
          </w:p>
        </w:tc>
        <w:tc>
          <w:tcPr>
            <w:tcW w:w="1383" w:type="dxa"/>
            <w:vMerge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Mean (95% CI)</w:t>
            </w:r>
          </w:p>
        </w:tc>
      </w:tr>
      <w:tr w:rsidR="00A211C7" w:rsidTr="000F1B80">
        <w:tc>
          <w:tcPr>
            <w:tcW w:w="1785" w:type="dxa"/>
          </w:tcPr>
          <w:p w:rsidR="00A211C7" w:rsidRPr="00C03F8B" w:rsidRDefault="00A211C7" w:rsidP="000F1B80">
            <w:pPr>
              <w:rPr>
                <w:b/>
              </w:rPr>
            </w:pPr>
            <w:r>
              <w:rPr>
                <w:b/>
              </w:rPr>
              <w:t>All patients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Pr="00047BED" w:rsidRDefault="00A211C7" w:rsidP="000F1B80">
            <w:r w:rsidRPr="00047BED">
              <w:t>2-weeks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826</w:t>
            </w:r>
          </w:p>
        </w:tc>
        <w:tc>
          <w:tcPr>
            <w:tcW w:w="2188" w:type="dxa"/>
          </w:tcPr>
          <w:p w:rsidR="00A211C7" w:rsidRPr="00047BED" w:rsidRDefault="00A211C7" w:rsidP="000F1B80">
            <w:pPr>
              <w:jc w:val="center"/>
            </w:pPr>
            <w:r>
              <w:t>27.6 (26.9, 28.3)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28.0 (27.3, 28.8)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0.42 (-0.61, 1.46)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943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34.1 (33.3, 34.9)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33.3 (32.4, 34.1)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-0.84 (-1.98, 0.30)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813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38.7 (37.8, 39.7)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39.3 (38.4, 40.3)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0.57 (-0.76, 1.91)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721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42.4 (41.4, 43.4)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43.4 (42.4, 44.4)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0.98 (-0.43, 2.38)</w:t>
            </w:r>
          </w:p>
        </w:tc>
      </w:tr>
      <w:tr w:rsidR="00A211C7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OPEN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</w:tr>
      <w:tr w:rsidR="00A211C7" w:rsidTr="000F1B80">
        <w:tc>
          <w:tcPr>
            <w:tcW w:w="1785" w:type="dxa"/>
          </w:tcPr>
          <w:p w:rsidR="00A211C7" w:rsidRPr="00047BED" w:rsidRDefault="00A211C7" w:rsidP="000F1B80">
            <w:r w:rsidRPr="00047BED">
              <w:t>2-weeks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228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26.7 (25.5, 28.0)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28.2 (26.9, 29.5)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1.47 (-0.18, 3.12)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273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31.8 (30.5, 33.1)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32.0 (30.6, 33.4)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0.20 (-1.48, 1.88)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237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36.0 (34.5, 37.5)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37.6 (36.1, 39.1)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1.61 (-0.20, 3.43)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213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38.5 (36.9, 40.1)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40.5 (38.9, 42.2)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2.02 (0.15, 3.89)</w:t>
            </w:r>
          </w:p>
        </w:tc>
      </w:tr>
      <w:tr w:rsidR="00A211C7" w:rsidRPr="00BD46F1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CLOSED</w:t>
            </w:r>
          </w:p>
        </w:tc>
        <w:tc>
          <w:tcPr>
            <w:tcW w:w="1383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Pr="00047BED" w:rsidRDefault="00A211C7" w:rsidP="000F1B80">
            <w:r w:rsidRPr="00047BED">
              <w:t>2-weeks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598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27.9 (27.1, 28.8)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27.9 (27.1, 28.8)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0.004 (-1.15, 1.16)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670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35.0 (34.1, 36.0)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33.8 (32.8, 34.7)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-1.26 (-2.53, 0.008)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576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39.9 (38.8, 40.9)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40.0 (38.9, 41.1)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0.15 (-1.30, 1.60)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508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44.0 (42.9, 45.1)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44.5 (43.4, 45.7)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0.56 (-0.96, 2.07)</w:t>
            </w:r>
          </w:p>
        </w:tc>
      </w:tr>
    </w:tbl>
    <w:p w:rsidR="00A211C7" w:rsidRDefault="00A211C7" w:rsidP="00A211C7"/>
    <w:p w:rsidR="00673B89" w:rsidRPr="00673B89" w:rsidRDefault="00673B89" w:rsidP="00A211C7">
      <w:pPr>
        <w:rPr>
          <w:b/>
        </w:rPr>
      </w:pPr>
      <w:r w:rsidRPr="00673B89">
        <w:rPr>
          <w:b/>
        </w:rPr>
        <w:t>SF-36 PCS: ANALYSIS OF INTERACTIONS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211C7" w:rsidRPr="00686126" w:rsidTr="000F1B80"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</w:p>
        </w:tc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  <w:r w:rsidRPr="00686126">
              <w:rPr>
                <w:b/>
              </w:rPr>
              <w:t>p-value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 xml:space="preserve">Treatment </w:t>
            </w:r>
          </w:p>
        </w:tc>
        <w:tc>
          <w:tcPr>
            <w:tcW w:w="4428" w:type="dxa"/>
          </w:tcPr>
          <w:p w:rsidR="00A211C7" w:rsidRDefault="00A211C7" w:rsidP="000F1B80">
            <w:r>
              <w:t>0.80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Time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Treatment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0.040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vs closed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treatment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0.11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</w:tbl>
    <w:p w:rsidR="00103A08" w:rsidRDefault="00103A08" w:rsidP="003172FF"/>
    <w:p w:rsidR="00A211C7" w:rsidRDefault="00A211C7" w:rsidP="003172FF"/>
    <w:p w:rsidR="00A211C7" w:rsidRPr="0003323B" w:rsidRDefault="00A211C7" w:rsidP="00A211C7">
      <w:pPr>
        <w:rPr>
          <w:b/>
        </w:rPr>
      </w:pPr>
      <w:r>
        <w:rPr>
          <w:b/>
        </w:rPr>
        <w:t>SF-36 MCS</w:t>
      </w:r>
      <w:r w:rsidRPr="0003323B">
        <w:rPr>
          <w:b/>
        </w:rPr>
        <w:t>.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1785"/>
        <w:gridCol w:w="1383"/>
        <w:gridCol w:w="2188"/>
        <w:gridCol w:w="2132"/>
        <w:gridCol w:w="2132"/>
      </w:tblGrid>
      <w:tr w:rsidR="00A211C7" w:rsidRPr="00C53D5D" w:rsidTr="000F1B80">
        <w:tc>
          <w:tcPr>
            <w:tcW w:w="1785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N</w:t>
            </w:r>
          </w:p>
        </w:tc>
        <w:tc>
          <w:tcPr>
            <w:tcW w:w="2188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C53D5D">
              <w:rPr>
                <w:b/>
              </w:rPr>
              <w:t>Reamed</w:t>
            </w:r>
          </w:p>
        </w:tc>
        <w:tc>
          <w:tcPr>
            <w:tcW w:w="2132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proofErr w:type="spellStart"/>
            <w:r w:rsidRPr="00C53D5D">
              <w:rPr>
                <w:b/>
              </w:rPr>
              <w:t>Nonreamed</w:t>
            </w:r>
            <w:proofErr w:type="spellEnd"/>
          </w:p>
        </w:tc>
        <w:tc>
          <w:tcPr>
            <w:tcW w:w="2132" w:type="dxa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A211C7" w:rsidTr="000F1B80">
        <w:tc>
          <w:tcPr>
            <w:tcW w:w="1785" w:type="dxa"/>
            <w:vMerge/>
          </w:tcPr>
          <w:p w:rsidR="00A211C7" w:rsidRPr="00C03F8B" w:rsidRDefault="00A211C7" w:rsidP="000F1B80">
            <w:pPr>
              <w:rPr>
                <w:b/>
              </w:rPr>
            </w:pPr>
          </w:p>
        </w:tc>
        <w:tc>
          <w:tcPr>
            <w:tcW w:w="1383" w:type="dxa"/>
            <w:vMerge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Mean (95% CI)</w:t>
            </w:r>
          </w:p>
        </w:tc>
      </w:tr>
      <w:tr w:rsidR="00A211C7" w:rsidTr="000F1B80">
        <w:tc>
          <w:tcPr>
            <w:tcW w:w="1785" w:type="dxa"/>
          </w:tcPr>
          <w:p w:rsidR="00A211C7" w:rsidRPr="00C03F8B" w:rsidRDefault="00A211C7" w:rsidP="000F1B80">
            <w:pPr>
              <w:rPr>
                <w:b/>
              </w:rPr>
            </w:pPr>
            <w:r>
              <w:rPr>
                <w:b/>
              </w:rPr>
              <w:t>All patients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Pr="00047BED" w:rsidRDefault="00A211C7" w:rsidP="000F1B80">
            <w:r w:rsidRPr="00047BED">
              <w:t>2-weeks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826</w:t>
            </w:r>
          </w:p>
        </w:tc>
        <w:tc>
          <w:tcPr>
            <w:tcW w:w="2188" w:type="dxa"/>
          </w:tcPr>
          <w:p w:rsidR="00A211C7" w:rsidRPr="00047BED" w:rsidRDefault="00A211C7" w:rsidP="000F1B80">
            <w:pPr>
              <w:jc w:val="center"/>
            </w:pPr>
            <w:r>
              <w:t>45.0 (43.9, 46.2)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46.0 (44.9, 47.1)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0.94 (-0.64, 2.52)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943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50.4 (49.3, 51.4)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50.7 (49.6, 51.7)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0.26 (-1.23, 1.75)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lastRenderedPageBreak/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813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50.6 (49.6, 51.7)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51.3 (50.3, 52.4)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0.73 (-0.76, 2.22)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721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51.6 (50.6, 52.7)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51.9 (50.8, 52.9)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0.25 (-1.22, 1.72)</w:t>
            </w:r>
          </w:p>
        </w:tc>
      </w:tr>
      <w:tr w:rsidR="00A211C7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OPEN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</w:tr>
      <w:tr w:rsidR="00A211C7" w:rsidTr="000F1B80">
        <w:tc>
          <w:tcPr>
            <w:tcW w:w="1785" w:type="dxa"/>
          </w:tcPr>
          <w:p w:rsidR="00A211C7" w:rsidRPr="00047BED" w:rsidRDefault="00A211C7" w:rsidP="000F1B80">
            <w:r w:rsidRPr="00047BED">
              <w:t>2-weeks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228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44.8 (42.9, 46.8)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45.2 (43.3, 47.2)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0.41 (-1.96, 2.78)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273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48.7 (46.9, 50.5)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48.4 (46.6, 50.3)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-0.27 (-2.57, 2.02)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237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49.5 (47.7, 51.3)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49.7 (47.9, 51.6)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0.20 (-2.10, 2.50)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213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50.7 (48.9, 52.5)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50.4 (48.6, 52.2)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-0.28 (-2.57, 2.01)</w:t>
            </w:r>
          </w:p>
        </w:tc>
      </w:tr>
      <w:tr w:rsidR="00A211C7" w:rsidRPr="00BD46F1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CLOSED</w:t>
            </w:r>
          </w:p>
        </w:tc>
        <w:tc>
          <w:tcPr>
            <w:tcW w:w="1383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Pr="00047BED" w:rsidRDefault="00A211C7" w:rsidP="000F1B80">
            <w:r w:rsidRPr="00047BED">
              <w:t>2-weeks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598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45.1 (43.9, 46.4)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46.3 (45.0, 47.6)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1.16 (-0.58, 2.89)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670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51.1 (49.9, 52.3)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51.5 (50.3, 52.8)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0.47 (-1.19, 2.14)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576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51.0 (49.8, 52.2)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52.0 (50.8, 53.2)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0.95 (-0.72, 2.61)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508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52.0 (50.8, 53.2)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52.5 (51.3, 53.7)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0.47 (-1.18, 2.11)</w:t>
            </w:r>
          </w:p>
        </w:tc>
      </w:tr>
    </w:tbl>
    <w:p w:rsidR="00673B89" w:rsidRDefault="00673B89" w:rsidP="00673B89"/>
    <w:p w:rsidR="00673B89" w:rsidRPr="00673B89" w:rsidRDefault="00673B89" w:rsidP="00673B89">
      <w:pPr>
        <w:rPr>
          <w:b/>
        </w:rPr>
      </w:pPr>
      <w:r w:rsidRPr="00673B89">
        <w:rPr>
          <w:b/>
        </w:rPr>
        <w:t>SF-36 MCS: ANALYSIS OF INTERACTIONS</w:t>
      </w:r>
    </w:p>
    <w:p w:rsidR="00A211C7" w:rsidRDefault="00A211C7" w:rsidP="00A211C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211C7" w:rsidRPr="00686126" w:rsidTr="000F1B80"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</w:p>
        </w:tc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  <w:r w:rsidRPr="00686126">
              <w:rPr>
                <w:b/>
              </w:rPr>
              <w:t>p-value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 xml:space="preserve">Treatment </w:t>
            </w:r>
          </w:p>
        </w:tc>
        <w:tc>
          <w:tcPr>
            <w:tcW w:w="4428" w:type="dxa"/>
          </w:tcPr>
          <w:p w:rsidR="00A211C7" w:rsidRDefault="00A211C7" w:rsidP="000F1B80">
            <w:r>
              <w:t>0.27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Time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Treatment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0.77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vs closed</w:t>
            </w:r>
          </w:p>
        </w:tc>
        <w:tc>
          <w:tcPr>
            <w:tcW w:w="4428" w:type="dxa"/>
          </w:tcPr>
          <w:p w:rsidR="00A211C7" w:rsidRDefault="00A211C7" w:rsidP="000F1B80">
            <w:r>
              <w:t>0.01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treatment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0.56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0.17</w:t>
            </w:r>
          </w:p>
        </w:tc>
      </w:tr>
    </w:tbl>
    <w:p w:rsidR="00A211C7" w:rsidRDefault="00A211C7" w:rsidP="003172FF"/>
    <w:p w:rsidR="00A211C7" w:rsidRDefault="00A211C7" w:rsidP="003172FF"/>
    <w:p w:rsidR="00A211C7" w:rsidRPr="0003323B" w:rsidRDefault="00A211C7" w:rsidP="00A211C7">
      <w:pPr>
        <w:rPr>
          <w:b/>
        </w:rPr>
      </w:pPr>
      <w:r>
        <w:rPr>
          <w:b/>
        </w:rPr>
        <w:t>SMFA Dysfunction</w:t>
      </w:r>
      <w:r w:rsidRPr="0003323B">
        <w:rPr>
          <w:b/>
        </w:rPr>
        <w:t>.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1785"/>
        <w:gridCol w:w="1383"/>
        <w:gridCol w:w="2188"/>
        <w:gridCol w:w="2132"/>
        <w:gridCol w:w="2132"/>
      </w:tblGrid>
      <w:tr w:rsidR="00A211C7" w:rsidRPr="00C53D5D" w:rsidTr="000F1B80">
        <w:tc>
          <w:tcPr>
            <w:tcW w:w="1785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N</w:t>
            </w:r>
          </w:p>
        </w:tc>
        <w:tc>
          <w:tcPr>
            <w:tcW w:w="2188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C53D5D">
              <w:rPr>
                <w:b/>
              </w:rPr>
              <w:t>Reamed</w:t>
            </w:r>
          </w:p>
        </w:tc>
        <w:tc>
          <w:tcPr>
            <w:tcW w:w="2132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proofErr w:type="spellStart"/>
            <w:r w:rsidRPr="00C53D5D">
              <w:rPr>
                <w:b/>
              </w:rPr>
              <w:t>Nonreamed</w:t>
            </w:r>
            <w:proofErr w:type="spellEnd"/>
          </w:p>
        </w:tc>
        <w:tc>
          <w:tcPr>
            <w:tcW w:w="2132" w:type="dxa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A211C7" w:rsidTr="000F1B80">
        <w:tc>
          <w:tcPr>
            <w:tcW w:w="1785" w:type="dxa"/>
            <w:vMerge/>
          </w:tcPr>
          <w:p w:rsidR="00A211C7" w:rsidRPr="00C03F8B" w:rsidRDefault="00A211C7" w:rsidP="000F1B80">
            <w:pPr>
              <w:rPr>
                <w:b/>
              </w:rPr>
            </w:pPr>
          </w:p>
        </w:tc>
        <w:tc>
          <w:tcPr>
            <w:tcW w:w="1383" w:type="dxa"/>
            <w:vMerge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Mean (95% CI)</w:t>
            </w:r>
          </w:p>
        </w:tc>
      </w:tr>
      <w:tr w:rsidR="00A211C7" w:rsidTr="000F1B80">
        <w:tc>
          <w:tcPr>
            <w:tcW w:w="1785" w:type="dxa"/>
          </w:tcPr>
          <w:p w:rsidR="00A211C7" w:rsidRPr="00C03F8B" w:rsidRDefault="00A211C7" w:rsidP="000F1B80">
            <w:pPr>
              <w:rPr>
                <w:b/>
              </w:rPr>
            </w:pPr>
            <w:r>
              <w:rPr>
                <w:b/>
              </w:rPr>
              <w:t>All patients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893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31.0 (29.5, 32.5)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32.6 (31.0, 34.1)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1.55 (-0.60, 3.70)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776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23.4 (21.8, 25.0)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22.8 (21.2, 24.4)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-0.60 (-2.84, 1.63)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689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18.2 (16.7, 19.8)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17.4 (15.8, 18.9)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-0.86 (-3.08, 1.36)</w:t>
            </w:r>
          </w:p>
        </w:tc>
      </w:tr>
      <w:tr w:rsidR="00A211C7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OPEN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262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35.7 (33.0, 38.5)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36.0 (33.2, 38.7)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0.25 (-3.39, 3.88)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232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28.0 (25.2, 30.8)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26.1 (23.3, 28.9)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-1.91 (-5.58, 1.76)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205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22.3 (19.5, 25.1)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20.1 (17.4, 22.9)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-2.17 (-5.84, 1.50)</w:t>
            </w:r>
          </w:p>
        </w:tc>
      </w:tr>
      <w:tr w:rsidR="00A211C7" w:rsidRPr="00BD46F1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CLOSED</w:t>
            </w:r>
          </w:p>
        </w:tc>
        <w:tc>
          <w:tcPr>
            <w:tcW w:w="1383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631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29.0 (27.3, 30.8)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31.1 (29.3, 33.0)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2.10 (-0.40, 4.59)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544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21.4 (19.6, 23.3)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21.4 (19.5, 23.3)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-0.06 (-2.63, 2.52)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484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16.5 (14.7, 18.3)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16.2 (14.3, 18.1)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-0.32 (-2.88, 2.24)</w:t>
            </w:r>
          </w:p>
        </w:tc>
      </w:tr>
    </w:tbl>
    <w:p w:rsidR="00A211C7" w:rsidRDefault="00A211C7" w:rsidP="00A211C7"/>
    <w:p w:rsidR="00673B89" w:rsidRPr="00673B89" w:rsidRDefault="00673B89" w:rsidP="00673B89">
      <w:pPr>
        <w:rPr>
          <w:b/>
        </w:rPr>
      </w:pPr>
      <w:r w:rsidRPr="00673B89">
        <w:rPr>
          <w:b/>
        </w:rPr>
        <w:t>SMFA DYSFUNCTION: ANALYSIS OF INTERACTIONS</w:t>
      </w:r>
    </w:p>
    <w:p w:rsidR="00673B89" w:rsidRDefault="00673B89" w:rsidP="00A211C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211C7" w:rsidRPr="00686126" w:rsidTr="000F1B80"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</w:p>
        </w:tc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  <w:r w:rsidRPr="00686126">
              <w:rPr>
                <w:b/>
              </w:rPr>
              <w:t>p-value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 xml:space="preserve">Treatment </w:t>
            </w:r>
          </w:p>
        </w:tc>
        <w:tc>
          <w:tcPr>
            <w:tcW w:w="4428" w:type="dxa"/>
          </w:tcPr>
          <w:p w:rsidR="00A211C7" w:rsidRDefault="00A211C7" w:rsidP="000F1B80">
            <w:r>
              <w:t>0.63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Time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lastRenderedPageBreak/>
              <w:t>Treatment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0.03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vs closed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treatment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0.39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0.65</w:t>
            </w:r>
          </w:p>
        </w:tc>
      </w:tr>
    </w:tbl>
    <w:p w:rsidR="00A211C7" w:rsidRDefault="00A211C7" w:rsidP="003172FF"/>
    <w:p w:rsidR="00A211C7" w:rsidRDefault="00A211C7" w:rsidP="003172FF"/>
    <w:p w:rsidR="00A211C7" w:rsidRPr="0003323B" w:rsidRDefault="00A211C7" w:rsidP="00A211C7">
      <w:pPr>
        <w:rPr>
          <w:b/>
        </w:rPr>
      </w:pPr>
      <w:r>
        <w:rPr>
          <w:b/>
        </w:rPr>
        <w:t>SMFA Bother</w:t>
      </w:r>
      <w:r w:rsidRPr="0003323B">
        <w:rPr>
          <w:b/>
        </w:rPr>
        <w:t>.</w:t>
      </w:r>
    </w:p>
    <w:tbl>
      <w:tblPr>
        <w:tblStyle w:val="TableGrid"/>
        <w:tblW w:w="9620" w:type="dxa"/>
        <w:tblLayout w:type="fixed"/>
        <w:tblLook w:val="01E0" w:firstRow="1" w:lastRow="1" w:firstColumn="1" w:lastColumn="1" w:noHBand="0" w:noVBand="0"/>
      </w:tblPr>
      <w:tblGrid>
        <w:gridCol w:w="1785"/>
        <w:gridCol w:w="1383"/>
        <w:gridCol w:w="2188"/>
        <w:gridCol w:w="2132"/>
        <w:gridCol w:w="2132"/>
      </w:tblGrid>
      <w:tr w:rsidR="00A211C7" w:rsidRPr="00C53D5D" w:rsidTr="000F1B80">
        <w:tc>
          <w:tcPr>
            <w:tcW w:w="1785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N</w:t>
            </w:r>
          </w:p>
        </w:tc>
        <w:tc>
          <w:tcPr>
            <w:tcW w:w="2188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 w:rsidRPr="00C53D5D">
              <w:rPr>
                <w:b/>
              </w:rPr>
              <w:t>Reamed</w:t>
            </w:r>
          </w:p>
        </w:tc>
        <w:tc>
          <w:tcPr>
            <w:tcW w:w="2132" w:type="dxa"/>
            <w:vAlign w:val="center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proofErr w:type="spellStart"/>
            <w:r w:rsidRPr="00C53D5D">
              <w:rPr>
                <w:b/>
              </w:rPr>
              <w:t>Nonreamed</w:t>
            </w:r>
            <w:proofErr w:type="spellEnd"/>
          </w:p>
        </w:tc>
        <w:tc>
          <w:tcPr>
            <w:tcW w:w="2132" w:type="dxa"/>
          </w:tcPr>
          <w:p w:rsidR="00A211C7" w:rsidRPr="00C53D5D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Difference</w:t>
            </w:r>
          </w:p>
        </w:tc>
      </w:tr>
      <w:tr w:rsidR="00A211C7" w:rsidTr="000F1B80">
        <w:tc>
          <w:tcPr>
            <w:tcW w:w="1785" w:type="dxa"/>
            <w:vMerge/>
          </w:tcPr>
          <w:p w:rsidR="00A211C7" w:rsidRPr="00C03F8B" w:rsidRDefault="00A211C7" w:rsidP="000F1B80">
            <w:pPr>
              <w:rPr>
                <w:b/>
              </w:rPr>
            </w:pPr>
          </w:p>
        </w:tc>
        <w:tc>
          <w:tcPr>
            <w:tcW w:w="1383" w:type="dxa"/>
            <w:vMerge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 w:rsidRPr="002A0E0B">
              <w:rPr>
                <w:b/>
              </w:rPr>
              <w:t>Mean</w:t>
            </w:r>
            <w:r>
              <w:rPr>
                <w:b/>
              </w:rPr>
              <w:t xml:space="preserve"> (95% CI)</w:t>
            </w: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  <w:r>
              <w:rPr>
                <w:b/>
              </w:rPr>
              <w:t>Mean (95% CI)</w:t>
            </w:r>
          </w:p>
        </w:tc>
      </w:tr>
      <w:tr w:rsidR="00A211C7" w:rsidTr="000F1B80">
        <w:tc>
          <w:tcPr>
            <w:tcW w:w="1785" w:type="dxa"/>
          </w:tcPr>
          <w:p w:rsidR="00A211C7" w:rsidRPr="00C03F8B" w:rsidRDefault="00A211C7" w:rsidP="000F1B80">
            <w:pPr>
              <w:rPr>
                <w:b/>
              </w:rPr>
            </w:pPr>
            <w:r>
              <w:rPr>
                <w:b/>
              </w:rPr>
              <w:t>All patients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2A0E0B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727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33.7 (31.5, 35.8)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33.2 (31.1, 35.3)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-0.50 (-3.51, 2.50)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639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26.7 (24.5, 28.9)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24.7 (22.5, 26.8)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-2.04 (-5.12, 1.05)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Pr="00047BED" w:rsidRDefault="00A211C7" w:rsidP="000F1B80">
            <w:pPr>
              <w:jc w:val="center"/>
            </w:pPr>
            <w:r>
              <w:t>574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21.8 (19.6, 24.0)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19.9 (17.7, 22.0)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-1.96 (-5.04, 1.11)</w:t>
            </w:r>
          </w:p>
        </w:tc>
      </w:tr>
      <w:tr w:rsidR="00A211C7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OPEN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215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38.0 (34.2, 41.8)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37.0 (33.2, 40.8)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-1.01 (-6.06, 4.05)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191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31.7 (27.8, 35.6)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29.1 (25.3, 33.0)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-2.54 (-7.63, 2.55)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173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26.8 (22.9, 30.7)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24.4 (20.6, 28.2)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-2.47 (-7.56, 2.62)</w:t>
            </w:r>
          </w:p>
        </w:tc>
      </w:tr>
      <w:tr w:rsidR="00A211C7" w:rsidRPr="00BD46F1" w:rsidTr="000F1B80">
        <w:tc>
          <w:tcPr>
            <w:tcW w:w="1785" w:type="dxa"/>
          </w:tcPr>
          <w:p w:rsidR="00A211C7" w:rsidRPr="00BD46F1" w:rsidRDefault="00A211C7" w:rsidP="000F1B80">
            <w:pPr>
              <w:rPr>
                <w:b/>
              </w:rPr>
            </w:pPr>
            <w:r w:rsidRPr="00BD46F1">
              <w:rPr>
                <w:b/>
              </w:rPr>
              <w:t>CLOSED</w:t>
            </w:r>
          </w:p>
        </w:tc>
        <w:tc>
          <w:tcPr>
            <w:tcW w:w="1383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88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A211C7" w:rsidRPr="00BD46F1" w:rsidRDefault="00A211C7" w:rsidP="000F1B80">
            <w:pPr>
              <w:jc w:val="center"/>
              <w:rPr>
                <w:b/>
              </w:rPr>
            </w:pP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3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512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31.8 (29.3, 34.4)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31.6 (29.1, 34.1)</w:t>
            </w:r>
          </w:p>
        </w:tc>
        <w:tc>
          <w:tcPr>
            <w:tcW w:w="2132" w:type="dxa"/>
          </w:tcPr>
          <w:p w:rsidR="00A211C7" w:rsidRPr="009575C1" w:rsidRDefault="00A211C7" w:rsidP="000F1B80">
            <w:pPr>
              <w:jc w:val="center"/>
            </w:pPr>
            <w:r w:rsidRPr="009575C1">
              <w:t>-0.29 (-3.76, 3.18)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 xml:space="preserve">6 month 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448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24.6 (22.0, 27.1)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22.8 (20.2, 25.3)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-1.82 (-5.37, 1.73)</w:t>
            </w:r>
          </w:p>
        </w:tc>
      </w:tr>
      <w:tr w:rsidR="00A211C7" w:rsidTr="000F1B80">
        <w:tc>
          <w:tcPr>
            <w:tcW w:w="1785" w:type="dxa"/>
          </w:tcPr>
          <w:p w:rsidR="00A211C7" w:rsidRDefault="00A211C7" w:rsidP="000F1B80">
            <w:r>
              <w:t>12 month</w:t>
            </w:r>
          </w:p>
        </w:tc>
        <w:tc>
          <w:tcPr>
            <w:tcW w:w="1383" w:type="dxa"/>
          </w:tcPr>
          <w:p w:rsidR="00A211C7" w:rsidRDefault="00A211C7" w:rsidP="000F1B80">
            <w:pPr>
              <w:jc w:val="center"/>
            </w:pPr>
            <w:r>
              <w:t>401</w:t>
            </w:r>
          </w:p>
        </w:tc>
        <w:tc>
          <w:tcPr>
            <w:tcW w:w="2188" w:type="dxa"/>
          </w:tcPr>
          <w:p w:rsidR="00A211C7" w:rsidRDefault="00A211C7" w:rsidP="000F1B80">
            <w:pPr>
              <w:jc w:val="center"/>
            </w:pPr>
            <w:r>
              <w:t>19.7 (17.2, 22.3)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18.0 (15.4, 20.5)</w:t>
            </w:r>
          </w:p>
        </w:tc>
        <w:tc>
          <w:tcPr>
            <w:tcW w:w="2132" w:type="dxa"/>
          </w:tcPr>
          <w:p w:rsidR="00A211C7" w:rsidRDefault="00A211C7" w:rsidP="000F1B80">
            <w:pPr>
              <w:jc w:val="center"/>
            </w:pPr>
            <w:r>
              <w:t>-1.75 (-5.29, 1.79)</w:t>
            </w:r>
          </w:p>
        </w:tc>
      </w:tr>
    </w:tbl>
    <w:p w:rsidR="00A211C7" w:rsidRDefault="00A211C7" w:rsidP="00A211C7"/>
    <w:p w:rsidR="00673B89" w:rsidRPr="00673B89" w:rsidRDefault="00673B89" w:rsidP="00673B89">
      <w:pPr>
        <w:rPr>
          <w:b/>
        </w:rPr>
      </w:pPr>
      <w:r w:rsidRPr="00673B89">
        <w:rPr>
          <w:b/>
        </w:rPr>
        <w:t>SMFA BOTHER: ANALYSIS OF INTERACTIONS</w:t>
      </w:r>
    </w:p>
    <w:p w:rsidR="00673B89" w:rsidRDefault="00673B89" w:rsidP="00A211C7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211C7" w:rsidRPr="00686126" w:rsidTr="000F1B80"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</w:p>
        </w:tc>
        <w:tc>
          <w:tcPr>
            <w:tcW w:w="4428" w:type="dxa"/>
          </w:tcPr>
          <w:p w:rsidR="00A211C7" w:rsidRPr="00686126" w:rsidRDefault="00A211C7" w:rsidP="000F1B80">
            <w:pPr>
              <w:rPr>
                <w:b/>
              </w:rPr>
            </w:pPr>
            <w:r w:rsidRPr="00686126">
              <w:rPr>
                <w:b/>
              </w:rPr>
              <w:t>p-value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 xml:space="preserve">Treatment </w:t>
            </w:r>
          </w:p>
        </w:tc>
        <w:tc>
          <w:tcPr>
            <w:tcW w:w="4428" w:type="dxa"/>
          </w:tcPr>
          <w:p w:rsidR="00A211C7" w:rsidRDefault="00A211C7" w:rsidP="000F1B80">
            <w:r>
              <w:t>0.43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Time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Treatment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0.43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vs closed</w:t>
            </w:r>
          </w:p>
        </w:tc>
        <w:tc>
          <w:tcPr>
            <w:tcW w:w="4428" w:type="dxa"/>
          </w:tcPr>
          <w:p w:rsidR="00A211C7" w:rsidRDefault="00A211C7" w:rsidP="000F1B80">
            <w:r>
              <w:t>&lt;0.001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treatment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0.81</w:t>
            </w:r>
          </w:p>
        </w:tc>
      </w:tr>
      <w:tr w:rsidR="00A211C7" w:rsidTr="000F1B80">
        <w:tc>
          <w:tcPr>
            <w:tcW w:w="4428" w:type="dxa"/>
          </w:tcPr>
          <w:p w:rsidR="00A211C7" w:rsidRDefault="00A211C7" w:rsidP="000F1B80">
            <w:r>
              <w:t>Open by time interaction</w:t>
            </w:r>
          </w:p>
        </w:tc>
        <w:tc>
          <w:tcPr>
            <w:tcW w:w="4428" w:type="dxa"/>
          </w:tcPr>
          <w:p w:rsidR="00A211C7" w:rsidRDefault="00A211C7" w:rsidP="000F1B80">
            <w:r>
              <w:t>0.75</w:t>
            </w:r>
          </w:p>
        </w:tc>
      </w:tr>
    </w:tbl>
    <w:p w:rsidR="00A211C7" w:rsidRDefault="00A211C7" w:rsidP="00A211C7"/>
    <w:p w:rsidR="00A211C7" w:rsidRDefault="00A211C7" w:rsidP="003172FF"/>
    <w:sectPr w:rsidR="00A211C7" w:rsidSect="00D179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37" w:rsidRDefault="00753337">
      <w:r>
        <w:separator/>
      </w:r>
    </w:p>
  </w:endnote>
  <w:endnote w:type="continuationSeparator" w:id="0">
    <w:p w:rsidR="00753337" w:rsidRDefault="0075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7" w:rsidRDefault="00A21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F3E" w:rsidRPr="00A211C7" w:rsidRDefault="00FE1F3E" w:rsidP="00A21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7" w:rsidRDefault="00A21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37" w:rsidRDefault="00753337">
      <w:r>
        <w:separator/>
      </w:r>
    </w:p>
  </w:footnote>
  <w:footnote w:type="continuationSeparator" w:id="0">
    <w:p w:rsidR="00753337" w:rsidRDefault="0075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7" w:rsidRDefault="00A21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7" w:rsidRDefault="00A21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7" w:rsidRDefault="00A211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FF"/>
    <w:rsid w:val="000021C9"/>
    <w:rsid w:val="0001410F"/>
    <w:rsid w:val="00021DA6"/>
    <w:rsid w:val="0002384E"/>
    <w:rsid w:val="00026930"/>
    <w:rsid w:val="0003323B"/>
    <w:rsid w:val="00037D10"/>
    <w:rsid w:val="00047BED"/>
    <w:rsid w:val="00064D93"/>
    <w:rsid w:val="0007793F"/>
    <w:rsid w:val="0008103B"/>
    <w:rsid w:val="00085385"/>
    <w:rsid w:val="00090575"/>
    <w:rsid w:val="00092EB8"/>
    <w:rsid w:val="000A3FAB"/>
    <w:rsid w:val="000A5A15"/>
    <w:rsid w:val="000B4FAC"/>
    <w:rsid w:val="000D6D6A"/>
    <w:rsid w:val="000D768D"/>
    <w:rsid w:val="000E2681"/>
    <w:rsid w:val="000E2C51"/>
    <w:rsid w:val="000E35CA"/>
    <w:rsid w:val="000E4199"/>
    <w:rsid w:val="000F6C41"/>
    <w:rsid w:val="00103A08"/>
    <w:rsid w:val="00114AE0"/>
    <w:rsid w:val="00114DFC"/>
    <w:rsid w:val="00116359"/>
    <w:rsid w:val="00125FDE"/>
    <w:rsid w:val="001319E2"/>
    <w:rsid w:val="001400F8"/>
    <w:rsid w:val="00141197"/>
    <w:rsid w:val="00147DD6"/>
    <w:rsid w:val="00161274"/>
    <w:rsid w:val="0016136D"/>
    <w:rsid w:val="00170B44"/>
    <w:rsid w:val="0017378E"/>
    <w:rsid w:val="0017740B"/>
    <w:rsid w:val="001848C9"/>
    <w:rsid w:val="00186412"/>
    <w:rsid w:val="00197369"/>
    <w:rsid w:val="001A3823"/>
    <w:rsid w:val="001B1BD7"/>
    <w:rsid w:val="001C408D"/>
    <w:rsid w:val="001C48DC"/>
    <w:rsid w:val="001C4E54"/>
    <w:rsid w:val="001D2EFA"/>
    <w:rsid w:val="001D5481"/>
    <w:rsid w:val="001F10DA"/>
    <w:rsid w:val="001F7EC0"/>
    <w:rsid w:val="00201129"/>
    <w:rsid w:val="00220CB4"/>
    <w:rsid w:val="002540F3"/>
    <w:rsid w:val="00256A43"/>
    <w:rsid w:val="00280BEB"/>
    <w:rsid w:val="00284B03"/>
    <w:rsid w:val="00285E8B"/>
    <w:rsid w:val="00286F94"/>
    <w:rsid w:val="002A0E0B"/>
    <w:rsid w:val="002A2BCC"/>
    <w:rsid w:val="002B4912"/>
    <w:rsid w:val="002C1BB8"/>
    <w:rsid w:val="002C571E"/>
    <w:rsid w:val="002C5D73"/>
    <w:rsid w:val="002E5A45"/>
    <w:rsid w:val="002F1400"/>
    <w:rsid w:val="002F6E10"/>
    <w:rsid w:val="0031058A"/>
    <w:rsid w:val="003172FF"/>
    <w:rsid w:val="0032200D"/>
    <w:rsid w:val="00337468"/>
    <w:rsid w:val="00337601"/>
    <w:rsid w:val="00342F25"/>
    <w:rsid w:val="00346C89"/>
    <w:rsid w:val="00346EE4"/>
    <w:rsid w:val="0036623B"/>
    <w:rsid w:val="00390252"/>
    <w:rsid w:val="003A622E"/>
    <w:rsid w:val="003A7612"/>
    <w:rsid w:val="003B3B8A"/>
    <w:rsid w:val="003B5812"/>
    <w:rsid w:val="003B6F0C"/>
    <w:rsid w:val="003B7529"/>
    <w:rsid w:val="003C255C"/>
    <w:rsid w:val="003D08C5"/>
    <w:rsid w:val="003D37DD"/>
    <w:rsid w:val="003E0467"/>
    <w:rsid w:val="003E1BDE"/>
    <w:rsid w:val="003E3EDD"/>
    <w:rsid w:val="003F2B75"/>
    <w:rsid w:val="003F4BF2"/>
    <w:rsid w:val="003F4CF5"/>
    <w:rsid w:val="003F6C04"/>
    <w:rsid w:val="004327EB"/>
    <w:rsid w:val="00432CC1"/>
    <w:rsid w:val="00454600"/>
    <w:rsid w:val="00455BB8"/>
    <w:rsid w:val="004560C1"/>
    <w:rsid w:val="00457C4E"/>
    <w:rsid w:val="0046031F"/>
    <w:rsid w:val="00460FB9"/>
    <w:rsid w:val="0046557F"/>
    <w:rsid w:val="00493A49"/>
    <w:rsid w:val="004A1BBB"/>
    <w:rsid w:val="004A2FB4"/>
    <w:rsid w:val="004A4F90"/>
    <w:rsid w:val="004A6ED7"/>
    <w:rsid w:val="004B2FF1"/>
    <w:rsid w:val="004B4D92"/>
    <w:rsid w:val="004C67B2"/>
    <w:rsid w:val="004D33AD"/>
    <w:rsid w:val="004F3234"/>
    <w:rsid w:val="00501405"/>
    <w:rsid w:val="00510FD6"/>
    <w:rsid w:val="00517083"/>
    <w:rsid w:val="0053060B"/>
    <w:rsid w:val="005476A6"/>
    <w:rsid w:val="00550B07"/>
    <w:rsid w:val="00570807"/>
    <w:rsid w:val="00570DA9"/>
    <w:rsid w:val="00575096"/>
    <w:rsid w:val="00597FE2"/>
    <w:rsid w:val="005B64A1"/>
    <w:rsid w:val="005C0562"/>
    <w:rsid w:val="005C2CC1"/>
    <w:rsid w:val="005C5A4D"/>
    <w:rsid w:val="005D2904"/>
    <w:rsid w:val="005D2F15"/>
    <w:rsid w:val="005F1BBF"/>
    <w:rsid w:val="005F282B"/>
    <w:rsid w:val="005F4185"/>
    <w:rsid w:val="005F5642"/>
    <w:rsid w:val="00602B64"/>
    <w:rsid w:val="0060649D"/>
    <w:rsid w:val="00612045"/>
    <w:rsid w:val="00616D67"/>
    <w:rsid w:val="0063106F"/>
    <w:rsid w:val="00632EA9"/>
    <w:rsid w:val="00632FB3"/>
    <w:rsid w:val="00637308"/>
    <w:rsid w:val="00647768"/>
    <w:rsid w:val="00660178"/>
    <w:rsid w:val="00662565"/>
    <w:rsid w:val="006627E5"/>
    <w:rsid w:val="00666376"/>
    <w:rsid w:val="00671FD5"/>
    <w:rsid w:val="00673B89"/>
    <w:rsid w:val="00683957"/>
    <w:rsid w:val="00686126"/>
    <w:rsid w:val="006B6E49"/>
    <w:rsid w:val="006D740D"/>
    <w:rsid w:val="006F1759"/>
    <w:rsid w:val="006F2A50"/>
    <w:rsid w:val="006F5E66"/>
    <w:rsid w:val="007010C0"/>
    <w:rsid w:val="00713843"/>
    <w:rsid w:val="0071537A"/>
    <w:rsid w:val="00727B51"/>
    <w:rsid w:val="00733AA5"/>
    <w:rsid w:val="00734806"/>
    <w:rsid w:val="0074438C"/>
    <w:rsid w:val="00753337"/>
    <w:rsid w:val="00754A52"/>
    <w:rsid w:val="00755208"/>
    <w:rsid w:val="007567EF"/>
    <w:rsid w:val="00765B84"/>
    <w:rsid w:val="00774D4E"/>
    <w:rsid w:val="00785A6F"/>
    <w:rsid w:val="007973CA"/>
    <w:rsid w:val="007A3C74"/>
    <w:rsid w:val="007C0335"/>
    <w:rsid w:val="007D411E"/>
    <w:rsid w:val="007D6C7F"/>
    <w:rsid w:val="007E372C"/>
    <w:rsid w:val="00812A06"/>
    <w:rsid w:val="008152F8"/>
    <w:rsid w:val="00820CFE"/>
    <w:rsid w:val="00825985"/>
    <w:rsid w:val="00833DB5"/>
    <w:rsid w:val="008356AA"/>
    <w:rsid w:val="008433D1"/>
    <w:rsid w:val="008473EC"/>
    <w:rsid w:val="008510C7"/>
    <w:rsid w:val="0085233B"/>
    <w:rsid w:val="00872C70"/>
    <w:rsid w:val="008763D2"/>
    <w:rsid w:val="0088416D"/>
    <w:rsid w:val="008939D5"/>
    <w:rsid w:val="008B028A"/>
    <w:rsid w:val="008B4615"/>
    <w:rsid w:val="008C1C56"/>
    <w:rsid w:val="008E2F09"/>
    <w:rsid w:val="008E7BFE"/>
    <w:rsid w:val="00905491"/>
    <w:rsid w:val="0091419D"/>
    <w:rsid w:val="00915664"/>
    <w:rsid w:val="00922D8C"/>
    <w:rsid w:val="0092375E"/>
    <w:rsid w:val="00925081"/>
    <w:rsid w:val="00925A62"/>
    <w:rsid w:val="00933D3B"/>
    <w:rsid w:val="00936198"/>
    <w:rsid w:val="009459E6"/>
    <w:rsid w:val="009575C1"/>
    <w:rsid w:val="009923FF"/>
    <w:rsid w:val="00992DF9"/>
    <w:rsid w:val="00996455"/>
    <w:rsid w:val="009A59C5"/>
    <w:rsid w:val="009B45D3"/>
    <w:rsid w:val="009B48A5"/>
    <w:rsid w:val="009B747E"/>
    <w:rsid w:val="009C355C"/>
    <w:rsid w:val="009D5BD9"/>
    <w:rsid w:val="009D65DE"/>
    <w:rsid w:val="009E3458"/>
    <w:rsid w:val="009F1C0B"/>
    <w:rsid w:val="00A15BAE"/>
    <w:rsid w:val="00A211C7"/>
    <w:rsid w:val="00A30E24"/>
    <w:rsid w:val="00A321BA"/>
    <w:rsid w:val="00A40828"/>
    <w:rsid w:val="00A53D9A"/>
    <w:rsid w:val="00A722F2"/>
    <w:rsid w:val="00A733A7"/>
    <w:rsid w:val="00A800AE"/>
    <w:rsid w:val="00A80F15"/>
    <w:rsid w:val="00A848D4"/>
    <w:rsid w:val="00A85A68"/>
    <w:rsid w:val="00A91519"/>
    <w:rsid w:val="00A967D3"/>
    <w:rsid w:val="00AA5A42"/>
    <w:rsid w:val="00AF7A4F"/>
    <w:rsid w:val="00B05C81"/>
    <w:rsid w:val="00B05FBB"/>
    <w:rsid w:val="00B064A0"/>
    <w:rsid w:val="00B330C7"/>
    <w:rsid w:val="00B47EE3"/>
    <w:rsid w:val="00B55DD4"/>
    <w:rsid w:val="00B65DE1"/>
    <w:rsid w:val="00B80D7B"/>
    <w:rsid w:val="00B80E45"/>
    <w:rsid w:val="00BA29C7"/>
    <w:rsid w:val="00BD0942"/>
    <w:rsid w:val="00BD46F1"/>
    <w:rsid w:val="00BD78BA"/>
    <w:rsid w:val="00BE5706"/>
    <w:rsid w:val="00C019CA"/>
    <w:rsid w:val="00C03F8B"/>
    <w:rsid w:val="00C062E7"/>
    <w:rsid w:val="00C23AC5"/>
    <w:rsid w:val="00C53754"/>
    <w:rsid w:val="00C53D5D"/>
    <w:rsid w:val="00C61968"/>
    <w:rsid w:val="00C62138"/>
    <w:rsid w:val="00C636A7"/>
    <w:rsid w:val="00C73DC3"/>
    <w:rsid w:val="00C77B65"/>
    <w:rsid w:val="00C80BA7"/>
    <w:rsid w:val="00C81145"/>
    <w:rsid w:val="00C91297"/>
    <w:rsid w:val="00C972EF"/>
    <w:rsid w:val="00CA4599"/>
    <w:rsid w:val="00CA55F2"/>
    <w:rsid w:val="00CC268D"/>
    <w:rsid w:val="00CC6E6C"/>
    <w:rsid w:val="00CE1D5A"/>
    <w:rsid w:val="00CE397A"/>
    <w:rsid w:val="00CF11D7"/>
    <w:rsid w:val="00D00350"/>
    <w:rsid w:val="00D17936"/>
    <w:rsid w:val="00D20BD8"/>
    <w:rsid w:val="00D3749F"/>
    <w:rsid w:val="00D56B22"/>
    <w:rsid w:val="00D75433"/>
    <w:rsid w:val="00D77E9F"/>
    <w:rsid w:val="00D84E16"/>
    <w:rsid w:val="00D97155"/>
    <w:rsid w:val="00DA5E7F"/>
    <w:rsid w:val="00DC207D"/>
    <w:rsid w:val="00DD34F5"/>
    <w:rsid w:val="00DD5D1B"/>
    <w:rsid w:val="00DE7FB6"/>
    <w:rsid w:val="00DF4538"/>
    <w:rsid w:val="00DF5A10"/>
    <w:rsid w:val="00E04037"/>
    <w:rsid w:val="00E063D8"/>
    <w:rsid w:val="00E1742F"/>
    <w:rsid w:val="00E2377E"/>
    <w:rsid w:val="00E26993"/>
    <w:rsid w:val="00E40568"/>
    <w:rsid w:val="00E66576"/>
    <w:rsid w:val="00E70F49"/>
    <w:rsid w:val="00E845FF"/>
    <w:rsid w:val="00EA11B5"/>
    <w:rsid w:val="00EA4D98"/>
    <w:rsid w:val="00EA612C"/>
    <w:rsid w:val="00EA670F"/>
    <w:rsid w:val="00ED0530"/>
    <w:rsid w:val="00ED2112"/>
    <w:rsid w:val="00ED63B0"/>
    <w:rsid w:val="00EE6C12"/>
    <w:rsid w:val="00EE754D"/>
    <w:rsid w:val="00EF7ECE"/>
    <w:rsid w:val="00F00881"/>
    <w:rsid w:val="00F025A6"/>
    <w:rsid w:val="00F066E5"/>
    <w:rsid w:val="00F066F4"/>
    <w:rsid w:val="00F1459D"/>
    <w:rsid w:val="00F16D61"/>
    <w:rsid w:val="00F177AA"/>
    <w:rsid w:val="00F248DD"/>
    <w:rsid w:val="00F30907"/>
    <w:rsid w:val="00F50DFE"/>
    <w:rsid w:val="00F51D04"/>
    <w:rsid w:val="00F54834"/>
    <w:rsid w:val="00F72438"/>
    <w:rsid w:val="00F7302A"/>
    <w:rsid w:val="00FB2AFE"/>
    <w:rsid w:val="00FB4C09"/>
    <w:rsid w:val="00FD7ACB"/>
    <w:rsid w:val="00FE1F3E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228541-4B13-42A3-A962-2FA52DB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2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Means and SDs at SPRINT follow-ups</vt:lpstr>
    </vt:vector>
  </TitlesOfParts>
  <Company>mcmaster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Means and SDs at SPRINT follow-ups</dc:title>
  <dc:subject/>
  <dc:creator>Diane Heels-Ansdell</dc:creator>
  <cp:keywords/>
  <dc:description/>
  <cp:lastModifiedBy>Michele Zimmerman</cp:lastModifiedBy>
  <cp:revision>2</cp:revision>
  <cp:lastPrinted>2008-03-27T17:59:00Z</cp:lastPrinted>
  <dcterms:created xsi:type="dcterms:W3CDTF">2015-11-16T17:01:00Z</dcterms:created>
  <dcterms:modified xsi:type="dcterms:W3CDTF">2015-11-16T17:01:00Z</dcterms:modified>
</cp:coreProperties>
</file>