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5000" w:type="pct"/>
        <w:tblLayout w:type="fixed"/>
        <w:tblLook w:val="04A0" w:firstRow="1" w:lastRow="0" w:firstColumn="1" w:lastColumn="0" w:noHBand="0" w:noVBand="1"/>
      </w:tblPr>
      <w:tblGrid>
        <w:gridCol w:w="1189"/>
        <w:gridCol w:w="2909"/>
        <w:gridCol w:w="3892"/>
        <w:gridCol w:w="3711"/>
        <w:gridCol w:w="2259"/>
      </w:tblGrid>
      <w:tr w:rsidR="00673B47" w:rsidRPr="006F400F" w14:paraId="585D8B46" w14:textId="77777777" w:rsidTr="006E573B">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nil"/>
              <w:bottom w:val="single" w:sz="4" w:space="0" w:color="auto"/>
              <w:right w:val="nil"/>
            </w:tcBorders>
            <w:shd w:val="clear" w:color="auto" w:fill="BFBFBF" w:themeFill="background1" w:themeFillShade="BF"/>
            <w:vAlign w:val="center"/>
          </w:tcPr>
          <w:p w14:paraId="4850A1D7" w14:textId="77777777" w:rsidR="00673B47" w:rsidRPr="006F400F" w:rsidRDefault="00673B47" w:rsidP="006E573B">
            <w:pPr>
              <w:rPr>
                <w:rFonts w:ascii="Times New Roman" w:hAnsi="Times New Roman" w:cs="Times New Roman"/>
                <w:sz w:val="22"/>
                <w:szCs w:val="22"/>
              </w:rPr>
            </w:pPr>
            <w:bookmarkStart w:id="0" w:name="_GoBack"/>
            <w:bookmarkEnd w:id="0"/>
            <w:r w:rsidRPr="006F400F">
              <w:rPr>
                <w:rFonts w:ascii="Times New Roman" w:hAnsi="Times New Roman" w:cs="Times New Roman"/>
                <w:sz w:val="22"/>
                <w:szCs w:val="22"/>
              </w:rPr>
              <w:t xml:space="preserve">Appendix 1: </w:t>
            </w:r>
            <w:r w:rsidRPr="006F400F">
              <w:rPr>
                <w:rFonts w:ascii="Times New Roman" w:hAnsi="Times New Roman" w:cs="Times New Roman"/>
                <w:b w:val="0"/>
                <w:sz w:val="22"/>
                <w:szCs w:val="22"/>
              </w:rPr>
              <w:t>Modified Clavien-Dindo System for Children with Cerebral Palsy</w:t>
            </w:r>
          </w:p>
        </w:tc>
      </w:tr>
      <w:tr w:rsidR="00673B47" w:rsidRPr="006F400F" w14:paraId="5DDBD64F" w14:textId="77777777" w:rsidTr="006E573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26" w:type="pct"/>
            <w:tcBorders>
              <w:top w:val="single" w:sz="4" w:space="0" w:color="auto"/>
              <w:left w:val="nil"/>
              <w:bottom w:val="single" w:sz="4" w:space="0" w:color="auto"/>
              <w:right w:val="nil"/>
            </w:tcBorders>
            <w:vAlign w:val="bottom"/>
          </w:tcPr>
          <w:p w14:paraId="17B4D1ED" w14:textId="77777777" w:rsidR="00673B47" w:rsidRPr="006F400F" w:rsidRDefault="00673B47" w:rsidP="006E573B">
            <w:pPr>
              <w:rPr>
                <w:rFonts w:ascii="Times New Roman" w:hAnsi="Times New Roman" w:cs="Times New Roman"/>
                <w:sz w:val="22"/>
                <w:szCs w:val="22"/>
                <w:lang w:val="en-AU"/>
              </w:rPr>
            </w:pPr>
            <w:r w:rsidRPr="006F400F">
              <w:rPr>
                <w:rFonts w:ascii="Times New Roman" w:hAnsi="Times New Roman" w:cs="Times New Roman"/>
                <w:sz w:val="22"/>
                <w:szCs w:val="22"/>
                <w:lang w:val="en-AU"/>
              </w:rPr>
              <w:t>Grade</w:t>
            </w:r>
          </w:p>
        </w:tc>
        <w:tc>
          <w:tcPr>
            <w:tcW w:w="1042" w:type="pct"/>
            <w:tcBorders>
              <w:top w:val="single" w:sz="4" w:space="0" w:color="auto"/>
              <w:left w:val="nil"/>
              <w:bottom w:val="single" w:sz="4" w:space="0" w:color="auto"/>
              <w:right w:val="nil"/>
            </w:tcBorders>
            <w:vAlign w:val="bottom"/>
          </w:tcPr>
          <w:p w14:paraId="0EE62E3E" w14:textId="77777777" w:rsidR="00673B47" w:rsidRPr="006F400F" w:rsidRDefault="00673B47" w:rsidP="006E5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AU"/>
              </w:rPr>
            </w:pPr>
            <w:r w:rsidRPr="006F400F">
              <w:rPr>
                <w:rFonts w:ascii="Times New Roman" w:hAnsi="Times New Roman" w:cs="Times New Roman"/>
                <w:b/>
                <w:sz w:val="22"/>
                <w:szCs w:val="22"/>
                <w:lang w:val="en-AU"/>
              </w:rPr>
              <w:t>Definition</w:t>
            </w:r>
          </w:p>
        </w:tc>
        <w:tc>
          <w:tcPr>
            <w:tcW w:w="1394" w:type="pct"/>
            <w:tcBorders>
              <w:top w:val="single" w:sz="4" w:space="0" w:color="auto"/>
              <w:left w:val="nil"/>
              <w:bottom w:val="single" w:sz="4" w:space="0" w:color="auto"/>
              <w:right w:val="nil"/>
            </w:tcBorders>
            <w:vAlign w:val="bottom"/>
          </w:tcPr>
          <w:p w14:paraId="2F88BC64" w14:textId="77777777" w:rsidR="00673B47" w:rsidRPr="006F400F" w:rsidRDefault="00673B47" w:rsidP="006E5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AU"/>
              </w:rPr>
            </w:pPr>
            <w:r w:rsidRPr="006F400F">
              <w:rPr>
                <w:rFonts w:ascii="Times New Roman" w:hAnsi="Times New Roman" w:cs="Times New Roman"/>
                <w:b/>
                <w:sz w:val="22"/>
                <w:szCs w:val="22"/>
                <w:lang w:val="en-AU"/>
              </w:rPr>
              <w:t xml:space="preserve">Specific Complications </w:t>
            </w:r>
          </w:p>
        </w:tc>
        <w:tc>
          <w:tcPr>
            <w:tcW w:w="1329" w:type="pct"/>
            <w:tcBorders>
              <w:top w:val="single" w:sz="4" w:space="0" w:color="auto"/>
              <w:left w:val="nil"/>
              <w:bottom w:val="single" w:sz="4" w:space="0" w:color="auto"/>
              <w:right w:val="nil"/>
            </w:tcBorders>
            <w:vAlign w:val="bottom"/>
          </w:tcPr>
          <w:p w14:paraId="2BB02730" w14:textId="77777777" w:rsidR="00673B47" w:rsidRPr="006F400F" w:rsidRDefault="00673B47" w:rsidP="006E5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AU"/>
              </w:rPr>
            </w:pPr>
            <w:r w:rsidRPr="006F400F">
              <w:rPr>
                <w:rFonts w:ascii="Times New Roman" w:hAnsi="Times New Roman" w:cs="Times New Roman"/>
                <w:b/>
                <w:sz w:val="22"/>
                <w:szCs w:val="22"/>
                <w:lang w:val="en-AU"/>
              </w:rPr>
              <w:t xml:space="preserve">Treatment Required </w:t>
            </w:r>
          </w:p>
        </w:tc>
        <w:tc>
          <w:tcPr>
            <w:tcW w:w="809" w:type="pct"/>
            <w:tcBorders>
              <w:top w:val="single" w:sz="4" w:space="0" w:color="auto"/>
              <w:left w:val="nil"/>
              <w:bottom w:val="single" w:sz="4" w:space="0" w:color="auto"/>
              <w:right w:val="nil"/>
            </w:tcBorders>
            <w:vAlign w:val="bottom"/>
          </w:tcPr>
          <w:p w14:paraId="1FDC34A1" w14:textId="77777777" w:rsidR="00673B47" w:rsidRPr="006F400F" w:rsidRDefault="00673B47" w:rsidP="006E5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2"/>
                <w:szCs w:val="22"/>
                <w:lang w:val="en-AU"/>
              </w:rPr>
            </w:pPr>
            <w:r w:rsidRPr="006F400F">
              <w:rPr>
                <w:rFonts w:ascii="Times New Roman" w:hAnsi="Times New Roman" w:cs="Times New Roman"/>
                <w:b/>
                <w:sz w:val="22"/>
                <w:szCs w:val="22"/>
                <w:lang w:val="en-AU"/>
              </w:rPr>
              <w:t>Outcome</w:t>
            </w:r>
          </w:p>
        </w:tc>
      </w:tr>
      <w:tr w:rsidR="00673B47" w:rsidRPr="006F400F" w14:paraId="25080F87" w14:textId="77777777" w:rsidTr="006E573B">
        <w:tc>
          <w:tcPr>
            <w:cnfStyle w:val="001000000000" w:firstRow="0" w:lastRow="0" w:firstColumn="1" w:lastColumn="0" w:oddVBand="0" w:evenVBand="0" w:oddHBand="0" w:evenHBand="0" w:firstRowFirstColumn="0" w:firstRowLastColumn="0" w:lastRowFirstColumn="0" w:lastRowLastColumn="0"/>
            <w:tcW w:w="426" w:type="pct"/>
            <w:tcBorders>
              <w:top w:val="single" w:sz="4" w:space="0" w:color="auto"/>
              <w:left w:val="nil"/>
              <w:right w:val="nil"/>
            </w:tcBorders>
          </w:tcPr>
          <w:p w14:paraId="55B97C06" w14:textId="77777777" w:rsidR="00673B47" w:rsidRPr="006F400F" w:rsidRDefault="00673B47" w:rsidP="006E573B">
            <w:pPr>
              <w:rPr>
                <w:rFonts w:ascii="Times New Roman" w:hAnsi="Times New Roman" w:cs="Times New Roman"/>
                <w:sz w:val="22"/>
                <w:szCs w:val="22"/>
                <w:lang w:val="en-AU"/>
              </w:rPr>
            </w:pPr>
            <w:r w:rsidRPr="006F400F">
              <w:rPr>
                <w:rFonts w:ascii="Times New Roman" w:hAnsi="Times New Roman" w:cs="Times New Roman"/>
                <w:sz w:val="22"/>
                <w:szCs w:val="22"/>
                <w:lang w:val="en-AU"/>
              </w:rPr>
              <w:t>I</w:t>
            </w:r>
          </w:p>
        </w:tc>
        <w:tc>
          <w:tcPr>
            <w:tcW w:w="1042" w:type="pct"/>
            <w:tcBorders>
              <w:top w:val="single" w:sz="4" w:space="0" w:color="auto"/>
              <w:left w:val="nil"/>
              <w:right w:val="nil"/>
            </w:tcBorders>
          </w:tcPr>
          <w:p w14:paraId="47D7DE87"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rPr>
              <w:t>A complication that requires no new treatments apart from those planned and charted. There is no deviation from routine follow up during the post</w:t>
            </w:r>
            <w:r>
              <w:rPr>
                <w:rFonts w:ascii="Times New Roman" w:hAnsi="Times New Roman"/>
                <w:sz w:val="22"/>
                <w:szCs w:val="22"/>
              </w:rPr>
              <w:t>-</w:t>
            </w:r>
            <w:r w:rsidRPr="006F400F">
              <w:rPr>
                <w:rFonts w:ascii="Times New Roman" w:hAnsi="Times New Roman"/>
                <w:sz w:val="22"/>
                <w:szCs w:val="22"/>
              </w:rPr>
              <w:t xml:space="preserve">operative period. </w:t>
            </w:r>
          </w:p>
          <w:p w14:paraId="3F80AD8C"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394" w:type="pct"/>
            <w:tcBorders>
              <w:top w:val="single" w:sz="4" w:space="0" w:color="auto"/>
              <w:left w:val="nil"/>
              <w:right w:val="nil"/>
            </w:tcBorders>
          </w:tcPr>
          <w:p w14:paraId="468E98CB"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F400F">
              <w:rPr>
                <w:rFonts w:ascii="Times New Roman" w:hAnsi="Times New Roman" w:cs="Times New Roman"/>
                <w:sz w:val="22"/>
                <w:szCs w:val="22"/>
                <w:lang w:val="en-US"/>
              </w:rPr>
              <w:t xml:space="preserve">Constipation; </w:t>
            </w:r>
            <w:r w:rsidRPr="006F400F">
              <w:rPr>
                <w:rFonts w:ascii="Times New Roman" w:hAnsi="Times New Roman" w:cs="Times New Roman"/>
                <w:sz w:val="22"/>
                <w:szCs w:val="22"/>
              </w:rPr>
              <w:t>p</w:t>
            </w:r>
            <w:proofErr w:type="spellStart"/>
            <w:r w:rsidRPr="006F400F">
              <w:rPr>
                <w:rFonts w:ascii="Times New Roman" w:hAnsi="Times New Roman" w:cs="Times New Roman"/>
                <w:sz w:val="22"/>
                <w:szCs w:val="22"/>
                <w:lang w:val="en-US"/>
              </w:rPr>
              <w:t>ost</w:t>
            </w:r>
            <w:proofErr w:type="spellEnd"/>
            <w:r w:rsidRPr="006F400F">
              <w:rPr>
                <w:rFonts w:ascii="Times New Roman" w:hAnsi="Times New Roman" w:cs="Times New Roman"/>
                <w:sz w:val="22"/>
                <w:szCs w:val="22"/>
                <w:lang w:val="en-US"/>
              </w:rPr>
              <w:t>-operative pain, muscle spasm; fever, nausea; wound problems not requiring a change in post</w:t>
            </w:r>
            <w:r>
              <w:rPr>
                <w:rFonts w:ascii="Times New Roman" w:hAnsi="Times New Roman" w:cs="Times New Roman"/>
                <w:sz w:val="22"/>
                <w:szCs w:val="22"/>
                <w:lang w:val="en-US"/>
              </w:rPr>
              <w:t>-</w:t>
            </w:r>
            <w:r w:rsidRPr="006F400F">
              <w:rPr>
                <w:rFonts w:ascii="Times New Roman" w:hAnsi="Times New Roman" w:cs="Times New Roman"/>
                <w:sz w:val="22"/>
                <w:szCs w:val="22"/>
                <w:lang w:val="en-US"/>
              </w:rPr>
              <w:t>operative care, skin redness from a cast or splint without skin breakdown; basal atelectasis; asymptomatic Grade I or II HO, Grade 1 femoral head AVN.</w:t>
            </w:r>
          </w:p>
        </w:tc>
        <w:tc>
          <w:tcPr>
            <w:tcW w:w="1329" w:type="pct"/>
            <w:tcBorders>
              <w:top w:val="single" w:sz="4" w:space="0" w:color="auto"/>
              <w:left w:val="nil"/>
              <w:right w:val="nil"/>
            </w:tcBorders>
          </w:tcPr>
          <w:p w14:paraId="678881C7" w14:textId="17FEC7D7" w:rsidR="00673B47" w:rsidRPr="006F400F" w:rsidRDefault="00673B47" w:rsidP="006E573B">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6F400F">
              <w:rPr>
                <w:rFonts w:ascii="Times New Roman" w:hAnsi="Times New Roman" w:cs="Times New Roman"/>
                <w:sz w:val="22"/>
                <w:szCs w:val="22"/>
                <w:lang w:val="en-US"/>
              </w:rPr>
              <w:t xml:space="preserve">Minor adjustment of </w:t>
            </w:r>
            <w:r w:rsidRPr="006F400F">
              <w:rPr>
                <w:rFonts w:ascii="Times New Roman" w:hAnsi="Times New Roman" w:cs="Times New Roman"/>
                <w:i/>
                <w:sz w:val="22"/>
                <w:szCs w:val="22"/>
                <w:lang w:val="en-US"/>
              </w:rPr>
              <w:t>pre-existing</w:t>
            </w:r>
            <w:r w:rsidRPr="006F400F">
              <w:rPr>
                <w:rFonts w:ascii="Times New Roman" w:hAnsi="Times New Roman" w:cs="Times New Roman"/>
                <w:sz w:val="22"/>
                <w:szCs w:val="22"/>
                <w:lang w:val="en-US"/>
              </w:rPr>
              <w:t xml:space="preserve"> treatments. Examples: increased observation; dose adjustments of pre-charted oral medications or infusions including aperients,</w:t>
            </w:r>
            <w:r w:rsidRPr="006F400F">
              <w:rPr>
                <w:rFonts w:ascii="Times New Roman" w:hAnsi="Times New Roman" w:cs="Times New Roman"/>
                <w:sz w:val="22"/>
                <w:szCs w:val="22"/>
              </w:rPr>
              <w:t xml:space="preserve"> analgesics, antispasmodics, antipyretics, </w:t>
            </w:r>
            <w:proofErr w:type="spellStart"/>
            <w:r w:rsidRPr="006F400F">
              <w:rPr>
                <w:rFonts w:ascii="Times New Roman" w:hAnsi="Times New Roman" w:cs="Times New Roman"/>
                <w:sz w:val="22"/>
                <w:szCs w:val="22"/>
              </w:rPr>
              <w:t>antiemetics</w:t>
            </w:r>
            <w:proofErr w:type="spellEnd"/>
            <w:r w:rsidRPr="006F400F">
              <w:rPr>
                <w:rFonts w:ascii="Times New Roman" w:hAnsi="Times New Roman" w:cs="Times New Roman"/>
                <w:sz w:val="22"/>
                <w:szCs w:val="22"/>
              </w:rPr>
              <w:t>, antibiotics</w:t>
            </w:r>
            <w:r w:rsidRPr="006F400F">
              <w:rPr>
                <w:rFonts w:ascii="Times New Roman" w:hAnsi="Times New Roman" w:cs="Times New Roman"/>
                <w:sz w:val="22"/>
                <w:szCs w:val="22"/>
                <w:lang w:val="en-US"/>
              </w:rPr>
              <w:t xml:space="preserve"> (not </w:t>
            </w:r>
            <w:r w:rsidRPr="006F400F">
              <w:rPr>
                <w:rFonts w:ascii="Times New Roman" w:hAnsi="Times New Roman" w:cs="Times New Roman"/>
                <w:i/>
                <w:sz w:val="22"/>
                <w:szCs w:val="22"/>
                <w:lang w:val="en-US"/>
              </w:rPr>
              <w:t xml:space="preserve">new </w:t>
            </w:r>
            <w:r w:rsidRPr="006F400F">
              <w:rPr>
                <w:rFonts w:ascii="Times New Roman" w:hAnsi="Times New Roman" w:cs="Times New Roman"/>
                <w:sz w:val="22"/>
                <w:szCs w:val="22"/>
                <w:lang w:val="en-US"/>
              </w:rPr>
              <w:t xml:space="preserve">medications); minor adjustment of a splint or brace by an </w:t>
            </w:r>
            <w:proofErr w:type="spellStart"/>
            <w:r w:rsidRPr="006F400F">
              <w:rPr>
                <w:rFonts w:ascii="Times New Roman" w:hAnsi="Times New Roman" w:cs="Times New Roman"/>
                <w:sz w:val="22"/>
                <w:szCs w:val="22"/>
                <w:lang w:val="en-US"/>
              </w:rPr>
              <w:t>orthotist</w:t>
            </w:r>
            <w:proofErr w:type="spellEnd"/>
            <w:r w:rsidRPr="006F400F">
              <w:rPr>
                <w:rFonts w:ascii="Times New Roman" w:hAnsi="Times New Roman" w:cs="Times New Roman"/>
                <w:sz w:val="22"/>
                <w:szCs w:val="22"/>
                <w:lang w:val="en-US"/>
              </w:rPr>
              <w:t xml:space="preserve"> routinely visiting the ward or clinic; inc</w:t>
            </w:r>
            <w:r w:rsidR="000956A1">
              <w:rPr>
                <w:rFonts w:ascii="Times New Roman" w:hAnsi="Times New Roman" w:cs="Times New Roman"/>
                <w:sz w:val="22"/>
                <w:szCs w:val="22"/>
                <w:lang w:val="en-US"/>
              </w:rPr>
              <w:t xml:space="preserve">reased frequency of chest physical </w:t>
            </w:r>
            <w:r w:rsidRPr="006F400F">
              <w:rPr>
                <w:rFonts w:ascii="Times New Roman" w:hAnsi="Times New Roman" w:cs="Times New Roman"/>
                <w:sz w:val="22"/>
                <w:szCs w:val="22"/>
                <w:lang w:val="en-US"/>
              </w:rPr>
              <w:t xml:space="preserve">therapy. </w:t>
            </w:r>
          </w:p>
        </w:tc>
        <w:tc>
          <w:tcPr>
            <w:tcW w:w="809" w:type="pct"/>
            <w:tcBorders>
              <w:top w:val="single" w:sz="4" w:space="0" w:color="auto"/>
              <w:left w:val="nil"/>
              <w:right w:val="nil"/>
            </w:tcBorders>
          </w:tcPr>
          <w:p w14:paraId="7AE7ADEB"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6F400F">
              <w:rPr>
                <w:rFonts w:ascii="Times New Roman" w:hAnsi="Times New Roman" w:cs="Times New Roman"/>
                <w:sz w:val="22"/>
                <w:szCs w:val="22"/>
                <w:lang w:val="en-US"/>
              </w:rPr>
              <w:t xml:space="preserve">Full recovery, following more of the </w:t>
            </w:r>
            <w:r w:rsidRPr="006F400F">
              <w:rPr>
                <w:rFonts w:ascii="Times New Roman" w:hAnsi="Times New Roman" w:cs="Times New Roman"/>
                <w:i/>
                <w:sz w:val="22"/>
                <w:szCs w:val="22"/>
                <w:lang w:val="en-US"/>
              </w:rPr>
              <w:t>same</w:t>
            </w:r>
            <w:r w:rsidRPr="006F400F">
              <w:rPr>
                <w:rFonts w:ascii="Times New Roman" w:hAnsi="Times New Roman" w:cs="Times New Roman"/>
                <w:sz w:val="22"/>
                <w:szCs w:val="22"/>
                <w:lang w:val="en-US"/>
              </w:rPr>
              <w:t xml:space="preserve"> medical or nursing treatment</w:t>
            </w:r>
          </w:p>
        </w:tc>
      </w:tr>
      <w:tr w:rsidR="00673B47" w:rsidRPr="006F400F" w14:paraId="157031B3" w14:textId="77777777" w:rsidTr="006E573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426" w:type="pct"/>
            <w:tcBorders>
              <w:top w:val="nil"/>
              <w:left w:val="nil"/>
              <w:bottom w:val="nil"/>
              <w:right w:val="nil"/>
            </w:tcBorders>
          </w:tcPr>
          <w:p w14:paraId="41486AF6" w14:textId="77777777" w:rsidR="00673B47" w:rsidRPr="006F400F" w:rsidRDefault="00673B47" w:rsidP="006E573B">
            <w:pPr>
              <w:rPr>
                <w:rFonts w:ascii="Times New Roman" w:hAnsi="Times New Roman" w:cs="Times New Roman"/>
                <w:sz w:val="22"/>
                <w:szCs w:val="22"/>
                <w:lang w:val="en-AU"/>
              </w:rPr>
            </w:pPr>
            <w:r w:rsidRPr="006F400F">
              <w:rPr>
                <w:rFonts w:ascii="Times New Roman" w:hAnsi="Times New Roman" w:cs="Times New Roman"/>
                <w:sz w:val="22"/>
                <w:szCs w:val="22"/>
                <w:lang w:val="en-AU"/>
              </w:rPr>
              <w:t>II</w:t>
            </w:r>
          </w:p>
        </w:tc>
        <w:tc>
          <w:tcPr>
            <w:tcW w:w="1042" w:type="pct"/>
            <w:tcBorders>
              <w:top w:val="nil"/>
              <w:left w:val="nil"/>
              <w:bottom w:val="nil"/>
              <w:right w:val="nil"/>
            </w:tcBorders>
          </w:tcPr>
          <w:p w14:paraId="123C2CB2" w14:textId="2555E68D"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rPr>
              <w:t>A deviation from the normal post</w:t>
            </w:r>
            <w:r>
              <w:rPr>
                <w:rFonts w:ascii="Times New Roman" w:hAnsi="Times New Roman"/>
                <w:sz w:val="22"/>
                <w:szCs w:val="22"/>
              </w:rPr>
              <w:t>-</w:t>
            </w:r>
            <w:r w:rsidRPr="006F400F">
              <w:rPr>
                <w:rFonts w:ascii="Times New Roman" w:hAnsi="Times New Roman"/>
                <w:sz w:val="22"/>
                <w:szCs w:val="22"/>
              </w:rPr>
              <w:t>operative course, including new medicatio</w:t>
            </w:r>
            <w:r w:rsidR="000956A1">
              <w:rPr>
                <w:rFonts w:ascii="Times New Roman" w:hAnsi="Times New Roman"/>
                <w:sz w:val="22"/>
                <w:szCs w:val="22"/>
              </w:rPr>
              <w:t xml:space="preserve">ns, additional nursing or physical </w:t>
            </w:r>
            <w:r w:rsidRPr="006F400F">
              <w:rPr>
                <w:rFonts w:ascii="Times New Roman" w:hAnsi="Times New Roman"/>
                <w:sz w:val="22"/>
                <w:szCs w:val="22"/>
              </w:rPr>
              <w:t>therapy regimens. Unplanned clinic visits for additional monitoring are also included.</w:t>
            </w:r>
          </w:p>
          <w:p w14:paraId="298B6D86" w14:textId="77777777" w:rsidR="00673B47" w:rsidRPr="006F400F" w:rsidRDefault="00673B47" w:rsidP="006E5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p>
        </w:tc>
        <w:tc>
          <w:tcPr>
            <w:tcW w:w="1394" w:type="pct"/>
            <w:tcBorders>
              <w:top w:val="nil"/>
              <w:left w:val="nil"/>
              <w:bottom w:val="nil"/>
              <w:right w:val="nil"/>
            </w:tcBorders>
          </w:tcPr>
          <w:p w14:paraId="64F584BF" w14:textId="77777777" w:rsidR="00673B47" w:rsidRPr="006F400F" w:rsidRDefault="00673B47" w:rsidP="006E573B">
            <w:pPr>
              <w:pStyle w:val="p1"/>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lang w:val="en-US"/>
              </w:rPr>
              <w:t xml:space="preserve">Enemas for constipation; significant pain requiring introduction of new analgesics; new medications to treat muscular spasms, spasticity or dystonia; pressure sores from casts or splints, superficial wound infection requiring additional clinic visits, antibiotics and/or dressings; chest infection requiring antibiotics; transient </w:t>
            </w:r>
            <w:proofErr w:type="spellStart"/>
            <w:r w:rsidRPr="006F400F">
              <w:rPr>
                <w:rFonts w:ascii="Times New Roman" w:hAnsi="Times New Roman"/>
                <w:sz w:val="22"/>
                <w:szCs w:val="22"/>
                <w:lang w:val="en-US"/>
              </w:rPr>
              <w:t>neuropraxia</w:t>
            </w:r>
            <w:proofErr w:type="spellEnd"/>
            <w:r w:rsidRPr="006F400F">
              <w:rPr>
                <w:rFonts w:ascii="Times New Roman" w:hAnsi="Times New Roman"/>
                <w:sz w:val="22"/>
                <w:szCs w:val="22"/>
                <w:lang w:val="en-US"/>
              </w:rPr>
              <w:t xml:space="preserve"> from positioning or surgical retraction that resolves under close observation; transient nerve palsy requiring bracing and observation; delayed union requiring increased observation; anaemia requiring iron or blood transfusion. </w:t>
            </w:r>
          </w:p>
        </w:tc>
        <w:tc>
          <w:tcPr>
            <w:tcW w:w="1329" w:type="pct"/>
            <w:tcBorders>
              <w:top w:val="nil"/>
              <w:left w:val="nil"/>
              <w:bottom w:val="nil"/>
              <w:right w:val="nil"/>
            </w:tcBorders>
          </w:tcPr>
          <w:p w14:paraId="39F26FC6"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400F">
              <w:rPr>
                <w:rFonts w:ascii="Times New Roman" w:hAnsi="Times New Roman"/>
                <w:i/>
                <w:sz w:val="22"/>
                <w:szCs w:val="22"/>
                <w:lang w:val="en-US"/>
              </w:rPr>
              <w:t xml:space="preserve">New </w:t>
            </w:r>
            <w:r w:rsidRPr="006F400F">
              <w:rPr>
                <w:rFonts w:ascii="Times New Roman" w:hAnsi="Times New Roman"/>
                <w:sz w:val="22"/>
                <w:szCs w:val="22"/>
                <w:lang w:val="en-US"/>
              </w:rPr>
              <w:t xml:space="preserve">non-operative inpatient or outpatient treatment. Examples: new aperients; new pain medications (e.g. Ketamine or Morphine infusions, Clonidine, Gabapentin, Baclofen), adjustment of epidural catheter position; cast removal for paresthesia or inability to move toes on the ward or clinic (not routine cast split in operating theatre), complete cast change, major adjustment or replacement of a brace or splint by an </w:t>
            </w:r>
            <w:proofErr w:type="spellStart"/>
            <w:r w:rsidRPr="006F400F">
              <w:rPr>
                <w:rFonts w:ascii="Times New Roman" w:hAnsi="Times New Roman"/>
                <w:sz w:val="22"/>
                <w:szCs w:val="22"/>
                <w:lang w:val="en-US"/>
              </w:rPr>
              <w:t>orthotist</w:t>
            </w:r>
            <w:proofErr w:type="spellEnd"/>
            <w:r w:rsidRPr="006F400F">
              <w:rPr>
                <w:rFonts w:ascii="Times New Roman" w:hAnsi="Times New Roman"/>
                <w:sz w:val="22"/>
                <w:szCs w:val="22"/>
                <w:lang w:val="en-US"/>
              </w:rPr>
              <w:t xml:space="preserve">; blood transfusion for anaemia, new antibiotic prescription for UTI or chest infection. </w:t>
            </w:r>
          </w:p>
        </w:tc>
        <w:tc>
          <w:tcPr>
            <w:tcW w:w="809" w:type="pct"/>
            <w:tcBorders>
              <w:top w:val="nil"/>
              <w:left w:val="nil"/>
              <w:bottom w:val="nil"/>
              <w:right w:val="nil"/>
            </w:tcBorders>
          </w:tcPr>
          <w:p w14:paraId="24B6D759"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lang w:val="en-US"/>
              </w:rPr>
              <w:t xml:space="preserve">Full recovery, following </w:t>
            </w:r>
            <w:r w:rsidRPr="006F400F">
              <w:rPr>
                <w:rFonts w:ascii="Times New Roman" w:hAnsi="Times New Roman"/>
                <w:i/>
                <w:sz w:val="22"/>
                <w:szCs w:val="22"/>
                <w:lang w:val="en-US"/>
              </w:rPr>
              <w:t>new</w:t>
            </w:r>
            <w:r w:rsidRPr="006F400F">
              <w:rPr>
                <w:rFonts w:ascii="Times New Roman" w:hAnsi="Times New Roman"/>
                <w:sz w:val="22"/>
                <w:szCs w:val="22"/>
                <w:lang w:val="en-US"/>
              </w:rPr>
              <w:t xml:space="preserve"> medical treatment, non-medical treatment or observation.</w:t>
            </w:r>
          </w:p>
        </w:tc>
      </w:tr>
      <w:tr w:rsidR="00673B47" w:rsidRPr="006F400F" w14:paraId="1A8D9786" w14:textId="77777777" w:rsidTr="006E573B">
        <w:tc>
          <w:tcPr>
            <w:cnfStyle w:val="001000000000" w:firstRow="0" w:lastRow="0" w:firstColumn="1" w:lastColumn="0" w:oddVBand="0" w:evenVBand="0" w:oddHBand="0" w:evenHBand="0" w:firstRowFirstColumn="0" w:firstRowLastColumn="0" w:lastRowFirstColumn="0" w:lastRowLastColumn="0"/>
            <w:tcW w:w="426" w:type="pct"/>
            <w:tcBorders>
              <w:left w:val="nil"/>
              <w:right w:val="nil"/>
            </w:tcBorders>
          </w:tcPr>
          <w:p w14:paraId="0C2F54A1" w14:textId="77777777" w:rsidR="00673B47" w:rsidRPr="006F400F" w:rsidRDefault="00673B47" w:rsidP="006E573B">
            <w:pPr>
              <w:rPr>
                <w:rFonts w:ascii="Times New Roman" w:hAnsi="Times New Roman" w:cs="Times New Roman"/>
                <w:sz w:val="22"/>
                <w:szCs w:val="22"/>
                <w:lang w:val="en-AU"/>
              </w:rPr>
            </w:pPr>
            <w:r w:rsidRPr="006F400F">
              <w:rPr>
                <w:rFonts w:ascii="Times New Roman" w:hAnsi="Times New Roman" w:cs="Times New Roman"/>
                <w:sz w:val="22"/>
                <w:szCs w:val="22"/>
                <w:lang w:val="en-AU"/>
              </w:rPr>
              <w:t>III</w:t>
            </w:r>
          </w:p>
        </w:tc>
        <w:tc>
          <w:tcPr>
            <w:tcW w:w="1042" w:type="pct"/>
            <w:tcBorders>
              <w:left w:val="nil"/>
              <w:right w:val="nil"/>
            </w:tcBorders>
          </w:tcPr>
          <w:p w14:paraId="0ECE6B99"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rPr>
              <w:t xml:space="preserve">A complication that is treatable but requires surgical, endoscopic, or radiographic </w:t>
            </w:r>
            <w:r w:rsidRPr="006F400F">
              <w:rPr>
                <w:rFonts w:ascii="Times New Roman" w:hAnsi="Times New Roman"/>
                <w:sz w:val="22"/>
                <w:szCs w:val="22"/>
              </w:rPr>
              <w:lastRenderedPageBreak/>
              <w:t>interventions or an unplanned hospital admission.</w:t>
            </w:r>
          </w:p>
          <w:p w14:paraId="20028E85"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1394" w:type="pct"/>
            <w:tcBorders>
              <w:left w:val="nil"/>
              <w:right w:val="nil"/>
            </w:tcBorders>
          </w:tcPr>
          <w:p w14:paraId="1D22582A" w14:textId="64D464B4" w:rsidR="00673B47" w:rsidRPr="006F400F" w:rsidRDefault="00673B47" w:rsidP="006E573B">
            <w:pPr>
              <w:pStyle w:val="p1"/>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rPr>
              <w:lastRenderedPageBreak/>
              <w:t>M</w:t>
            </w:r>
            <w:proofErr w:type="spellStart"/>
            <w:r w:rsidR="00263757">
              <w:rPr>
                <w:rFonts w:ascii="Times New Roman" w:hAnsi="Times New Roman"/>
                <w:sz w:val="22"/>
                <w:szCs w:val="22"/>
                <w:lang w:val="en-US"/>
              </w:rPr>
              <w:t>anual</w:t>
            </w:r>
            <w:proofErr w:type="spellEnd"/>
            <w:r w:rsidR="00263757">
              <w:rPr>
                <w:rFonts w:ascii="Times New Roman" w:hAnsi="Times New Roman"/>
                <w:sz w:val="22"/>
                <w:szCs w:val="22"/>
                <w:lang w:val="en-US"/>
              </w:rPr>
              <w:t xml:space="preserve"> evacuation for </w:t>
            </w:r>
            <w:proofErr w:type="spellStart"/>
            <w:r w:rsidR="00263757">
              <w:rPr>
                <w:rFonts w:ascii="Times New Roman" w:hAnsi="Times New Roman"/>
                <w:sz w:val="22"/>
                <w:szCs w:val="22"/>
                <w:lang w:val="en-US"/>
              </w:rPr>
              <w:t>f</w:t>
            </w:r>
            <w:r w:rsidR="00AD265A">
              <w:rPr>
                <w:rFonts w:ascii="Times New Roman" w:hAnsi="Times New Roman"/>
                <w:sz w:val="22"/>
                <w:szCs w:val="22"/>
                <w:lang w:val="en-US"/>
              </w:rPr>
              <w:t>a</w:t>
            </w:r>
            <w:r w:rsidRPr="006F400F">
              <w:rPr>
                <w:rFonts w:ascii="Times New Roman" w:hAnsi="Times New Roman"/>
                <w:sz w:val="22"/>
                <w:szCs w:val="22"/>
                <w:lang w:val="en-US"/>
              </w:rPr>
              <w:t>ecal</w:t>
            </w:r>
            <w:proofErr w:type="spellEnd"/>
            <w:r w:rsidRPr="006F400F">
              <w:rPr>
                <w:rFonts w:ascii="Times New Roman" w:hAnsi="Times New Roman"/>
                <w:sz w:val="22"/>
                <w:szCs w:val="22"/>
                <w:lang w:val="en-US"/>
              </w:rPr>
              <w:t xml:space="preserve"> impaction under GA; unplanned epidural for pain or Botulinum toxin-A injections for increased spasticity; change of cast under </w:t>
            </w:r>
            <w:r w:rsidRPr="006F400F">
              <w:rPr>
                <w:rFonts w:ascii="Times New Roman" w:hAnsi="Times New Roman"/>
                <w:sz w:val="22"/>
                <w:szCs w:val="22"/>
                <w:lang w:val="en-US"/>
              </w:rPr>
              <w:lastRenderedPageBreak/>
              <w:t>GA; Deep infection requiring drainage; surgical haematoma requiring evacuation; compartment syndrome or neurovascular injury requiring surgical treatment; endoscopy for gastric bleeding; significant HO requiring excision</w:t>
            </w:r>
          </w:p>
        </w:tc>
        <w:tc>
          <w:tcPr>
            <w:tcW w:w="1329" w:type="pct"/>
            <w:tcBorders>
              <w:left w:val="nil"/>
              <w:right w:val="nil"/>
            </w:tcBorders>
          </w:tcPr>
          <w:p w14:paraId="499D008D" w14:textId="43283385"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lang w:val="en-US"/>
              </w:rPr>
              <w:lastRenderedPageBreak/>
              <w:t xml:space="preserve">Treatment requiring </w:t>
            </w:r>
            <w:r w:rsidRPr="006F400F">
              <w:rPr>
                <w:rFonts w:ascii="Times New Roman" w:hAnsi="Times New Roman"/>
                <w:i/>
                <w:sz w:val="22"/>
                <w:szCs w:val="22"/>
                <w:lang w:val="en-US"/>
              </w:rPr>
              <w:t>unplanned</w:t>
            </w:r>
            <w:r w:rsidRPr="006F400F">
              <w:rPr>
                <w:rFonts w:ascii="Times New Roman" w:hAnsi="Times New Roman"/>
                <w:sz w:val="22"/>
                <w:szCs w:val="22"/>
                <w:lang w:val="en-US"/>
              </w:rPr>
              <w:t xml:space="preserve"> GA and/or surgical i</w:t>
            </w:r>
            <w:r w:rsidR="00263757">
              <w:rPr>
                <w:rFonts w:ascii="Times New Roman" w:hAnsi="Times New Roman"/>
                <w:sz w:val="22"/>
                <w:szCs w:val="22"/>
                <w:lang w:val="en-US"/>
              </w:rPr>
              <w:t xml:space="preserve">ntervention. Examples: manual </w:t>
            </w:r>
            <w:proofErr w:type="spellStart"/>
            <w:r w:rsidR="00263757">
              <w:rPr>
                <w:rFonts w:ascii="Times New Roman" w:hAnsi="Times New Roman"/>
                <w:sz w:val="22"/>
                <w:szCs w:val="22"/>
                <w:lang w:val="en-US"/>
              </w:rPr>
              <w:t>f</w:t>
            </w:r>
            <w:r w:rsidR="00AD265A">
              <w:rPr>
                <w:rFonts w:ascii="Times New Roman" w:hAnsi="Times New Roman"/>
                <w:sz w:val="22"/>
                <w:szCs w:val="22"/>
                <w:lang w:val="en-US"/>
              </w:rPr>
              <w:t>a</w:t>
            </w:r>
            <w:r w:rsidRPr="006F400F">
              <w:rPr>
                <w:rFonts w:ascii="Times New Roman" w:hAnsi="Times New Roman"/>
                <w:sz w:val="22"/>
                <w:szCs w:val="22"/>
                <w:lang w:val="en-US"/>
              </w:rPr>
              <w:t>ecal</w:t>
            </w:r>
            <w:proofErr w:type="spellEnd"/>
            <w:r w:rsidRPr="006F400F">
              <w:rPr>
                <w:rFonts w:ascii="Times New Roman" w:hAnsi="Times New Roman"/>
                <w:sz w:val="22"/>
                <w:szCs w:val="22"/>
                <w:lang w:val="en-US"/>
              </w:rPr>
              <w:t xml:space="preserve"> </w:t>
            </w:r>
            <w:proofErr w:type="spellStart"/>
            <w:r w:rsidRPr="006F400F">
              <w:rPr>
                <w:rFonts w:ascii="Times New Roman" w:hAnsi="Times New Roman"/>
                <w:sz w:val="22"/>
                <w:szCs w:val="22"/>
                <w:lang w:val="en-US"/>
              </w:rPr>
              <w:t>disimpaction</w:t>
            </w:r>
            <w:proofErr w:type="spellEnd"/>
            <w:r w:rsidRPr="006F400F">
              <w:rPr>
                <w:rFonts w:ascii="Times New Roman" w:hAnsi="Times New Roman"/>
                <w:sz w:val="22"/>
                <w:szCs w:val="22"/>
                <w:lang w:val="en-US"/>
              </w:rPr>
              <w:t xml:space="preserve"> under GA; re-positioning of epidural catheters; </w:t>
            </w:r>
            <w:r w:rsidRPr="006F400F">
              <w:rPr>
                <w:rFonts w:ascii="Times New Roman" w:hAnsi="Times New Roman"/>
                <w:sz w:val="22"/>
                <w:szCs w:val="22"/>
                <w:lang w:val="en-US"/>
              </w:rPr>
              <w:lastRenderedPageBreak/>
              <w:t xml:space="preserve">Botulinum toxin-A injections; bronchoscopy for mucus plug evacuation; urinary catheter insertion; fasciotomies; abscess or haematoma evacuation; revision surgical fixation </w:t>
            </w:r>
          </w:p>
          <w:p w14:paraId="272AEB07"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highlight w:val="magenta"/>
                <w:lang w:val="en-US"/>
              </w:rPr>
            </w:pPr>
          </w:p>
        </w:tc>
        <w:tc>
          <w:tcPr>
            <w:tcW w:w="809" w:type="pct"/>
            <w:tcBorders>
              <w:left w:val="nil"/>
              <w:right w:val="nil"/>
            </w:tcBorders>
          </w:tcPr>
          <w:p w14:paraId="34874229"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lang w:val="en-US"/>
              </w:rPr>
              <w:lastRenderedPageBreak/>
              <w:t xml:space="preserve">Full recovery, following treatment or surgical intervention </w:t>
            </w:r>
            <w:r w:rsidRPr="006F400F">
              <w:rPr>
                <w:rFonts w:ascii="Times New Roman" w:hAnsi="Times New Roman"/>
                <w:sz w:val="22"/>
                <w:szCs w:val="22"/>
                <w:lang w:val="en-US"/>
              </w:rPr>
              <w:lastRenderedPageBreak/>
              <w:t xml:space="preserve">under GA. No long-term sequelae. </w:t>
            </w:r>
          </w:p>
          <w:p w14:paraId="4401F7D6"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p>
        </w:tc>
      </w:tr>
      <w:tr w:rsidR="00673B47" w:rsidRPr="006F400F" w14:paraId="44880CA6" w14:textId="77777777" w:rsidTr="006E5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pct"/>
            <w:tcBorders>
              <w:top w:val="nil"/>
              <w:left w:val="nil"/>
              <w:bottom w:val="nil"/>
              <w:right w:val="nil"/>
            </w:tcBorders>
          </w:tcPr>
          <w:p w14:paraId="44FAADCC" w14:textId="77777777" w:rsidR="00673B47" w:rsidRPr="006F400F" w:rsidRDefault="00673B47" w:rsidP="006E573B">
            <w:pPr>
              <w:rPr>
                <w:rFonts w:ascii="Times New Roman" w:hAnsi="Times New Roman" w:cs="Times New Roman"/>
                <w:sz w:val="22"/>
                <w:szCs w:val="22"/>
                <w:lang w:val="en-AU"/>
              </w:rPr>
            </w:pPr>
            <w:r w:rsidRPr="006F400F">
              <w:rPr>
                <w:rFonts w:ascii="Times New Roman" w:hAnsi="Times New Roman" w:cs="Times New Roman"/>
                <w:sz w:val="22"/>
                <w:szCs w:val="22"/>
                <w:lang w:val="en-AU"/>
              </w:rPr>
              <w:lastRenderedPageBreak/>
              <w:t>IV</w:t>
            </w:r>
          </w:p>
        </w:tc>
        <w:tc>
          <w:tcPr>
            <w:tcW w:w="1042" w:type="pct"/>
            <w:tcBorders>
              <w:top w:val="nil"/>
              <w:left w:val="nil"/>
              <w:bottom w:val="nil"/>
              <w:right w:val="nil"/>
            </w:tcBorders>
          </w:tcPr>
          <w:p w14:paraId="5FEA34D6"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rPr>
              <w:t xml:space="preserve">A complication that is life threatening, requiring an ICU admission, or is not treatable with potential for permanent disability; a complication that requires organ resection. </w:t>
            </w:r>
          </w:p>
          <w:p w14:paraId="36F9EBC1" w14:textId="77777777" w:rsidR="00673B47" w:rsidRPr="006F400F" w:rsidRDefault="00673B47" w:rsidP="006E573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en-AU"/>
              </w:rPr>
            </w:pPr>
          </w:p>
        </w:tc>
        <w:tc>
          <w:tcPr>
            <w:tcW w:w="1394" w:type="pct"/>
            <w:tcBorders>
              <w:top w:val="nil"/>
              <w:left w:val="nil"/>
              <w:bottom w:val="nil"/>
              <w:right w:val="nil"/>
            </w:tcBorders>
          </w:tcPr>
          <w:p w14:paraId="2CD6282D"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lang w:val="en-AU"/>
              </w:rPr>
              <w:t>O</w:t>
            </w:r>
            <w:proofErr w:type="spellStart"/>
            <w:r w:rsidRPr="006F400F">
              <w:rPr>
                <w:rFonts w:ascii="Times New Roman" w:hAnsi="Times New Roman"/>
                <w:sz w:val="22"/>
                <w:szCs w:val="22"/>
                <w:lang w:val="en-US"/>
              </w:rPr>
              <w:t>rgan</w:t>
            </w:r>
            <w:proofErr w:type="spellEnd"/>
            <w:r w:rsidRPr="006F400F">
              <w:rPr>
                <w:rFonts w:ascii="Times New Roman" w:hAnsi="Times New Roman"/>
                <w:sz w:val="22"/>
                <w:szCs w:val="22"/>
                <w:lang w:val="en-US"/>
              </w:rPr>
              <w:t xml:space="preserve"> dysfunction; Bowel obstruction or perforation requiring ICU; severe respiratory disease (e.g. aspiration pneumonia) requiring ICU, intubation, bronchoscopy or tracheostomy; pulmonary embolism requiring ICU; permanent nerve injury; </w:t>
            </w:r>
            <w:proofErr w:type="spellStart"/>
            <w:r w:rsidRPr="006F400F">
              <w:rPr>
                <w:rFonts w:ascii="Times New Roman" w:hAnsi="Times New Roman"/>
                <w:sz w:val="22"/>
                <w:szCs w:val="22"/>
                <w:lang w:val="en-US"/>
              </w:rPr>
              <w:t>ischaemic</w:t>
            </w:r>
            <w:proofErr w:type="spellEnd"/>
            <w:r w:rsidRPr="006F400F">
              <w:rPr>
                <w:rFonts w:ascii="Times New Roman" w:hAnsi="Times New Roman"/>
                <w:sz w:val="22"/>
                <w:szCs w:val="22"/>
                <w:lang w:val="en-US"/>
              </w:rPr>
              <w:t xml:space="preserve"> contracture; major vascular injury; CNS complications (e.g. encephalopathy after hypoxic episode, prolonged seizures or a blocked shunt); severe femoral head AVN</w:t>
            </w:r>
          </w:p>
        </w:tc>
        <w:tc>
          <w:tcPr>
            <w:tcW w:w="1329" w:type="pct"/>
            <w:tcBorders>
              <w:top w:val="nil"/>
              <w:left w:val="nil"/>
              <w:bottom w:val="nil"/>
              <w:right w:val="nil"/>
            </w:tcBorders>
          </w:tcPr>
          <w:p w14:paraId="2ED010C1"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lang w:val="en-US"/>
              </w:rPr>
              <w:t xml:space="preserve">Life threatening. Examples: </w:t>
            </w:r>
            <w:r w:rsidRPr="006F400F">
              <w:rPr>
                <w:rFonts w:ascii="Times New Roman" w:hAnsi="Times New Roman"/>
                <w:i/>
                <w:sz w:val="22"/>
                <w:szCs w:val="22"/>
                <w:lang w:val="en-US"/>
              </w:rPr>
              <w:t xml:space="preserve">unplanned </w:t>
            </w:r>
            <w:r w:rsidRPr="006F400F">
              <w:rPr>
                <w:rFonts w:ascii="Times New Roman" w:hAnsi="Times New Roman"/>
                <w:sz w:val="22"/>
                <w:szCs w:val="22"/>
                <w:lang w:val="en-US"/>
              </w:rPr>
              <w:t xml:space="preserve">ICU admission, tracheostomy, prolonged </w:t>
            </w:r>
            <w:proofErr w:type="spellStart"/>
            <w:r w:rsidRPr="006F400F">
              <w:rPr>
                <w:rFonts w:ascii="Times New Roman" w:hAnsi="Times New Roman"/>
                <w:sz w:val="22"/>
                <w:szCs w:val="22"/>
                <w:lang w:val="en-US"/>
              </w:rPr>
              <w:t>hospitalisation</w:t>
            </w:r>
            <w:proofErr w:type="spellEnd"/>
            <w:r w:rsidRPr="006F400F">
              <w:rPr>
                <w:rFonts w:ascii="Times New Roman" w:hAnsi="Times New Roman"/>
                <w:sz w:val="22"/>
                <w:szCs w:val="22"/>
                <w:lang w:val="en-US"/>
              </w:rPr>
              <w:t xml:space="preserve"> for </w:t>
            </w:r>
            <w:proofErr w:type="spellStart"/>
            <w:r w:rsidRPr="006F400F">
              <w:rPr>
                <w:rFonts w:ascii="Times New Roman" w:hAnsi="Times New Roman"/>
                <w:sz w:val="22"/>
                <w:szCs w:val="22"/>
                <w:lang w:val="en-US"/>
              </w:rPr>
              <w:t>haemodynamic</w:t>
            </w:r>
            <w:proofErr w:type="spellEnd"/>
            <w:r w:rsidRPr="006F400F">
              <w:rPr>
                <w:rFonts w:ascii="Times New Roman" w:hAnsi="Times New Roman"/>
                <w:sz w:val="22"/>
                <w:szCs w:val="22"/>
                <w:lang w:val="en-US"/>
              </w:rPr>
              <w:t xml:space="preserve"> or respiratory support</w:t>
            </w:r>
          </w:p>
          <w:p w14:paraId="7F1F7DBF"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p>
          <w:p w14:paraId="76280D15" w14:textId="7501F59F" w:rsidR="00673B47" w:rsidRPr="006F400F" w:rsidRDefault="00673B47" w:rsidP="00E86897">
            <w:pPr>
              <w:pStyle w:val="p1"/>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vertAlign w:val="superscript"/>
                <w:lang w:val="en-US"/>
              </w:rPr>
            </w:pPr>
            <w:r w:rsidRPr="006F400F">
              <w:rPr>
                <w:rFonts w:ascii="Times New Roman" w:hAnsi="Times New Roman"/>
                <w:sz w:val="22"/>
                <w:szCs w:val="22"/>
                <w:lang w:val="en-US"/>
              </w:rPr>
              <w:t xml:space="preserve">Permanent organ damage or disability. Examples: bowel perforation requiring resection and </w:t>
            </w:r>
            <w:proofErr w:type="spellStart"/>
            <w:r w:rsidRPr="006F400F">
              <w:rPr>
                <w:rFonts w:ascii="Times New Roman" w:hAnsi="Times New Roman"/>
                <w:sz w:val="22"/>
                <w:szCs w:val="22"/>
                <w:lang w:val="en-US"/>
              </w:rPr>
              <w:t>stomal</w:t>
            </w:r>
            <w:proofErr w:type="spellEnd"/>
            <w:r w:rsidRPr="006F400F">
              <w:rPr>
                <w:rFonts w:ascii="Times New Roman" w:hAnsi="Times New Roman"/>
                <w:sz w:val="22"/>
                <w:szCs w:val="22"/>
                <w:lang w:val="en-US"/>
              </w:rPr>
              <w:t xml:space="preserve"> therapy, long-term analgesia for CRPS type II; contracture release; long-term antibiotic for chronic infection which cannot be eradicated; arthroplasty for femoral head AV</w:t>
            </w:r>
            <w:r>
              <w:rPr>
                <w:rFonts w:ascii="Times New Roman" w:hAnsi="Times New Roman"/>
                <w:sz w:val="22"/>
                <w:szCs w:val="22"/>
                <w:lang w:val="en-US"/>
              </w:rPr>
              <w:t>N</w:t>
            </w:r>
            <w:r w:rsidR="00E86897">
              <w:rPr>
                <w:rFonts w:ascii="Times New Roman" w:hAnsi="Times New Roman"/>
                <w:sz w:val="22"/>
                <w:szCs w:val="22"/>
                <w:vertAlign w:val="superscript"/>
                <w:lang w:val="en-US"/>
              </w:rPr>
              <w:t>23</w:t>
            </w:r>
          </w:p>
        </w:tc>
        <w:tc>
          <w:tcPr>
            <w:tcW w:w="809" w:type="pct"/>
            <w:tcBorders>
              <w:top w:val="nil"/>
              <w:left w:val="nil"/>
              <w:bottom w:val="nil"/>
              <w:right w:val="nil"/>
            </w:tcBorders>
          </w:tcPr>
          <w:p w14:paraId="798AD2D7"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lang w:val="en-US"/>
              </w:rPr>
              <w:t xml:space="preserve">Life threatening with or without full recovery </w:t>
            </w:r>
          </w:p>
          <w:p w14:paraId="5DC777D1"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lang w:val="en-US"/>
              </w:rPr>
              <w:t>OR</w:t>
            </w:r>
          </w:p>
          <w:p w14:paraId="484C748D" w14:textId="77777777" w:rsidR="00673B47" w:rsidRPr="006F400F" w:rsidRDefault="00673B47" w:rsidP="006E573B">
            <w:pPr>
              <w:pStyle w:val="p1"/>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6F400F">
              <w:rPr>
                <w:rFonts w:ascii="Times New Roman" w:hAnsi="Times New Roman"/>
                <w:sz w:val="22"/>
                <w:szCs w:val="22"/>
                <w:lang w:val="en-US"/>
              </w:rPr>
              <w:t xml:space="preserve">Permanent disability, chronic pain, or deterioration in GMFCS level </w:t>
            </w:r>
          </w:p>
          <w:p w14:paraId="38202714" w14:textId="77777777" w:rsidR="00673B47" w:rsidRPr="006F400F" w:rsidRDefault="00673B47" w:rsidP="006E573B">
            <w:pPr>
              <w:pStyle w:val="p1"/>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673B47" w:rsidRPr="006F400F" w14:paraId="23426C0F" w14:textId="77777777" w:rsidTr="006E573B">
        <w:tc>
          <w:tcPr>
            <w:cnfStyle w:val="001000000000" w:firstRow="0" w:lastRow="0" w:firstColumn="1" w:lastColumn="0" w:oddVBand="0" w:evenVBand="0" w:oddHBand="0" w:evenHBand="0" w:firstRowFirstColumn="0" w:firstRowLastColumn="0" w:lastRowFirstColumn="0" w:lastRowLastColumn="0"/>
            <w:tcW w:w="426" w:type="pct"/>
            <w:tcBorders>
              <w:top w:val="nil"/>
              <w:left w:val="nil"/>
              <w:bottom w:val="single" w:sz="4" w:space="0" w:color="auto"/>
              <w:right w:val="nil"/>
            </w:tcBorders>
          </w:tcPr>
          <w:p w14:paraId="325A02BD" w14:textId="77777777" w:rsidR="00673B47" w:rsidRPr="006F400F" w:rsidRDefault="00673B47" w:rsidP="006E573B">
            <w:pPr>
              <w:rPr>
                <w:rFonts w:ascii="Times New Roman" w:hAnsi="Times New Roman" w:cs="Times New Roman"/>
                <w:sz w:val="22"/>
                <w:szCs w:val="22"/>
                <w:lang w:val="en-AU"/>
              </w:rPr>
            </w:pPr>
            <w:r w:rsidRPr="006F400F">
              <w:rPr>
                <w:rFonts w:ascii="Times New Roman" w:hAnsi="Times New Roman" w:cs="Times New Roman"/>
                <w:sz w:val="22"/>
                <w:szCs w:val="22"/>
                <w:lang w:val="en-AU"/>
              </w:rPr>
              <w:t>V</w:t>
            </w:r>
          </w:p>
        </w:tc>
        <w:tc>
          <w:tcPr>
            <w:tcW w:w="1042" w:type="pct"/>
            <w:tcBorders>
              <w:top w:val="nil"/>
              <w:left w:val="nil"/>
              <w:bottom w:val="single" w:sz="4" w:space="0" w:color="auto"/>
              <w:right w:val="nil"/>
            </w:tcBorders>
          </w:tcPr>
          <w:p w14:paraId="4227DC9C" w14:textId="77777777" w:rsidR="00673B47" w:rsidRPr="006F400F" w:rsidRDefault="00673B47" w:rsidP="006E573B">
            <w:pPr>
              <w:pStyle w:val="p1"/>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lang w:val="en-US"/>
              </w:rPr>
            </w:pPr>
            <w:r w:rsidRPr="006F400F">
              <w:rPr>
                <w:rFonts w:ascii="Times New Roman" w:hAnsi="Times New Roman"/>
                <w:sz w:val="22"/>
                <w:szCs w:val="22"/>
              </w:rPr>
              <w:t xml:space="preserve">Death </w:t>
            </w:r>
            <w:r w:rsidRPr="006F400F">
              <w:rPr>
                <w:rFonts w:ascii="Times New Roman" w:hAnsi="Times New Roman"/>
                <w:sz w:val="22"/>
                <w:szCs w:val="22"/>
                <w:lang w:val="en-US"/>
              </w:rPr>
              <w:t>within three months of surgery, that can in any way be linked to the index surgery</w:t>
            </w:r>
          </w:p>
          <w:p w14:paraId="0E471F3F"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p>
        </w:tc>
        <w:tc>
          <w:tcPr>
            <w:tcW w:w="1394" w:type="pct"/>
            <w:tcBorders>
              <w:top w:val="nil"/>
              <w:left w:val="nil"/>
              <w:bottom w:val="single" w:sz="4" w:space="0" w:color="auto"/>
              <w:right w:val="nil"/>
            </w:tcBorders>
          </w:tcPr>
          <w:p w14:paraId="59866DCE"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F400F">
              <w:rPr>
                <w:rFonts w:ascii="Times New Roman" w:hAnsi="Times New Roman" w:cs="Times New Roman"/>
                <w:sz w:val="22"/>
                <w:szCs w:val="22"/>
                <w:lang w:val="en-US"/>
              </w:rPr>
              <w:t>Organ failure; sepsis; recurrent respiratory disease; pulmonary embolism</w:t>
            </w:r>
          </w:p>
          <w:p w14:paraId="152F6157"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highlight w:val="magenta"/>
                <w:lang w:val="en-US"/>
              </w:rPr>
            </w:pPr>
          </w:p>
        </w:tc>
        <w:tc>
          <w:tcPr>
            <w:tcW w:w="2138" w:type="pct"/>
            <w:gridSpan w:val="2"/>
            <w:tcBorders>
              <w:top w:val="nil"/>
              <w:left w:val="nil"/>
              <w:bottom w:val="single" w:sz="4" w:space="0" w:color="auto"/>
              <w:right w:val="nil"/>
            </w:tcBorders>
          </w:tcPr>
          <w:p w14:paraId="55B5F07D"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r w:rsidRPr="006F400F">
              <w:rPr>
                <w:rFonts w:ascii="Times New Roman" w:hAnsi="Times New Roman" w:cs="Times New Roman"/>
                <w:b/>
                <w:sz w:val="22"/>
                <w:szCs w:val="22"/>
                <w:lang w:val="en-AU"/>
              </w:rPr>
              <w:t>Exclusions</w:t>
            </w:r>
            <w:r w:rsidRPr="006F400F">
              <w:rPr>
                <w:rFonts w:ascii="Times New Roman" w:hAnsi="Times New Roman" w:cs="Times New Roman"/>
                <w:sz w:val="22"/>
                <w:szCs w:val="22"/>
                <w:lang w:val="en-AU"/>
              </w:rPr>
              <w:t>: Death following an event that cannot be plausibly linked to surgery e.g. motor vehicle accident</w:t>
            </w:r>
          </w:p>
          <w:p w14:paraId="3FD7D9DB" w14:textId="77777777" w:rsidR="00673B47" w:rsidRPr="006F400F" w:rsidRDefault="00673B47" w:rsidP="006E57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AU"/>
              </w:rPr>
            </w:pPr>
          </w:p>
          <w:p w14:paraId="56CD765B" w14:textId="77777777" w:rsidR="00673B47" w:rsidRPr="006F400F" w:rsidRDefault="00673B47" w:rsidP="006E573B">
            <w:pPr>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lang w:val="en-US"/>
              </w:rPr>
            </w:pPr>
            <w:r w:rsidRPr="006F400F">
              <w:rPr>
                <w:rFonts w:ascii="Times New Roman" w:hAnsi="Times New Roman" w:cs="Times New Roman"/>
                <w:sz w:val="22"/>
                <w:szCs w:val="22"/>
                <w:lang w:val="en-US"/>
              </w:rPr>
              <w:t xml:space="preserve">Independent verification by a colleague is advised </w:t>
            </w:r>
          </w:p>
        </w:tc>
      </w:tr>
    </w:tbl>
    <w:p w14:paraId="46383D9C" w14:textId="77777777" w:rsidR="00673B47" w:rsidRPr="006F400F" w:rsidRDefault="00673B47" w:rsidP="00673B47">
      <w:pPr>
        <w:spacing w:before="60"/>
        <w:jc w:val="both"/>
        <w:rPr>
          <w:rFonts w:ascii="Times New Roman" w:hAnsi="Times New Roman" w:cs="Times New Roman"/>
          <w:sz w:val="22"/>
          <w:szCs w:val="22"/>
        </w:rPr>
      </w:pPr>
      <w:r w:rsidRPr="006F400F">
        <w:rPr>
          <w:rFonts w:ascii="Times New Roman" w:hAnsi="Times New Roman" w:cs="Times New Roman"/>
          <w:sz w:val="22"/>
          <w:szCs w:val="22"/>
        </w:rPr>
        <w:t>In this Appendix, we provide a significantly greater amount of information than that in Table 1. The Appendix gives a definition for each Grade, examples of the complications, examples of the treatment required and the anticipated outcomes. This information may be helpful to researchers who wish to use the modified Clavien-Dindo System for audit, research or clinical outcome studies. HO, heterotopic ossification; AVN, avascular necrosis; UTI, urinary tract infection;</w:t>
      </w:r>
      <w:r w:rsidRPr="006F400F">
        <w:rPr>
          <w:rFonts w:ascii="Times New Roman" w:hAnsi="Times New Roman" w:cs="Times New Roman"/>
          <w:sz w:val="22"/>
          <w:szCs w:val="22"/>
          <w:lang w:val="en-US"/>
        </w:rPr>
        <w:t xml:space="preserve"> </w:t>
      </w:r>
      <w:r w:rsidRPr="006F400F">
        <w:rPr>
          <w:rFonts w:ascii="Times New Roman" w:hAnsi="Times New Roman" w:cs="Times New Roman"/>
          <w:sz w:val="22"/>
          <w:szCs w:val="22"/>
        </w:rPr>
        <w:t>GA, general anaesthesia; ICU, intensive care unit; CNS, central nervous system; CRPS, chronic regional pain syndrome; GMFCS, Gross Motor Function Classification System</w:t>
      </w:r>
    </w:p>
    <w:p w14:paraId="76A0726B" w14:textId="77777777" w:rsidR="003136A6" w:rsidRDefault="003136A6"/>
    <w:sectPr w:rsidR="003136A6" w:rsidSect="00673B47">
      <w:pgSz w:w="16840" w:h="11900" w:orient="landscape"/>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等线"/>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47"/>
    <w:rsid w:val="000006C2"/>
    <w:rsid w:val="0001164B"/>
    <w:rsid w:val="000360F3"/>
    <w:rsid w:val="000744F5"/>
    <w:rsid w:val="00081BBF"/>
    <w:rsid w:val="000956A1"/>
    <w:rsid w:val="000A10B6"/>
    <w:rsid w:val="000B3BE6"/>
    <w:rsid w:val="000D2599"/>
    <w:rsid w:val="000D3982"/>
    <w:rsid w:val="0013423D"/>
    <w:rsid w:val="00174BEB"/>
    <w:rsid w:val="0024358F"/>
    <w:rsid w:val="00263757"/>
    <w:rsid w:val="00294934"/>
    <w:rsid w:val="003136A6"/>
    <w:rsid w:val="003903DA"/>
    <w:rsid w:val="00422FD6"/>
    <w:rsid w:val="004602B9"/>
    <w:rsid w:val="004A4EB0"/>
    <w:rsid w:val="00673B47"/>
    <w:rsid w:val="006959E5"/>
    <w:rsid w:val="00776BC7"/>
    <w:rsid w:val="007B77DF"/>
    <w:rsid w:val="007D6F2F"/>
    <w:rsid w:val="00813D90"/>
    <w:rsid w:val="008C3EB3"/>
    <w:rsid w:val="00922499"/>
    <w:rsid w:val="0093721A"/>
    <w:rsid w:val="009623C9"/>
    <w:rsid w:val="00A434E1"/>
    <w:rsid w:val="00A4564E"/>
    <w:rsid w:val="00AD265A"/>
    <w:rsid w:val="00B130AE"/>
    <w:rsid w:val="00DD1853"/>
    <w:rsid w:val="00E66283"/>
    <w:rsid w:val="00E72502"/>
    <w:rsid w:val="00E86897"/>
    <w:rsid w:val="00F76540"/>
    <w:rsid w:val="00FF02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5B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B47"/>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73B47"/>
    <w:rPr>
      <w:rFonts w:ascii="Times" w:hAnsi="Times" w:cs="Times New Roman"/>
      <w:sz w:val="13"/>
      <w:szCs w:val="13"/>
    </w:rPr>
  </w:style>
  <w:style w:type="table" w:customStyle="1" w:styleId="PlainTable21">
    <w:name w:val="Plain Table 21"/>
    <w:basedOn w:val="TableNormal"/>
    <w:uiPriority w:val="42"/>
    <w:rsid w:val="00673B47"/>
    <w:rPr>
      <w:rFonts w:eastAsiaTheme="minorEastAsia"/>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Zhou</dc:creator>
  <cp:keywords/>
  <dc:description/>
  <cp:lastModifiedBy>Leena Zhou</cp:lastModifiedBy>
  <cp:revision>2</cp:revision>
  <dcterms:created xsi:type="dcterms:W3CDTF">2018-04-12T06:01:00Z</dcterms:created>
  <dcterms:modified xsi:type="dcterms:W3CDTF">2018-04-12T06:01:00Z</dcterms:modified>
</cp:coreProperties>
</file>